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48D2F" w14:textId="39CAE47E" w:rsidR="00933EA2" w:rsidRPr="00933EA2" w:rsidRDefault="00933EA2" w:rsidP="00933EA2">
      <w:pPr>
        <w:rPr>
          <w:rFonts w:ascii="Courier New" w:hAnsi="Courier New" w:cs="Courier New"/>
          <w:sz w:val="20"/>
        </w:rPr>
      </w:pPr>
      <w:r>
        <w:rPr>
          <w:rFonts w:ascii="Courier New" w:hAnsi="Courier New"/>
          <w:sz w:val="20"/>
        </w:rPr>
        <w:t>1. ------IND- 2019 0632 F</w:t>
      </w:r>
      <w:r w:rsidR="00631D2B">
        <w:rPr>
          <w:rFonts w:ascii="Courier New" w:hAnsi="Courier New"/>
          <w:sz w:val="20"/>
        </w:rPr>
        <w:t>-</w:t>
      </w:r>
      <w:bookmarkStart w:id="0" w:name="_GoBack"/>
      <w:bookmarkEnd w:id="0"/>
      <w:r>
        <w:rPr>
          <w:rFonts w:ascii="Courier New" w:hAnsi="Courier New"/>
          <w:sz w:val="20"/>
        </w:rPr>
        <w:t>- ES- ------ 20191224 --- --- PROJET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045126" w:rsidRPr="00933EA2" w14:paraId="7C8CC528" w14:textId="77777777" w:rsidTr="00B86A8C">
        <w:trPr>
          <w:cantSplit/>
        </w:trPr>
        <w:tc>
          <w:tcPr>
            <w:tcW w:w="3982" w:type="dxa"/>
            <w:gridSpan w:val="3"/>
          </w:tcPr>
          <w:p w14:paraId="1717866D" w14:textId="77777777" w:rsidR="00045126" w:rsidRPr="00933EA2" w:rsidRDefault="00045126" w:rsidP="00933EA2">
            <w:pPr>
              <w:pStyle w:val="SNREPUBLIQUE"/>
            </w:pPr>
            <w:r>
              <w:t>REPÚBLICA FRANCESA</w:t>
            </w:r>
          </w:p>
        </w:tc>
      </w:tr>
      <w:tr w:rsidR="0091270F" w14:paraId="50F03A9B" w14:textId="77777777" w:rsidTr="00B86A8C">
        <w:trPr>
          <w:cantSplit/>
          <w:trHeight w:hRule="exact" w:val="113"/>
        </w:trPr>
        <w:tc>
          <w:tcPr>
            <w:tcW w:w="1527" w:type="dxa"/>
          </w:tcPr>
          <w:p w14:paraId="3F748D43" w14:textId="77777777" w:rsidR="00045126" w:rsidRPr="00933EA2" w:rsidRDefault="00045126" w:rsidP="00933EA2"/>
        </w:tc>
        <w:tc>
          <w:tcPr>
            <w:tcW w:w="968" w:type="dxa"/>
          </w:tcPr>
          <w:p w14:paraId="755C1562" w14:textId="77777777" w:rsidR="00045126" w:rsidRPr="00933EA2" w:rsidRDefault="00045126" w:rsidP="00933EA2"/>
        </w:tc>
        <w:tc>
          <w:tcPr>
            <w:tcW w:w="1487" w:type="dxa"/>
          </w:tcPr>
          <w:p w14:paraId="68AD4CD5" w14:textId="77777777" w:rsidR="00045126" w:rsidRPr="00933EA2" w:rsidRDefault="00045126" w:rsidP="00933EA2"/>
        </w:tc>
      </w:tr>
      <w:tr w:rsidR="00045126" w:rsidRPr="00933EA2" w14:paraId="383AF8A9" w14:textId="77777777" w:rsidTr="00B86A8C">
        <w:trPr>
          <w:cantSplit/>
        </w:trPr>
        <w:tc>
          <w:tcPr>
            <w:tcW w:w="3982" w:type="dxa"/>
            <w:gridSpan w:val="3"/>
          </w:tcPr>
          <w:p w14:paraId="75B4E826" w14:textId="77777777" w:rsidR="00045126" w:rsidRPr="00933EA2" w:rsidRDefault="00045126" w:rsidP="00933EA2">
            <w:pPr>
              <w:pStyle w:val="SNTimbre"/>
              <w:widowControl/>
            </w:pPr>
            <w:r>
              <w:t>Ministerio de Acción y Cuentas Públicas</w:t>
            </w:r>
          </w:p>
        </w:tc>
      </w:tr>
      <w:tr w:rsidR="0091270F" w14:paraId="024172B3" w14:textId="77777777" w:rsidTr="00B86A8C">
        <w:trPr>
          <w:cantSplit/>
          <w:trHeight w:hRule="exact" w:val="227"/>
        </w:trPr>
        <w:tc>
          <w:tcPr>
            <w:tcW w:w="1527" w:type="dxa"/>
          </w:tcPr>
          <w:p w14:paraId="496232CD" w14:textId="77777777" w:rsidR="00045126" w:rsidRPr="00933EA2" w:rsidRDefault="00045126" w:rsidP="00933EA2"/>
        </w:tc>
        <w:tc>
          <w:tcPr>
            <w:tcW w:w="968" w:type="dxa"/>
          </w:tcPr>
          <w:p w14:paraId="5743C048" w14:textId="77777777" w:rsidR="00045126" w:rsidRPr="00933EA2" w:rsidRDefault="00045126" w:rsidP="00933EA2"/>
        </w:tc>
        <w:tc>
          <w:tcPr>
            <w:tcW w:w="1487" w:type="dxa"/>
          </w:tcPr>
          <w:p w14:paraId="5D3473E1" w14:textId="77777777" w:rsidR="00045126" w:rsidRPr="00933EA2" w:rsidRDefault="00045126" w:rsidP="00933EA2"/>
        </w:tc>
      </w:tr>
      <w:tr w:rsidR="00045126" w:rsidRPr="00933EA2" w14:paraId="4B4D343E" w14:textId="77777777" w:rsidTr="00B86A8C">
        <w:trPr>
          <w:cantSplit/>
          <w:trHeight w:hRule="exact" w:val="227"/>
        </w:trPr>
        <w:tc>
          <w:tcPr>
            <w:tcW w:w="1527" w:type="dxa"/>
          </w:tcPr>
          <w:p w14:paraId="1A5B03E9" w14:textId="77777777" w:rsidR="00045126" w:rsidRPr="00933EA2" w:rsidRDefault="00045126" w:rsidP="00933EA2"/>
        </w:tc>
        <w:tc>
          <w:tcPr>
            <w:tcW w:w="968" w:type="dxa"/>
          </w:tcPr>
          <w:p w14:paraId="30B1D291" w14:textId="77777777" w:rsidR="00045126" w:rsidRPr="00933EA2" w:rsidRDefault="00045126" w:rsidP="00933EA2"/>
        </w:tc>
        <w:tc>
          <w:tcPr>
            <w:tcW w:w="1487" w:type="dxa"/>
          </w:tcPr>
          <w:p w14:paraId="30E7E51C" w14:textId="77777777" w:rsidR="00045126" w:rsidRPr="00933EA2" w:rsidRDefault="00045126" w:rsidP="00933EA2"/>
        </w:tc>
      </w:tr>
    </w:tbl>
    <w:p w14:paraId="6BDA1CE4" w14:textId="77777777" w:rsidR="00045126" w:rsidRPr="00933EA2" w:rsidRDefault="00045126" w:rsidP="00933EA2">
      <w:pPr>
        <w:pStyle w:val="SNNature"/>
        <w:keepNext/>
        <w:keepLines/>
        <w:widowControl/>
      </w:pPr>
      <w:r>
        <w:t xml:space="preserve">Proyecto de Decreto sobre las modalidades de regulación de la Autoridad Nacional del Juego </w:t>
      </w:r>
    </w:p>
    <w:p w14:paraId="29934606" w14:textId="77777777" w:rsidR="00045126" w:rsidRPr="00933EA2" w:rsidRDefault="00045126" w:rsidP="00933EA2">
      <w:pPr>
        <w:pStyle w:val="SNNORCentr"/>
        <w:keepNext/>
        <w:keepLines/>
      </w:pPr>
      <w:r>
        <w:t>NOR: CPAB1930945D</w:t>
      </w:r>
    </w:p>
    <w:p w14:paraId="11F21CF0" w14:textId="4B47273D" w:rsidR="00045126" w:rsidRPr="00933EA2" w:rsidRDefault="00045126" w:rsidP="00933EA2">
      <w:pPr>
        <w:pStyle w:val="SNAutorit"/>
        <w:keepNext/>
        <w:keepLines/>
        <w:jc w:val="both"/>
        <w:rPr>
          <w:b w:val="0"/>
          <w:i/>
        </w:rPr>
      </w:pPr>
      <w:r>
        <w:rPr>
          <w:i/>
        </w:rPr>
        <w:t xml:space="preserve">Personas a las que afecta: </w:t>
      </w:r>
      <w:r>
        <w:rPr>
          <w:b w:val="0"/>
          <w:i/>
        </w:rPr>
        <w:t xml:space="preserve">La Autoridad Nacional del Juego (ANJ), los operadores de juegos o apuestas en línea, La Française des Jeux. </w:t>
      </w:r>
    </w:p>
    <w:p w14:paraId="104CE4FA" w14:textId="714CD7D5" w:rsidR="00045126" w:rsidRPr="00933EA2" w:rsidRDefault="00045126" w:rsidP="00933EA2">
      <w:pPr>
        <w:pStyle w:val="SNAutorit"/>
        <w:spacing w:before="120"/>
        <w:jc w:val="both"/>
        <w:rPr>
          <w:b w:val="0"/>
          <w:i/>
        </w:rPr>
      </w:pPr>
      <w:r>
        <w:rPr>
          <w:i/>
        </w:rPr>
        <w:t xml:space="preserve">Objeto: </w:t>
      </w:r>
      <w:r>
        <w:rPr>
          <w:b w:val="0"/>
          <w:i/>
        </w:rPr>
        <w:t>Modalidades de regulación de la Autoridad Nacional del Juego.</w:t>
      </w:r>
    </w:p>
    <w:p w14:paraId="70F910BA" w14:textId="3E2436C7" w:rsidR="00045126" w:rsidRPr="00933EA2" w:rsidRDefault="00045126" w:rsidP="00933EA2">
      <w:pPr>
        <w:pStyle w:val="SNAutorit"/>
        <w:spacing w:before="120"/>
        <w:jc w:val="both"/>
        <w:rPr>
          <w:b w:val="0"/>
          <w:i/>
        </w:rPr>
      </w:pPr>
      <w:r>
        <w:rPr>
          <w:i/>
        </w:rPr>
        <w:t xml:space="preserve">Entrada en vigor: </w:t>
      </w:r>
      <w:r>
        <w:rPr>
          <w:b w:val="0"/>
          <w:i/>
        </w:rPr>
        <w:t>El 15 de marzo de 2020, excepto los artículos 45 y 46, que entrarán en vigor a partir de la primera reunión del colegio de la Autoridad Nacional del Juego, y los artículos D. 320-10 y D. 320-12 del Código de la seguridad interna, en su redacción resultante del presente Decreto, que entrarán en vigor el 1 de abril de 2020.</w:t>
      </w:r>
    </w:p>
    <w:p w14:paraId="1E039B78" w14:textId="1C4A8FD9" w:rsidR="00045126" w:rsidRPr="00933EA2" w:rsidRDefault="00045126" w:rsidP="00933EA2">
      <w:pPr>
        <w:pStyle w:val="SNAutorit"/>
        <w:spacing w:before="120"/>
        <w:jc w:val="both"/>
        <w:rPr>
          <w:b w:val="0"/>
          <w:i/>
        </w:rPr>
      </w:pPr>
      <w:r>
        <w:rPr>
          <w:i/>
        </w:rPr>
        <w:t xml:space="preserve">Nota explicativa: </w:t>
      </w:r>
      <w:r>
        <w:rPr>
          <w:b w:val="0"/>
          <w:i/>
        </w:rPr>
        <w:t>El artículo 137 de la Ley n.º 2019-486, de 22 de mayo de 2019, relativa al crecimiento y a la transformación de las empresas, autoriza al Gobierno a adoptar medidas, mediante ordenanzas, para reformar la regulación del sector de los juegos de azar. El alcance de dicha autorización también incluye las modalidades de regulación del sector de los juegos de azar, en particular las disposiciones aplicables a la autoridad mencionada en el artículo 34 de la Ley n.º 2010-476, de 12 de mayo de 2010, relativa a la liberalización y la regulación del sector de los juegos de azar en línea, con vistas a crear una autoridad administrativa independiente de vigilancia y regulación que garantice la independencia en sus labores. El presente Decreto tiene por objeto especificar las modalidades de regulación ejercidas por la Autoridad Nacional del Juego.</w:t>
      </w:r>
    </w:p>
    <w:p w14:paraId="0B7013A7" w14:textId="77777777" w:rsidR="0084714D" w:rsidRPr="00933EA2" w:rsidRDefault="00045126" w:rsidP="00933EA2">
      <w:pPr>
        <w:pStyle w:val="SNAutorit"/>
        <w:spacing w:before="120"/>
        <w:jc w:val="both"/>
        <w:rPr>
          <w:b w:val="0"/>
          <w:i/>
        </w:rPr>
      </w:pPr>
      <w:r>
        <w:rPr>
          <w:i/>
        </w:rPr>
        <w:t xml:space="preserve">Referencias: </w:t>
      </w:r>
      <w:r>
        <w:rPr>
          <w:b w:val="0"/>
          <w:i/>
        </w:rPr>
        <w:t>El presente Decreto y el Código de la seguridad interna que modifica, en la redacción resultante de esta modificación, pueden consultarse en el sitio web de Légifrance (</w:t>
      </w:r>
      <w:hyperlink r:id="rId5">
        <w:r>
          <w:rPr>
            <w:rStyle w:val="Hyperlink"/>
            <w:b w:val="0"/>
            <w:i/>
          </w:rPr>
          <w:t>http://www.legifrance.gouv.fr</w:t>
        </w:r>
      </w:hyperlink>
      <w:r>
        <w:rPr>
          <w:b w:val="0"/>
          <w:i/>
        </w:rPr>
        <w:t>).</w:t>
      </w:r>
    </w:p>
    <w:p w14:paraId="65AEA4F7" w14:textId="77777777" w:rsidR="00045126" w:rsidRPr="00933EA2" w:rsidRDefault="0084714D" w:rsidP="00933EA2">
      <w:pPr>
        <w:pStyle w:val="SNAutorit"/>
        <w:spacing w:before="120"/>
        <w:jc w:val="both"/>
        <w:rPr>
          <w:b w:val="0"/>
          <w:i/>
        </w:rPr>
      </w:pPr>
      <w:r>
        <w:t>El Primer Ministro,</w:t>
      </w:r>
    </w:p>
    <w:p w14:paraId="77FB7384" w14:textId="77777777" w:rsidR="00045126" w:rsidRPr="00933EA2" w:rsidRDefault="00045126" w:rsidP="00933EA2">
      <w:pPr>
        <w:pStyle w:val="SNRapport"/>
      </w:pPr>
      <w:r>
        <w:t>Visto el informe del Ministro de Hacienda y Economía, del Ministro de Acción y Cuentas Públicas y de la Ministra de Deporte;</w:t>
      </w:r>
    </w:p>
    <w:p w14:paraId="048B7C5A" w14:textId="283A761A" w:rsidR="0084714D" w:rsidRPr="00933EA2" w:rsidRDefault="0084714D" w:rsidP="00933EA2">
      <w:pPr>
        <w:pStyle w:val="SNRapport"/>
      </w:pPr>
      <w:r>
        <w:t>Vista la Directiva n.º 2015/1535 del Parlamento Europeo y del Consejo, de 9 de septiembre de 2015, por la que se establece un procedimiento de información en materia de reglamentaciones técnicas y de reglas relativas a los servicios de la sociedad de la información;</w:t>
      </w:r>
    </w:p>
    <w:p w14:paraId="762E43A9" w14:textId="30280945" w:rsidR="0084714D" w:rsidRPr="00933EA2" w:rsidRDefault="0084714D" w:rsidP="00933EA2">
      <w:pPr>
        <w:pStyle w:val="SNRapport"/>
      </w:pPr>
      <w:r>
        <w:t>Visto el Código Civil, en particular el artículo 1;</w:t>
      </w:r>
    </w:p>
    <w:p w14:paraId="67E6A8B9" w14:textId="763AF4B2" w:rsidR="00045126" w:rsidRPr="00933EA2" w:rsidRDefault="00045126" w:rsidP="00933EA2">
      <w:pPr>
        <w:pStyle w:val="SNRapport"/>
      </w:pPr>
      <w:r>
        <w:lastRenderedPageBreak/>
        <w:t>Visto el Código monetario y financiero;</w:t>
      </w:r>
    </w:p>
    <w:p w14:paraId="16E3A4A4" w14:textId="40CCBA92" w:rsidR="00045126" w:rsidRPr="00933EA2" w:rsidRDefault="00045126" w:rsidP="00933EA2">
      <w:pPr>
        <w:pStyle w:val="SNRapport"/>
      </w:pPr>
      <w:r>
        <w:t>Visto el Código de la seguridad interna, en particular el título II y el título IV de su libro III;</w:t>
      </w:r>
    </w:p>
    <w:p w14:paraId="362FDC7A" w14:textId="6A0DCA31" w:rsidR="00D13FBA" w:rsidRPr="00933EA2" w:rsidRDefault="00D13FBA" w:rsidP="00933EA2">
      <w:pPr>
        <w:pStyle w:val="SNRapport"/>
      </w:pPr>
      <w:r>
        <w:t>Visto el Código del Deporte;</w:t>
      </w:r>
    </w:p>
    <w:p w14:paraId="652A174C" w14:textId="77777777" w:rsidR="00045126" w:rsidRPr="00933EA2" w:rsidRDefault="00045126" w:rsidP="00933EA2">
      <w:pPr>
        <w:pStyle w:val="SNRapport"/>
      </w:pPr>
      <w:r>
        <w:t>Vista la Ley n.º 2010-476, de 12 de mayo de 2010, relativa a la liberalización y la regulación del sector de los juegos de azar en línea, en su versión modificada;</w:t>
      </w:r>
    </w:p>
    <w:p w14:paraId="1ACCBCCB" w14:textId="77777777" w:rsidR="00142531" w:rsidRPr="00933EA2" w:rsidRDefault="00045126" w:rsidP="00933EA2">
      <w:pPr>
        <w:pStyle w:val="SNRapport"/>
      </w:pPr>
      <w:r>
        <w:t>Vista la Ley n.º 2019-486, de 22 de mayo de 2019, relativa al crecimiento y a la transformación de las empresas, en particular el artículo 137;</w:t>
      </w:r>
    </w:p>
    <w:p w14:paraId="3B7366BA" w14:textId="1F3FEC7F" w:rsidR="00045126" w:rsidRPr="00933EA2" w:rsidRDefault="00045126" w:rsidP="00933EA2">
      <w:pPr>
        <w:pStyle w:val="SNRapport"/>
      </w:pPr>
      <w:r>
        <w:t>Vista la Ordenanza n.º 2019-1015, de 2 de octubre de 2019, por la que se modifica la regulación de los juegos de azar;</w:t>
      </w:r>
    </w:p>
    <w:p w14:paraId="5538C323" w14:textId="77777777" w:rsidR="001A3887" w:rsidRPr="00933EA2" w:rsidRDefault="001A3887" w:rsidP="00933EA2">
      <w:pPr>
        <w:pStyle w:val="SNRapport"/>
      </w:pPr>
      <w:r>
        <w:rPr>
          <w:highlight w:val="yellow"/>
        </w:rPr>
        <w:t>Visto el Decreto n.º..., de XX de XXXX de XXXX, sobre las modalidades para la puesta a disposición de la oferta de juegos y de los datos sobre los juegos (CPAB1926918D);</w:t>
      </w:r>
    </w:p>
    <w:p w14:paraId="7DA3002F" w14:textId="7A04B1C4" w:rsidR="00142531" w:rsidRPr="00933EA2" w:rsidRDefault="00BC35EB" w:rsidP="00933EA2">
      <w:pPr>
        <w:pStyle w:val="SNRapport"/>
      </w:pPr>
      <w:r>
        <w:t>Visto el Decreto n.º 2019-1060, de 17 de octubre de 2019, relativo a las modalidades de aplicación del control estricto del Estado sobre la empresa La Française des Jeux;</w:t>
      </w:r>
    </w:p>
    <w:p w14:paraId="714B0F8B" w14:textId="1364CCA8" w:rsidR="00142531" w:rsidRPr="00933EA2" w:rsidRDefault="00142531" w:rsidP="00933EA2">
      <w:pPr>
        <w:pStyle w:val="SNRapport"/>
      </w:pPr>
      <w:r>
        <w:t>Visto el Decreto n.º 2019-1061, de 17 de octubre de 2019, sobre la oferta de juegos de la empresa La Française des Jeux y el grupo de interés económico Pari Mutuel Urbaine;</w:t>
      </w:r>
    </w:p>
    <w:p w14:paraId="0BBA6677" w14:textId="77777777" w:rsidR="00045126" w:rsidRPr="00933EA2" w:rsidRDefault="00045126" w:rsidP="00933EA2">
      <w:pPr>
        <w:pStyle w:val="SNActe"/>
        <w:keepNext/>
        <w:keepLines/>
      </w:pPr>
      <w:r>
        <w:t>Decreta:</w:t>
      </w:r>
    </w:p>
    <w:p w14:paraId="08F9A76B" w14:textId="71C8A30A" w:rsidR="007E61D1" w:rsidRPr="00933EA2" w:rsidRDefault="00DD75EA" w:rsidP="00933EA2">
      <w:pPr>
        <w:pStyle w:val="SNArticle"/>
        <w:keepNext/>
        <w:keepLines/>
      </w:pPr>
      <w:r>
        <w:t>TÍTULO I: MODALIDADES DE CONTROL Y APLICACIÓN DE LAS OBLIGACIONES DE LOS OPERADORES DE JUEGOS O APUESTAS</w:t>
      </w:r>
    </w:p>
    <w:p w14:paraId="6C987295" w14:textId="77777777" w:rsidR="007E61D1" w:rsidRPr="00933EA2" w:rsidRDefault="007E61D1" w:rsidP="00933EA2">
      <w:pPr>
        <w:keepNext/>
        <w:keepLines/>
        <w:jc w:val="center"/>
        <w:rPr>
          <w:b/>
        </w:rPr>
      </w:pPr>
      <w:r>
        <w:rPr>
          <w:b/>
        </w:rPr>
        <w:t>Artículo 1</w:t>
      </w:r>
    </w:p>
    <w:p w14:paraId="6C33AEB4" w14:textId="77777777" w:rsidR="00813F86" w:rsidRPr="00933EA2" w:rsidRDefault="00813F86" w:rsidP="00933EA2">
      <w:pPr>
        <w:keepNext/>
        <w:keepLines/>
        <w:jc w:val="both"/>
      </w:pPr>
    </w:p>
    <w:p w14:paraId="5B20680E" w14:textId="0AB15F64" w:rsidR="00794988" w:rsidRPr="00933EA2" w:rsidRDefault="00794988" w:rsidP="00933EA2">
      <w:pPr>
        <w:jc w:val="both"/>
      </w:pPr>
      <w:r>
        <w:t xml:space="preserve">Para aplicar las disposiciones del artículo 34, apartado IX, párrafo segundo, de la Ley de 12 de mayo de 2010, mencionada, la empresa que opera un casino o club de juegos y pertenece a un grupo de empresas que operan casinos o clubes podrá someter a la aprobación de la Autoridad Nacional del Juego un plan de acción común para todas las empresas de dicho grupo. La lista de empresas que pertenecen a este grupo se incluirá en el plan de acción. </w:t>
      </w:r>
    </w:p>
    <w:p w14:paraId="0C8DEB8A" w14:textId="77777777" w:rsidR="00794988" w:rsidRPr="00933EA2" w:rsidRDefault="00794988" w:rsidP="00933EA2">
      <w:pPr>
        <w:jc w:val="both"/>
        <w:rPr>
          <w:rFonts w:asciiTheme="minorHAnsi" w:eastAsiaTheme="minorHAnsi" w:hAnsiTheme="minorHAnsi" w:cstheme="minorBidi"/>
          <w:sz w:val="20"/>
          <w:szCs w:val="20"/>
        </w:rPr>
      </w:pPr>
    </w:p>
    <w:p w14:paraId="38A16952" w14:textId="77777777" w:rsidR="00794988" w:rsidRPr="00933EA2" w:rsidRDefault="00794988" w:rsidP="00933EA2">
      <w:pPr>
        <w:jc w:val="both"/>
      </w:pPr>
      <w:r>
        <w:t xml:space="preserve">Para aplicar las disposiciones del artículo 34, apartado IX, párrafo segundo, de la Ley de 12 de mayo de 2010, mencionada, una empresa que opere dos o más casinos y clubes de juegos podrá someter a la aprobación de la Autoridad Nacional del Juego un plan de acción común aplicable en estos casinos o clubes. La lista de casinos y clubes de juego se incluirá en el plan de acción. </w:t>
      </w:r>
    </w:p>
    <w:p w14:paraId="23525345" w14:textId="77777777" w:rsidR="00794988" w:rsidRPr="00933EA2" w:rsidRDefault="00794988" w:rsidP="00933EA2">
      <w:pPr>
        <w:jc w:val="both"/>
      </w:pPr>
    </w:p>
    <w:p w14:paraId="4C768112" w14:textId="285147CC" w:rsidR="007E61D1" w:rsidRPr="00933EA2" w:rsidRDefault="00794988" w:rsidP="00933EA2">
      <w:pPr>
        <w:jc w:val="both"/>
      </w:pPr>
      <w:r>
        <w:t>Cuando se recurra a esta posibilidad prevista en los párrafos primero y segundo, la Autoridad Nacional del Juego podrá exigir que se le faciliten documentos o información complementaria antes de pronunciarse sobre la solicitud de aprobación que se le ha presentado.</w:t>
      </w:r>
    </w:p>
    <w:p w14:paraId="513C2CC2" w14:textId="77777777" w:rsidR="00794988" w:rsidRPr="00933EA2" w:rsidRDefault="00794988" w:rsidP="00933EA2">
      <w:pPr>
        <w:jc w:val="both"/>
      </w:pPr>
    </w:p>
    <w:p w14:paraId="79427271" w14:textId="77777777" w:rsidR="007E61D1" w:rsidRPr="00933EA2" w:rsidRDefault="007E61D1" w:rsidP="00933EA2">
      <w:pPr>
        <w:keepNext/>
        <w:keepLines/>
        <w:jc w:val="center"/>
        <w:rPr>
          <w:b/>
        </w:rPr>
      </w:pPr>
      <w:r>
        <w:rPr>
          <w:b/>
        </w:rPr>
        <w:t>Artículo 2</w:t>
      </w:r>
    </w:p>
    <w:p w14:paraId="052D5044" w14:textId="77777777" w:rsidR="007E61D1" w:rsidRPr="00933EA2" w:rsidRDefault="007E61D1" w:rsidP="00933EA2">
      <w:pPr>
        <w:keepNext/>
        <w:keepLines/>
        <w:jc w:val="both"/>
        <w:rPr>
          <w:b/>
        </w:rPr>
      </w:pPr>
    </w:p>
    <w:p w14:paraId="366CF3E1" w14:textId="7CB58820" w:rsidR="007E61D1" w:rsidRPr="00933EA2" w:rsidRDefault="007E61D1" w:rsidP="00933EA2">
      <w:pPr>
        <w:jc w:val="both"/>
      </w:pPr>
      <w:r>
        <w:t xml:space="preserve">En el caso de los hipódromos, el plan de acción mencionado en el artículo 34, apartado IX, párrafo segundo, de la Ley de 12 de mayo de 2010, mencionada, podrá ser común para varias empresas de carreras que operen dichos hipódromos, siempre que sea aplicado por todas ellas. </w:t>
      </w:r>
      <w:r>
        <w:lastRenderedPageBreak/>
        <w:t>La lista de empresas de carreras e hipódromos en cuestión deberá incluirse en el plan de acción. La Autoridad Nacional del Juego podrá solicitar a las empresas de carreras que envíen cualquier documento adicional que le permita evaluar su plan de acción con el fin de prevenir el juego excesivo y el juego de menores y promover prácticas de juego razonables, así como su evaluación de la implementación de dicho plan para el año anterior.</w:t>
      </w:r>
    </w:p>
    <w:p w14:paraId="0CD4DAE7" w14:textId="77777777" w:rsidR="007E61D1" w:rsidRPr="00933EA2" w:rsidRDefault="007E61D1" w:rsidP="00933EA2">
      <w:pPr>
        <w:jc w:val="both"/>
      </w:pPr>
    </w:p>
    <w:p w14:paraId="5CDE936D" w14:textId="77777777" w:rsidR="007E61D1" w:rsidRPr="00933EA2" w:rsidRDefault="007E61D1" w:rsidP="00933EA2">
      <w:pPr>
        <w:keepNext/>
        <w:keepLines/>
        <w:jc w:val="center"/>
        <w:rPr>
          <w:b/>
        </w:rPr>
      </w:pPr>
      <w:r>
        <w:rPr>
          <w:b/>
        </w:rPr>
        <w:t>Artículo 3</w:t>
      </w:r>
    </w:p>
    <w:p w14:paraId="61CAAFB0" w14:textId="77777777" w:rsidR="007E61D1" w:rsidRPr="00933EA2" w:rsidRDefault="007E61D1" w:rsidP="00933EA2">
      <w:pPr>
        <w:keepNext/>
        <w:keepLines/>
        <w:jc w:val="both"/>
        <w:rPr>
          <w:b/>
        </w:rPr>
      </w:pPr>
    </w:p>
    <w:p w14:paraId="37C2CCC7" w14:textId="77777777" w:rsidR="007E61D1" w:rsidRPr="00933EA2" w:rsidRDefault="007E61D1" w:rsidP="00933EA2">
      <w:pPr>
        <w:jc w:val="both"/>
      </w:pPr>
      <w:r>
        <w:t>En el caso de los hipódromos, las empresas de carreras podrán estar exentas de establecer la clasificación de riesgos prevista en el artículo L. 561-4-1 del Código monetario y financiero y los procedimientos de control interno previstos en el artículo L. 561-32 de dicho Código, a título individual, en beneficio de un establecimiento común a nivel de la Federación Nacional de Carreras de Caballos, que rendirá cuentas a la Autoridad Nacional del Juego mencionando la lista de empresas de carreras e hipódromos en cuestión. Si existen riesgos específicos, en particular con respecto al alcance de la oferta de apuestas y a los montantes de estas, los procedimientos deberán adaptarse en consecuencia. La Autoridad Nacional del Juego podrá requerir que las empresas de carreras envíen documentos adicionales que le permitan evaluar su actuación en la lucha contra el blanqueo de capitales y la financiación del terrorismo.</w:t>
      </w:r>
    </w:p>
    <w:p w14:paraId="4736BFF7" w14:textId="77777777" w:rsidR="007E61D1" w:rsidRPr="00933EA2" w:rsidRDefault="007E61D1" w:rsidP="00933EA2">
      <w:pPr>
        <w:jc w:val="both"/>
      </w:pPr>
    </w:p>
    <w:p w14:paraId="1A6F401F" w14:textId="77777777" w:rsidR="007E61D1" w:rsidRPr="00933EA2" w:rsidRDefault="007E61D1" w:rsidP="00933EA2">
      <w:pPr>
        <w:keepNext/>
        <w:keepLines/>
        <w:jc w:val="center"/>
        <w:rPr>
          <w:b/>
        </w:rPr>
      </w:pPr>
      <w:r>
        <w:rPr>
          <w:b/>
        </w:rPr>
        <w:t>Artículo 4</w:t>
      </w:r>
    </w:p>
    <w:p w14:paraId="38FBB37D" w14:textId="77777777" w:rsidR="007E61D1" w:rsidRPr="00933EA2" w:rsidRDefault="007E61D1" w:rsidP="00933EA2">
      <w:pPr>
        <w:keepNext/>
        <w:keepLines/>
        <w:jc w:val="both"/>
        <w:rPr>
          <w:b/>
        </w:rPr>
      </w:pPr>
    </w:p>
    <w:p w14:paraId="2B218E2A" w14:textId="7DA8E983" w:rsidR="007E61D1" w:rsidRPr="00933EA2" w:rsidRDefault="007E61D1" w:rsidP="00933EA2">
      <w:pPr>
        <w:jc w:val="both"/>
      </w:pPr>
      <w:r>
        <w:t>En el caso de los hipódromos, el control podrá realizarse a partir de la documentación común a todas las empresas de carreras que utilizan el mismo proveedor para el suministro y mantenimiento de sus sistemas de información, o mediante la auditoría de los sistemas de información del proveedor en cuestión. La Autoridad Nacional del Juego podrá solicitar a las empresas de carreras que envíen cualquier documento adicional.</w:t>
      </w:r>
    </w:p>
    <w:p w14:paraId="4157AD3C" w14:textId="77777777" w:rsidR="007E61D1" w:rsidRPr="00933EA2" w:rsidRDefault="007E61D1" w:rsidP="00933EA2">
      <w:pPr>
        <w:jc w:val="both"/>
      </w:pPr>
    </w:p>
    <w:p w14:paraId="5B9DB7AE" w14:textId="77777777" w:rsidR="007E61D1" w:rsidRPr="00933EA2" w:rsidRDefault="007E61D1" w:rsidP="00933EA2">
      <w:pPr>
        <w:keepNext/>
        <w:keepLines/>
        <w:jc w:val="center"/>
        <w:rPr>
          <w:b/>
        </w:rPr>
      </w:pPr>
      <w:r>
        <w:rPr>
          <w:b/>
        </w:rPr>
        <w:t>Artículo 5</w:t>
      </w:r>
    </w:p>
    <w:p w14:paraId="4C9C62BB" w14:textId="77777777" w:rsidR="007E61D1" w:rsidRPr="00933EA2" w:rsidRDefault="007E61D1" w:rsidP="00933EA2">
      <w:pPr>
        <w:keepNext/>
        <w:keepLines/>
        <w:jc w:val="both"/>
        <w:rPr>
          <w:b/>
        </w:rPr>
      </w:pPr>
    </w:p>
    <w:p w14:paraId="26847594" w14:textId="77777777" w:rsidR="007E61D1" w:rsidRPr="00933EA2" w:rsidRDefault="007E61D1" w:rsidP="00933EA2">
      <w:pPr>
        <w:jc w:val="both"/>
      </w:pPr>
      <w:r>
        <w:t xml:space="preserve">Antes del mes de marzo de cada año, los operadores con derechos exclusivos deberán presentar a la Autoridad Nacional del Juego un informe que detalle, para el año anterior, el monto real del presupuesto correspondiente al menos al 0,002 % de las apuestas, los proyectos de investigación financiados y validados por el organismo designado por el mencionado Decreto de XX de XXXX de XXXX (CPAB1926918D) y el monto de la contribución pagada, de conformidad con lo dispuesto en el artículo 3 de la Ley de 12 de mayo de 2010, mencionada. </w:t>
      </w:r>
    </w:p>
    <w:p w14:paraId="429F79D8" w14:textId="77777777" w:rsidR="007E61D1" w:rsidRPr="00933EA2" w:rsidRDefault="007E61D1" w:rsidP="00933EA2">
      <w:pPr>
        <w:jc w:val="both"/>
      </w:pPr>
    </w:p>
    <w:p w14:paraId="7B122D74" w14:textId="2935AC69" w:rsidR="007E61D1" w:rsidRPr="00933EA2" w:rsidRDefault="00DD75EA" w:rsidP="00933EA2">
      <w:pPr>
        <w:keepNext/>
        <w:keepLines/>
        <w:jc w:val="both"/>
      </w:pPr>
      <w:r>
        <w:rPr>
          <w:b/>
        </w:rPr>
        <w:t>TÍTULO II: MODALIDADES Y CONDICIONES PARA LA APROBACIÓN DE ESTRATEGIAS PROMOCIONALES DE OPERADORES DE JUEGOS O APUESTAS</w:t>
      </w:r>
    </w:p>
    <w:p w14:paraId="0366C11E" w14:textId="77777777" w:rsidR="007E61D1" w:rsidRPr="00933EA2" w:rsidRDefault="007E61D1" w:rsidP="00933EA2">
      <w:pPr>
        <w:keepNext/>
        <w:keepLines/>
        <w:jc w:val="both"/>
      </w:pPr>
    </w:p>
    <w:p w14:paraId="180B46AF" w14:textId="77777777" w:rsidR="007E61D1" w:rsidRPr="00933EA2" w:rsidRDefault="007E61D1" w:rsidP="00933EA2">
      <w:pPr>
        <w:keepNext/>
        <w:keepLines/>
        <w:tabs>
          <w:tab w:val="left" w:pos="225"/>
        </w:tabs>
        <w:jc w:val="center"/>
        <w:rPr>
          <w:b/>
          <w:bCs/>
        </w:rPr>
      </w:pPr>
      <w:r>
        <w:rPr>
          <w:b/>
        </w:rPr>
        <w:t>Artículo 6</w:t>
      </w:r>
    </w:p>
    <w:p w14:paraId="03A3768D" w14:textId="77777777" w:rsidR="007E61D1" w:rsidRPr="00933EA2" w:rsidRDefault="007E61D1" w:rsidP="00933EA2">
      <w:pPr>
        <w:keepNext/>
        <w:keepLines/>
        <w:tabs>
          <w:tab w:val="left" w:pos="225"/>
        </w:tabs>
        <w:jc w:val="both"/>
        <w:rPr>
          <w:bCs/>
        </w:rPr>
      </w:pPr>
    </w:p>
    <w:p w14:paraId="3107C3EF" w14:textId="77777777" w:rsidR="007E61D1" w:rsidRPr="00933EA2" w:rsidRDefault="007E61D1" w:rsidP="00933EA2">
      <w:pPr>
        <w:keepNext/>
        <w:keepLines/>
        <w:tabs>
          <w:tab w:val="left" w:pos="225"/>
        </w:tabs>
        <w:jc w:val="both"/>
        <w:rPr>
          <w:bCs/>
        </w:rPr>
      </w:pPr>
      <w:r>
        <w:t xml:space="preserve">Antes del 30 de octubre de cada año, los operadores con derechos exclusivos y los operadores de juegos de azar o apuestas en línea presentarán para su aprobación por parte de la Autoridad Nacional del Juego su estrategia promocional en cualquier soporte. </w:t>
      </w:r>
    </w:p>
    <w:p w14:paraId="11F470F5" w14:textId="77777777" w:rsidR="007E61D1" w:rsidRPr="00933EA2" w:rsidRDefault="007E61D1" w:rsidP="00933EA2">
      <w:pPr>
        <w:tabs>
          <w:tab w:val="left" w:pos="225"/>
        </w:tabs>
        <w:jc w:val="both"/>
        <w:rPr>
          <w:bCs/>
        </w:rPr>
      </w:pPr>
    </w:p>
    <w:p w14:paraId="699E2544" w14:textId="77777777" w:rsidR="007E61D1" w:rsidRPr="00933EA2" w:rsidRDefault="007E61D1" w:rsidP="00933EA2">
      <w:pPr>
        <w:keepNext/>
        <w:keepLines/>
        <w:tabs>
          <w:tab w:val="left" w:pos="225"/>
        </w:tabs>
        <w:jc w:val="center"/>
        <w:rPr>
          <w:b/>
          <w:bCs/>
        </w:rPr>
      </w:pPr>
      <w:r>
        <w:rPr>
          <w:b/>
        </w:rPr>
        <w:t>Artículo 7</w:t>
      </w:r>
    </w:p>
    <w:p w14:paraId="73089FBB" w14:textId="77777777" w:rsidR="007E61D1" w:rsidRPr="00933EA2" w:rsidRDefault="007E61D1" w:rsidP="00933EA2">
      <w:pPr>
        <w:keepNext/>
        <w:keepLines/>
        <w:tabs>
          <w:tab w:val="left" w:pos="225"/>
        </w:tabs>
        <w:jc w:val="both"/>
        <w:rPr>
          <w:bCs/>
        </w:rPr>
      </w:pPr>
    </w:p>
    <w:p w14:paraId="2CE4B6B4" w14:textId="77777777" w:rsidR="007E61D1" w:rsidRPr="00933EA2" w:rsidRDefault="007E61D1" w:rsidP="00933EA2">
      <w:pPr>
        <w:tabs>
          <w:tab w:val="left" w:pos="225"/>
        </w:tabs>
        <w:jc w:val="both"/>
        <w:rPr>
          <w:bCs/>
        </w:rPr>
      </w:pPr>
      <w:r>
        <w:t xml:space="preserve">La estrategia promocional presentada en cualquier soporte contendrá, en particular, la descripción de los diferentes medios y cualquier otro canal utilizado para la promoción de la oferta del juego, una estimación de los presupuestos asignados a cada canal y su evolución durante el año en curso, una descripción del tipo de clientela objetivo, los diferentes juegos en </w:t>
      </w:r>
      <w:r>
        <w:lastRenderedPageBreak/>
        <w:t xml:space="preserve">cuestión y una evaluación de su impacto con respecto al primer objetivo del artículo L. 320-3 del Código de la seguridad interna. En el caso de las ofertas comerciales que incluyan una recompensa financiera de los jugadores, el operador describirá los mecanismos que permiten a los jugadores beneficiarse de estos bonos. </w:t>
      </w:r>
    </w:p>
    <w:p w14:paraId="5D41F546" w14:textId="343E933A" w:rsidR="007E61D1" w:rsidRPr="00933EA2" w:rsidRDefault="007E61D1" w:rsidP="00933EA2">
      <w:pPr>
        <w:tabs>
          <w:tab w:val="left" w:pos="225"/>
        </w:tabs>
        <w:jc w:val="both"/>
        <w:rPr>
          <w:bCs/>
        </w:rPr>
      </w:pPr>
      <w:r>
        <w:t xml:space="preserve">Para los operadores con derechos exclusivos, la estrategia promocional presentará las acciones de información y prevención destinadas al público y a los jugadores de su red de distribución física, para dar cumplimiento al primer objetivo del artículo L. 320-3 del Código de la seguridad interna. </w:t>
      </w:r>
    </w:p>
    <w:p w14:paraId="466B6F1F" w14:textId="77777777" w:rsidR="007E61D1" w:rsidRPr="00933EA2" w:rsidRDefault="007E61D1" w:rsidP="00933EA2">
      <w:pPr>
        <w:tabs>
          <w:tab w:val="left" w:pos="225"/>
        </w:tabs>
        <w:jc w:val="both"/>
        <w:rPr>
          <w:bCs/>
        </w:rPr>
      </w:pPr>
    </w:p>
    <w:p w14:paraId="2292D94C" w14:textId="77777777" w:rsidR="007E61D1" w:rsidRPr="00933EA2" w:rsidRDefault="007E61D1" w:rsidP="00933EA2">
      <w:pPr>
        <w:keepNext/>
        <w:keepLines/>
        <w:tabs>
          <w:tab w:val="left" w:pos="225"/>
        </w:tabs>
        <w:jc w:val="center"/>
        <w:rPr>
          <w:b/>
          <w:bCs/>
        </w:rPr>
      </w:pPr>
      <w:r>
        <w:rPr>
          <w:b/>
        </w:rPr>
        <w:t>Artículo 8</w:t>
      </w:r>
    </w:p>
    <w:p w14:paraId="76A6F4B3" w14:textId="77777777" w:rsidR="007E61D1" w:rsidRPr="00933EA2" w:rsidRDefault="007E61D1" w:rsidP="00933EA2">
      <w:pPr>
        <w:keepNext/>
        <w:keepLines/>
        <w:tabs>
          <w:tab w:val="left" w:pos="225"/>
        </w:tabs>
        <w:jc w:val="both"/>
        <w:rPr>
          <w:bCs/>
        </w:rPr>
      </w:pPr>
    </w:p>
    <w:p w14:paraId="7E066ACA" w14:textId="77777777" w:rsidR="007E61D1" w:rsidRPr="00933EA2" w:rsidRDefault="007E61D1" w:rsidP="00933EA2">
      <w:pPr>
        <w:tabs>
          <w:tab w:val="left" w:pos="225"/>
        </w:tabs>
        <w:jc w:val="both"/>
        <w:rPr>
          <w:bCs/>
        </w:rPr>
      </w:pPr>
      <w:r>
        <w:t>La Autoridad Nacional del Juego examinará la estrategia promocional de los operadores con respecto a los objetivos del artículo L. 320-3 del Código de la seguridad interna. Podrá enviar al operador solicitudes de información adicional sobre su estrategia promocional.</w:t>
      </w:r>
    </w:p>
    <w:p w14:paraId="573BB9A6" w14:textId="77777777" w:rsidR="007E61D1" w:rsidRPr="00933EA2" w:rsidRDefault="007E61D1" w:rsidP="00933EA2">
      <w:pPr>
        <w:tabs>
          <w:tab w:val="left" w:pos="225"/>
        </w:tabs>
        <w:ind w:firstLine="708"/>
        <w:jc w:val="both"/>
        <w:rPr>
          <w:bCs/>
        </w:rPr>
      </w:pPr>
    </w:p>
    <w:p w14:paraId="294DEF4C" w14:textId="77777777" w:rsidR="007E61D1" w:rsidRPr="00933EA2" w:rsidRDefault="007E61D1" w:rsidP="00933EA2">
      <w:pPr>
        <w:keepNext/>
        <w:keepLines/>
        <w:tabs>
          <w:tab w:val="left" w:pos="225"/>
        </w:tabs>
        <w:jc w:val="center"/>
        <w:rPr>
          <w:b/>
          <w:bCs/>
        </w:rPr>
      </w:pPr>
      <w:r>
        <w:rPr>
          <w:b/>
        </w:rPr>
        <w:t>Artículo 9</w:t>
      </w:r>
    </w:p>
    <w:p w14:paraId="2DE1EFDB" w14:textId="77777777" w:rsidR="007E61D1" w:rsidRPr="00933EA2" w:rsidRDefault="007E61D1" w:rsidP="00933EA2">
      <w:pPr>
        <w:keepNext/>
        <w:keepLines/>
        <w:tabs>
          <w:tab w:val="left" w:pos="225"/>
        </w:tabs>
        <w:jc w:val="both"/>
        <w:rPr>
          <w:bCs/>
        </w:rPr>
      </w:pPr>
    </w:p>
    <w:p w14:paraId="4FBB75B5" w14:textId="07D9D852" w:rsidR="007E61D1" w:rsidRPr="00933EA2" w:rsidRDefault="007E61D1" w:rsidP="00933EA2">
      <w:pPr>
        <w:tabs>
          <w:tab w:val="left" w:pos="225"/>
        </w:tabs>
        <w:jc w:val="both"/>
        <w:rPr>
          <w:bCs/>
        </w:rPr>
      </w:pPr>
      <w:r>
        <w:t xml:space="preserve">La decisión de la Autoridad se notificará al operador dentro de los dos meses posteriores a la recepción de su estrategia promocional. En ella se definirán, si procede, las condiciones bajo las cuales se aprueba la estrategia promocional. </w:t>
      </w:r>
    </w:p>
    <w:p w14:paraId="659F6FBA" w14:textId="77777777" w:rsidR="007E61D1" w:rsidRPr="00933EA2" w:rsidRDefault="007E61D1" w:rsidP="00933EA2">
      <w:pPr>
        <w:tabs>
          <w:tab w:val="left" w:pos="225"/>
        </w:tabs>
        <w:jc w:val="both"/>
        <w:rPr>
          <w:bCs/>
        </w:rPr>
      </w:pPr>
    </w:p>
    <w:p w14:paraId="308E1DA5" w14:textId="77777777" w:rsidR="007E61D1" w:rsidRPr="00933EA2" w:rsidRDefault="007E61D1" w:rsidP="00933EA2">
      <w:pPr>
        <w:keepNext/>
        <w:keepLines/>
        <w:tabs>
          <w:tab w:val="left" w:pos="225"/>
        </w:tabs>
        <w:jc w:val="center"/>
        <w:rPr>
          <w:b/>
          <w:bCs/>
        </w:rPr>
      </w:pPr>
      <w:r>
        <w:rPr>
          <w:b/>
        </w:rPr>
        <w:t>Artículo 10</w:t>
      </w:r>
    </w:p>
    <w:p w14:paraId="57140C12" w14:textId="77777777" w:rsidR="007E61D1" w:rsidRPr="00933EA2" w:rsidRDefault="007E61D1" w:rsidP="00933EA2">
      <w:pPr>
        <w:keepNext/>
        <w:keepLines/>
        <w:tabs>
          <w:tab w:val="left" w:pos="225"/>
        </w:tabs>
        <w:jc w:val="both"/>
        <w:rPr>
          <w:bCs/>
        </w:rPr>
      </w:pPr>
    </w:p>
    <w:p w14:paraId="371FF32B" w14:textId="77777777" w:rsidR="007E61D1" w:rsidRPr="00933EA2" w:rsidRDefault="007E61D1" w:rsidP="00933EA2">
      <w:pPr>
        <w:tabs>
          <w:tab w:val="left" w:pos="225"/>
        </w:tabs>
        <w:jc w:val="both"/>
        <w:rPr>
          <w:bCs/>
        </w:rPr>
      </w:pPr>
      <w:r>
        <w:t>En caso de que el operador desee modificar su estrategia promocional durante el año, deberá informar de ello a la Autoridad Nacional del Juego a más tardar dos meses antes de la implementación de las acciones o medidas correspondientes a esta modificación. Sin perjuicio de lo dispuesto al amparo del artículo 8, la Autoridad decidirá sobre la modificación propuesta dentro de los dos meses posteriores a la recepción de su notificación.</w:t>
      </w:r>
    </w:p>
    <w:p w14:paraId="5FC09049" w14:textId="77777777" w:rsidR="007E61D1" w:rsidRPr="00933EA2" w:rsidRDefault="007E61D1" w:rsidP="00933EA2">
      <w:pPr>
        <w:tabs>
          <w:tab w:val="left" w:pos="225"/>
        </w:tabs>
        <w:jc w:val="both"/>
        <w:rPr>
          <w:bCs/>
        </w:rPr>
      </w:pPr>
    </w:p>
    <w:p w14:paraId="796C2E49" w14:textId="7CC25C8B" w:rsidR="007E61D1" w:rsidRPr="00933EA2" w:rsidRDefault="00DD75EA" w:rsidP="00933EA2">
      <w:pPr>
        <w:keepNext/>
        <w:keepLines/>
        <w:tabs>
          <w:tab w:val="left" w:pos="225"/>
        </w:tabs>
        <w:jc w:val="center"/>
        <w:rPr>
          <w:bCs/>
        </w:rPr>
      </w:pPr>
      <w:r>
        <w:rPr>
          <w:b/>
        </w:rPr>
        <w:t>TÍTULO III: MODALIDADES DE CERTIFICACIÓN</w:t>
      </w:r>
    </w:p>
    <w:p w14:paraId="4638AAB1" w14:textId="77777777" w:rsidR="007E61D1" w:rsidRPr="00933EA2" w:rsidRDefault="007E61D1" w:rsidP="00933EA2">
      <w:pPr>
        <w:pStyle w:val="BodyText"/>
        <w:keepNext/>
        <w:keepLines/>
      </w:pPr>
    </w:p>
    <w:p w14:paraId="06F93207" w14:textId="77777777" w:rsidR="00DD75EA" w:rsidRPr="00933EA2" w:rsidRDefault="00DD75EA" w:rsidP="00933EA2">
      <w:pPr>
        <w:keepNext/>
        <w:keepLines/>
        <w:rPr>
          <w:b/>
        </w:rPr>
      </w:pPr>
      <w:r>
        <w:rPr>
          <w:b/>
        </w:rPr>
        <w:t xml:space="preserve">CAPÍTULO 1 - CONDICIONES DE INSCRIPCIÓN EN LA LISTA DE ORGANISMOS DE CERTIFICACIÓN </w:t>
      </w:r>
    </w:p>
    <w:p w14:paraId="2100F556" w14:textId="77777777" w:rsidR="00DD75EA" w:rsidRPr="00933EA2" w:rsidRDefault="00DD75EA" w:rsidP="00933EA2">
      <w:pPr>
        <w:keepNext/>
        <w:keepLines/>
        <w:rPr>
          <w:b/>
        </w:rPr>
      </w:pPr>
    </w:p>
    <w:p w14:paraId="3CD09FF6" w14:textId="77777777" w:rsidR="00DD75EA" w:rsidRPr="00933EA2" w:rsidRDefault="00DD75EA" w:rsidP="00933EA2">
      <w:pPr>
        <w:keepNext/>
        <w:keepLines/>
        <w:jc w:val="center"/>
        <w:rPr>
          <w:b/>
        </w:rPr>
      </w:pPr>
      <w:r>
        <w:rPr>
          <w:b/>
        </w:rPr>
        <w:t>Artículo 11</w:t>
      </w:r>
    </w:p>
    <w:p w14:paraId="2A95714B" w14:textId="77777777" w:rsidR="00DD75EA" w:rsidRPr="00933EA2" w:rsidRDefault="00DD75EA" w:rsidP="00933EA2">
      <w:pPr>
        <w:keepNext/>
        <w:keepLines/>
        <w:rPr>
          <w:b/>
        </w:rPr>
      </w:pPr>
    </w:p>
    <w:p w14:paraId="42280451" w14:textId="77777777" w:rsidR="00DD75EA" w:rsidRPr="00933EA2" w:rsidRDefault="00DD75EA" w:rsidP="00933EA2">
      <w:pPr>
        <w:jc w:val="both"/>
      </w:pPr>
      <w:r>
        <w:t xml:space="preserve">La Autoridad Nacional del Juego establecerá y mantendrá actualizada la lista de organismos autorizados para llevar a cabo los trabajos de certificación mencionados en los apartados II y III del artículo 23 de la Ley de 12 de mayo de 2010, mencionada. </w:t>
      </w:r>
    </w:p>
    <w:p w14:paraId="143A6880" w14:textId="77777777" w:rsidR="00DD75EA" w:rsidRPr="00933EA2" w:rsidRDefault="00DD75EA" w:rsidP="00933EA2">
      <w:pPr>
        <w:jc w:val="both"/>
      </w:pPr>
      <w:r>
        <w:t xml:space="preserve">Esta lista se publicará en el sitio web de la Autoridad Nacional del Juego. </w:t>
      </w:r>
    </w:p>
    <w:p w14:paraId="1FC7BE82" w14:textId="77777777" w:rsidR="00DD75EA" w:rsidRPr="00933EA2" w:rsidRDefault="00DD75EA" w:rsidP="00933EA2">
      <w:pPr>
        <w:jc w:val="both"/>
      </w:pPr>
    </w:p>
    <w:p w14:paraId="4CE44A0E" w14:textId="77777777" w:rsidR="00DD75EA" w:rsidRPr="00933EA2" w:rsidRDefault="00DD75EA" w:rsidP="00933EA2">
      <w:pPr>
        <w:keepNext/>
        <w:keepLines/>
        <w:jc w:val="center"/>
        <w:rPr>
          <w:b/>
        </w:rPr>
      </w:pPr>
      <w:r>
        <w:rPr>
          <w:b/>
        </w:rPr>
        <w:t>Artículo 12</w:t>
      </w:r>
    </w:p>
    <w:p w14:paraId="6CF9EA34" w14:textId="77777777" w:rsidR="00DD75EA" w:rsidRPr="00933EA2" w:rsidRDefault="00DD75EA" w:rsidP="00933EA2">
      <w:pPr>
        <w:keepNext/>
        <w:keepLines/>
        <w:rPr>
          <w:b/>
        </w:rPr>
      </w:pPr>
    </w:p>
    <w:p w14:paraId="4A9AB50A" w14:textId="77777777" w:rsidR="00DD75EA" w:rsidRPr="00933EA2" w:rsidRDefault="00DD75EA" w:rsidP="00933EA2">
      <w:pPr>
        <w:jc w:val="both"/>
      </w:pPr>
      <w:r>
        <w:t xml:space="preserve">En la lista a que se refiere el artículo 11 solo podrán estar inscritos los organismos: </w:t>
      </w:r>
    </w:p>
    <w:p w14:paraId="2C202D0E" w14:textId="77777777" w:rsidR="00DD75EA" w:rsidRPr="00933EA2" w:rsidRDefault="00DD75EA" w:rsidP="00933EA2">
      <w:pPr>
        <w:pStyle w:val="ListParagraph"/>
        <w:numPr>
          <w:ilvl w:val="0"/>
          <w:numId w:val="3"/>
        </w:numPr>
        <w:spacing w:after="200" w:line="276" w:lineRule="auto"/>
        <w:jc w:val="both"/>
      </w:pPr>
      <w:r>
        <w:t xml:space="preserve">establecidos en un Estado miembro de la Unión Europea o en un Estado parte del Acuerdo sobre el Espacio Económico Europeo, </w:t>
      </w:r>
    </w:p>
    <w:p w14:paraId="696D458E" w14:textId="77777777" w:rsidR="00DD75EA" w:rsidRPr="00933EA2" w:rsidRDefault="00DD75EA" w:rsidP="00933EA2">
      <w:pPr>
        <w:pStyle w:val="ListParagraph"/>
        <w:numPr>
          <w:ilvl w:val="0"/>
          <w:numId w:val="3"/>
        </w:numPr>
        <w:spacing w:after="200" w:line="276" w:lineRule="auto"/>
        <w:jc w:val="both"/>
      </w:pPr>
      <w:r>
        <w:t xml:space="preserve">que posean las competencias suficientes y el personal cualificado apropiado, </w:t>
      </w:r>
    </w:p>
    <w:p w14:paraId="20123FC4" w14:textId="131ED45B" w:rsidR="00DD75EA" w:rsidRPr="00933EA2" w:rsidRDefault="00DD75EA" w:rsidP="00933EA2">
      <w:pPr>
        <w:pStyle w:val="ListParagraph"/>
        <w:numPr>
          <w:ilvl w:val="0"/>
          <w:numId w:val="3"/>
        </w:numPr>
        <w:spacing w:after="200" w:line="276" w:lineRule="auto"/>
        <w:jc w:val="both"/>
      </w:pPr>
      <w:r>
        <w:t xml:space="preserve">que ejerzan sus funciones de certificación con total independencia e imparcialidad, de conformidad, en particular, con las disposiciones del artículo 17. </w:t>
      </w:r>
    </w:p>
    <w:p w14:paraId="7724FA3F" w14:textId="77777777" w:rsidR="00DD75EA" w:rsidRPr="00933EA2" w:rsidRDefault="00DD75EA" w:rsidP="00933EA2">
      <w:pPr>
        <w:pStyle w:val="ListParagraph"/>
        <w:ind w:left="1065"/>
        <w:jc w:val="both"/>
      </w:pPr>
    </w:p>
    <w:p w14:paraId="60A13DFE" w14:textId="77777777" w:rsidR="00DD75EA" w:rsidRPr="00933EA2" w:rsidRDefault="00DD75EA" w:rsidP="00933EA2">
      <w:pPr>
        <w:keepNext/>
        <w:keepLines/>
        <w:jc w:val="center"/>
        <w:rPr>
          <w:b/>
        </w:rPr>
      </w:pPr>
      <w:r>
        <w:rPr>
          <w:b/>
        </w:rPr>
        <w:lastRenderedPageBreak/>
        <w:t>Artículo 13</w:t>
      </w:r>
    </w:p>
    <w:p w14:paraId="24D423E6" w14:textId="77777777" w:rsidR="00DD75EA" w:rsidRPr="00933EA2" w:rsidRDefault="00DD75EA" w:rsidP="00933EA2">
      <w:pPr>
        <w:keepNext/>
        <w:keepLines/>
        <w:rPr>
          <w:b/>
        </w:rPr>
      </w:pPr>
    </w:p>
    <w:p w14:paraId="23B39F27" w14:textId="2DA08637" w:rsidR="00DD75EA" w:rsidRPr="00933EA2" w:rsidRDefault="00DD75EA" w:rsidP="00933EA2">
      <w:pPr>
        <w:jc w:val="both"/>
      </w:pPr>
      <w:r>
        <w:t>El formulario de solicitud de inclusión en la lista de organismos de certificación estará redactado en francés. Se enviará a la Autoridad Nacional del Juego por medios electrónicos o por correo postal o se depositará contra recibo en la oficina registrada de la Autoridad. La Autoridad Nacional del Juego acusará recibo por cualquier medio y procederá a su registro.</w:t>
      </w:r>
    </w:p>
    <w:p w14:paraId="3CED70A9" w14:textId="77777777" w:rsidR="00DD75EA" w:rsidRPr="00933EA2" w:rsidRDefault="00DD75EA" w:rsidP="00933EA2">
      <w:pPr>
        <w:jc w:val="both"/>
      </w:pPr>
    </w:p>
    <w:p w14:paraId="7C07E6E5" w14:textId="77777777" w:rsidR="00DD75EA" w:rsidRPr="00933EA2" w:rsidRDefault="00DD75EA" w:rsidP="00933EA2">
      <w:pPr>
        <w:keepNext/>
        <w:keepLines/>
        <w:jc w:val="center"/>
        <w:rPr>
          <w:b/>
        </w:rPr>
      </w:pPr>
      <w:r>
        <w:rPr>
          <w:b/>
        </w:rPr>
        <w:t>Artículo 14</w:t>
      </w:r>
    </w:p>
    <w:p w14:paraId="5631E7C9" w14:textId="77777777" w:rsidR="00DD75EA" w:rsidRPr="00933EA2" w:rsidRDefault="00DD75EA" w:rsidP="00933EA2">
      <w:pPr>
        <w:keepNext/>
        <w:keepLines/>
        <w:jc w:val="both"/>
        <w:rPr>
          <w:b/>
        </w:rPr>
      </w:pPr>
    </w:p>
    <w:p w14:paraId="5395E8F4" w14:textId="77777777" w:rsidR="00DD75EA" w:rsidRPr="00933EA2" w:rsidRDefault="00DD75EA" w:rsidP="00933EA2">
      <w:pPr>
        <w:jc w:val="both"/>
      </w:pPr>
      <w:r>
        <w:t xml:space="preserve">La solicitud de inscripción en la lista de organismos de certificación estará sujeta a una revisión por parte de la Autoridad Nacional del Juego dentro de los dos meses siguientes a la fecha de recepción. </w:t>
      </w:r>
    </w:p>
    <w:p w14:paraId="3916B7CD" w14:textId="77777777" w:rsidR="00DD75EA" w:rsidRPr="00933EA2" w:rsidRDefault="00DD75EA" w:rsidP="00933EA2">
      <w:pPr>
        <w:jc w:val="both"/>
      </w:pPr>
      <w:r>
        <w:t>El formulario de solicitud de inclusión en la lista contendrá todos los elementos que permitan a la Autoridad Nacional del Juego garantizar que el solicitante tiene las cualificaciones requeridas para registrarse en la lista de organismos de certificación, a saber:</w:t>
      </w:r>
    </w:p>
    <w:p w14:paraId="3796012D" w14:textId="77777777" w:rsidR="00DD75EA" w:rsidRPr="00933EA2" w:rsidRDefault="00DD75EA" w:rsidP="00933EA2">
      <w:pPr>
        <w:pStyle w:val="ListParagraph"/>
        <w:numPr>
          <w:ilvl w:val="0"/>
          <w:numId w:val="3"/>
        </w:numPr>
        <w:spacing w:after="200" w:line="276" w:lineRule="auto"/>
        <w:jc w:val="both"/>
      </w:pPr>
      <w:r>
        <w:t>un documento que enumere las referencias de los servicios prestados por el solicitante en áreas de especialización similares a las cubiertas en el marco de la certificación y los períodos de prestación de estos servicios,</w:t>
      </w:r>
    </w:p>
    <w:p w14:paraId="10B7DCB0" w14:textId="77777777" w:rsidR="00DD75EA" w:rsidRPr="00933EA2" w:rsidRDefault="00DD75EA" w:rsidP="00933EA2">
      <w:pPr>
        <w:pStyle w:val="ListParagraph"/>
        <w:numPr>
          <w:ilvl w:val="0"/>
          <w:numId w:val="3"/>
        </w:numPr>
        <w:spacing w:after="200" w:line="276" w:lineRule="auto"/>
        <w:jc w:val="both"/>
      </w:pPr>
      <w:r>
        <w:t xml:space="preserve">la lista de personas dedicadas a las operaciones de certificación y sus </w:t>
      </w:r>
      <w:r>
        <w:rPr>
          <w:i/>
        </w:rPr>
        <w:t>currículum vitae</w:t>
      </w:r>
      <w:r>
        <w:t xml:space="preserve"> detallados, </w:t>
      </w:r>
    </w:p>
    <w:p w14:paraId="789A0E65" w14:textId="77777777" w:rsidR="00DD75EA" w:rsidRPr="00933EA2" w:rsidRDefault="00DD75EA" w:rsidP="00933EA2">
      <w:pPr>
        <w:pStyle w:val="ListParagraph"/>
        <w:numPr>
          <w:ilvl w:val="0"/>
          <w:numId w:val="3"/>
        </w:numPr>
        <w:spacing w:after="200" w:line="276" w:lineRule="auto"/>
        <w:jc w:val="both"/>
      </w:pPr>
      <w:r>
        <w:t>los informes de análisis «tipo» que destaquen las metodologías utilizadas y el nivel de profundidad de los análisis realizados en términos de auditorías de aplicaciones intrusivas y auditorías de configuración de la plataforma de alojamiento.</w:t>
      </w:r>
    </w:p>
    <w:p w14:paraId="49273D50" w14:textId="77777777" w:rsidR="00DD75EA" w:rsidRPr="00933EA2" w:rsidRDefault="00DD75EA" w:rsidP="00933EA2">
      <w:pPr>
        <w:jc w:val="both"/>
      </w:pPr>
      <w:r>
        <w:t xml:space="preserve">Cuando el formulario de solicitud no esté completo, se enviará una carta al solicitante invitándolo a presentar, en un plazo que no podrá ser inferior a quince días, las partes que faltan. </w:t>
      </w:r>
    </w:p>
    <w:p w14:paraId="01681363" w14:textId="77777777" w:rsidR="00DD75EA" w:rsidRPr="00933EA2" w:rsidRDefault="00DD75EA" w:rsidP="00933EA2">
      <w:pPr>
        <w:jc w:val="both"/>
      </w:pPr>
      <w:r>
        <w:t>Durante este plazo se interrumpirá el examen de la solicitud de inclusión en la lista. Cualquier solicitud que siga estando incompleta al final de la fecha límite será objeto de una decisión de inadmisibilidad por parte de la Autoridad Nacional del Juego.</w:t>
      </w:r>
    </w:p>
    <w:p w14:paraId="10BC70F8" w14:textId="77777777" w:rsidR="00DD75EA" w:rsidRPr="00933EA2" w:rsidRDefault="00DD75EA" w:rsidP="00933EA2">
      <w:pPr>
        <w:jc w:val="both"/>
      </w:pPr>
      <w:r>
        <w:t xml:space="preserve">Durante la instrucción, el demandante estará obligado a proporcionar, a solicitud de la Autoridad Nacional del Juego, cualquier información que pueda arrojar luz sobre los elementos contenidos en el expediente presentado. Además, el solicitante podrá ser auditado por la Autoridad Nacional del Juego. </w:t>
      </w:r>
    </w:p>
    <w:p w14:paraId="28468FD2" w14:textId="77777777" w:rsidR="00DD75EA" w:rsidRPr="00933EA2" w:rsidRDefault="00DD75EA" w:rsidP="00933EA2">
      <w:pPr>
        <w:jc w:val="both"/>
      </w:pPr>
    </w:p>
    <w:p w14:paraId="36083355" w14:textId="77777777" w:rsidR="00DD75EA" w:rsidRPr="00933EA2" w:rsidRDefault="00DD75EA" w:rsidP="00933EA2">
      <w:pPr>
        <w:keepNext/>
        <w:keepLines/>
        <w:jc w:val="center"/>
        <w:rPr>
          <w:b/>
        </w:rPr>
      </w:pPr>
      <w:r>
        <w:rPr>
          <w:b/>
        </w:rPr>
        <w:t>Artículo 15</w:t>
      </w:r>
    </w:p>
    <w:p w14:paraId="73A6235F" w14:textId="77777777" w:rsidR="00DD75EA" w:rsidRPr="00933EA2" w:rsidRDefault="00DD75EA" w:rsidP="00933EA2">
      <w:pPr>
        <w:keepNext/>
        <w:keepLines/>
        <w:rPr>
          <w:b/>
        </w:rPr>
      </w:pPr>
    </w:p>
    <w:p w14:paraId="47A7F3CA" w14:textId="77777777" w:rsidR="00DD75EA" w:rsidRPr="00933EA2" w:rsidRDefault="00DD75EA" w:rsidP="00933EA2">
      <w:pPr>
        <w:jc w:val="both"/>
      </w:pPr>
      <w:r>
        <w:t xml:space="preserve">La inclusión en la lista de organismos de certificación tendrá una validez de cinco años. Será renovable. </w:t>
      </w:r>
    </w:p>
    <w:p w14:paraId="11406507" w14:textId="77777777" w:rsidR="00DD75EA" w:rsidRPr="00933EA2" w:rsidRDefault="00DD75EA" w:rsidP="00933EA2">
      <w:pPr>
        <w:jc w:val="both"/>
      </w:pPr>
      <w:r>
        <w:t xml:space="preserve">La decisión de inclusión en la lista deberá indicar, cuando corresponda, las obligaciones específicas a las que están sujetos los organismos de certificación. </w:t>
      </w:r>
    </w:p>
    <w:p w14:paraId="6E706C72" w14:textId="77777777" w:rsidR="00DD75EA" w:rsidRPr="00933EA2" w:rsidRDefault="00DD75EA" w:rsidP="00933EA2">
      <w:pPr>
        <w:jc w:val="both"/>
      </w:pPr>
      <w:r>
        <w:t xml:space="preserve">Las decisiones de denegación de inclusión en la lista estarán motivadas y se notificarán a la persona interesada por cualquier medio que permita certificar la fecha de recepción. </w:t>
      </w:r>
    </w:p>
    <w:p w14:paraId="07C8A19F" w14:textId="77777777" w:rsidR="00DD75EA" w:rsidRPr="00933EA2" w:rsidRDefault="00DD75EA" w:rsidP="00933EA2">
      <w:pPr>
        <w:rPr>
          <w:b/>
        </w:rPr>
      </w:pPr>
    </w:p>
    <w:p w14:paraId="36ED0FA1" w14:textId="77777777" w:rsidR="00DD75EA" w:rsidRPr="00933EA2" w:rsidRDefault="00DD75EA" w:rsidP="00933EA2">
      <w:pPr>
        <w:keepNext/>
        <w:keepLines/>
        <w:jc w:val="center"/>
        <w:rPr>
          <w:b/>
        </w:rPr>
      </w:pPr>
      <w:r>
        <w:rPr>
          <w:b/>
        </w:rPr>
        <w:t>CAPÍTULO 2 - OBLIGACIONES DE LOS ORGANISMOS DE CERTIFICACIÓN</w:t>
      </w:r>
    </w:p>
    <w:p w14:paraId="3F7D562D" w14:textId="77777777" w:rsidR="00DD75EA" w:rsidRPr="00933EA2" w:rsidRDefault="00DD75EA" w:rsidP="00933EA2">
      <w:pPr>
        <w:keepNext/>
        <w:keepLines/>
        <w:rPr>
          <w:b/>
        </w:rPr>
      </w:pPr>
    </w:p>
    <w:p w14:paraId="465FC926" w14:textId="3AC4548B" w:rsidR="00DD75EA" w:rsidRPr="00933EA2" w:rsidRDefault="00DD75EA" w:rsidP="00933EA2">
      <w:pPr>
        <w:keepNext/>
        <w:keepLines/>
        <w:jc w:val="center"/>
        <w:rPr>
          <w:b/>
        </w:rPr>
      </w:pPr>
      <w:r>
        <w:rPr>
          <w:b/>
        </w:rPr>
        <w:t>Artículo 16</w:t>
      </w:r>
    </w:p>
    <w:p w14:paraId="63B4979C" w14:textId="77777777" w:rsidR="00DD75EA" w:rsidRPr="00933EA2" w:rsidRDefault="00DD75EA" w:rsidP="00933EA2">
      <w:pPr>
        <w:keepNext/>
        <w:keepLines/>
        <w:rPr>
          <w:b/>
        </w:rPr>
      </w:pPr>
    </w:p>
    <w:p w14:paraId="22292F97" w14:textId="77777777" w:rsidR="00DD75EA" w:rsidRPr="00933EA2" w:rsidRDefault="00DD75EA" w:rsidP="00933EA2">
      <w:pPr>
        <w:jc w:val="both"/>
      </w:pPr>
      <w:r>
        <w:t xml:space="preserve">Todo organismo inscrito en la lista de organismos de certificación llevará a cabo la misión de certificación que se le confía de acuerdo con los últimos avances tecnológicos. </w:t>
      </w:r>
    </w:p>
    <w:p w14:paraId="21136742" w14:textId="77777777" w:rsidR="00DD75EA" w:rsidRPr="00933EA2" w:rsidRDefault="00DD75EA" w:rsidP="00933EA2">
      <w:pPr>
        <w:jc w:val="both"/>
      </w:pPr>
      <w:r>
        <w:lastRenderedPageBreak/>
        <w:t>Se enviará a la Autoridad Nacional del Juego una copia del contrato de certificación celebrado entre el organismo de certificación y el operador objeto de la certificación antes de la prestación del servicio de certificación.</w:t>
      </w:r>
    </w:p>
    <w:p w14:paraId="006D19AF" w14:textId="77777777" w:rsidR="00DD75EA" w:rsidRPr="00933EA2" w:rsidRDefault="00DD75EA" w:rsidP="00933EA2">
      <w:pPr>
        <w:jc w:val="both"/>
      </w:pPr>
    </w:p>
    <w:p w14:paraId="747F05B8" w14:textId="18EC357C" w:rsidR="00DD75EA" w:rsidRPr="00933EA2" w:rsidRDefault="00DD75EA" w:rsidP="00933EA2">
      <w:pPr>
        <w:keepNext/>
        <w:keepLines/>
        <w:jc w:val="center"/>
        <w:rPr>
          <w:b/>
        </w:rPr>
      </w:pPr>
      <w:r>
        <w:rPr>
          <w:b/>
        </w:rPr>
        <w:t>Artículo 17</w:t>
      </w:r>
    </w:p>
    <w:p w14:paraId="480B580F" w14:textId="77777777" w:rsidR="00DD75EA" w:rsidRPr="00933EA2" w:rsidRDefault="00DD75EA" w:rsidP="00933EA2">
      <w:pPr>
        <w:keepNext/>
        <w:keepLines/>
        <w:rPr>
          <w:b/>
        </w:rPr>
      </w:pPr>
    </w:p>
    <w:p w14:paraId="763E1256" w14:textId="77777777" w:rsidR="00DD75EA" w:rsidRPr="00933EA2" w:rsidRDefault="00DD75EA" w:rsidP="00933EA2">
      <w:pPr>
        <w:jc w:val="both"/>
      </w:pPr>
      <w:r>
        <w:t xml:space="preserve">Todo organismo inscrito en la lista de organismos de certificación será independiente del operador para el que realiza la misión de certificación. </w:t>
      </w:r>
    </w:p>
    <w:p w14:paraId="465253BE" w14:textId="77777777" w:rsidR="00DD75EA" w:rsidRPr="00933EA2" w:rsidRDefault="00DD75EA" w:rsidP="00933EA2">
      <w:pPr>
        <w:jc w:val="both"/>
      </w:pPr>
      <w:r>
        <w:t xml:space="preserve">No podrán llevar a cabo ninguna misión de certificación para un operador de juegos de azar o apuestas en línea o para la persona jurídica única mencionada en el artículo 137 de la Ley de 22 de mayo de 2019, mencionada, si estos han sido su asesor o proveedor de servicios en los doce meses anteriores a la firma del contrato de certificación. </w:t>
      </w:r>
    </w:p>
    <w:p w14:paraId="5F638C71" w14:textId="77777777" w:rsidR="00DD75EA" w:rsidRPr="00933EA2" w:rsidRDefault="00DD75EA" w:rsidP="00933EA2">
      <w:pPr>
        <w:jc w:val="both"/>
      </w:pPr>
      <w:r>
        <w:t>La duración de la incompatibilidad prevista en el párrafo anterior se calculará a partir del último de los dos acontecimientos siguientes:</w:t>
      </w:r>
    </w:p>
    <w:p w14:paraId="090FC4E3" w14:textId="77777777" w:rsidR="00DD75EA" w:rsidRPr="00933EA2" w:rsidRDefault="00DD75EA" w:rsidP="00933EA2">
      <w:pPr>
        <w:pStyle w:val="ListParagraph"/>
        <w:numPr>
          <w:ilvl w:val="0"/>
          <w:numId w:val="3"/>
        </w:numPr>
        <w:spacing w:after="200" w:line="276" w:lineRule="auto"/>
        <w:jc w:val="both"/>
      </w:pPr>
      <w:r>
        <w:t xml:space="preserve">el último servicio prestado por el organismo de certificación en beneficio del operador objeto de la certificación, </w:t>
      </w:r>
    </w:p>
    <w:p w14:paraId="3D00F947" w14:textId="77777777" w:rsidR="00DD75EA" w:rsidRPr="00933EA2" w:rsidRDefault="00DD75EA" w:rsidP="00933EA2">
      <w:pPr>
        <w:pStyle w:val="ListParagraph"/>
        <w:numPr>
          <w:ilvl w:val="0"/>
          <w:numId w:val="3"/>
        </w:numPr>
        <w:spacing w:after="200" w:line="276" w:lineRule="auto"/>
        <w:jc w:val="both"/>
      </w:pPr>
      <w:r>
        <w:t xml:space="preserve">el último pago realizado al organismo de certificación por el operador objeto de la certificación. </w:t>
      </w:r>
    </w:p>
    <w:p w14:paraId="6967F733" w14:textId="77777777" w:rsidR="00DD75EA" w:rsidRPr="00933EA2" w:rsidRDefault="00DD75EA" w:rsidP="00933EA2">
      <w:pPr>
        <w:jc w:val="both"/>
      </w:pPr>
      <w:r>
        <w:t xml:space="preserve">La incompatibilidad prevista en este artículo se aplicará, en las mismas condiciones, cuando el organismo de certificación haya sido el asesor o el proveedor de una empresa que controla al operador objeto de la certificación en el sentido del artículo L. 233-16 del Código de Comercio o esté bajo el control de esta. </w:t>
      </w:r>
    </w:p>
    <w:p w14:paraId="54835AA2" w14:textId="77777777" w:rsidR="00DD75EA" w:rsidRPr="00933EA2" w:rsidRDefault="00DD75EA" w:rsidP="00933EA2">
      <w:pPr>
        <w:jc w:val="both"/>
      </w:pPr>
      <w:r>
        <w:t>El organismo inscrito en la lista de organismos de certificación deberá notificar a la Autoridad Nacional del Juego sobre la ocurrencia de cualquier situación de conflicto de intereses con respecto a su actividad de certificación.</w:t>
      </w:r>
    </w:p>
    <w:p w14:paraId="4E38E366" w14:textId="77777777" w:rsidR="00DD75EA" w:rsidRPr="00933EA2" w:rsidRDefault="00DD75EA" w:rsidP="00933EA2">
      <w:pPr>
        <w:jc w:val="both"/>
      </w:pPr>
    </w:p>
    <w:p w14:paraId="7778A521" w14:textId="38CC997C" w:rsidR="00DD75EA" w:rsidRPr="00933EA2" w:rsidRDefault="00DD75EA" w:rsidP="00933EA2">
      <w:pPr>
        <w:keepNext/>
        <w:keepLines/>
        <w:jc w:val="center"/>
        <w:rPr>
          <w:b/>
        </w:rPr>
      </w:pPr>
      <w:r>
        <w:rPr>
          <w:b/>
        </w:rPr>
        <w:t>Artículo 18</w:t>
      </w:r>
    </w:p>
    <w:p w14:paraId="6A63E476" w14:textId="77777777" w:rsidR="00DD75EA" w:rsidRPr="00933EA2" w:rsidRDefault="00DD75EA" w:rsidP="00933EA2">
      <w:pPr>
        <w:keepNext/>
        <w:keepLines/>
        <w:rPr>
          <w:b/>
        </w:rPr>
      </w:pPr>
    </w:p>
    <w:p w14:paraId="15407E47" w14:textId="77777777" w:rsidR="00DD75EA" w:rsidRPr="00933EA2" w:rsidRDefault="00DD75EA" w:rsidP="00933EA2">
      <w:pPr>
        <w:jc w:val="both"/>
      </w:pPr>
      <w:r>
        <w:t xml:space="preserve">La Autoridad Nacional del Juego se asegurará, cuando sea apropiado por medio de una auditoría, de que el organismo de certificación continúe cumpliendo las obligaciones resultantes de la inclusión en la lista de organismos de certificación, en particular con respecto a la calidad de las certificaciones realizadas. </w:t>
      </w:r>
    </w:p>
    <w:p w14:paraId="6639237C" w14:textId="77777777" w:rsidR="00DD75EA" w:rsidRPr="00933EA2" w:rsidRDefault="00DD75EA" w:rsidP="00933EA2">
      <w:pPr>
        <w:jc w:val="both"/>
      </w:pPr>
    </w:p>
    <w:p w14:paraId="39134701" w14:textId="1C28EFCF" w:rsidR="00DD75EA" w:rsidRPr="00933EA2" w:rsidRDefault="00DD75EA" w:rsidP="00933EA2">
      <w:pPr>
        <w:keepNext/>
        <w:keepLines/>
        <w:jc w:val="center"/>
        <w:rPr>
          <w:b/>
        </w:rPr>
      </w:pPr>
      <w:r>
        <w:rPr>
          <w:b/>
        </w:rPr>
        <w:t>Artículo 19</w:t>
      </w:r>
    </w:p>
    <w:p w14:paraId="3397CDFA" w14:textId="77777777" w:rsidR="00DD75EA" w:rsidRPr="00933EA2" w:rsidRDefault="00DD75EA" w:rsidP="00933EA2">
      <w:pPr>
        <w:keepNext/>
        <w:keepLines/>
        <w:rPr>
          <w:b/>
        </w:rPr>
      </w:pPr>
    </w:p>
    <w:p w14:paraId="61C5B6C7" w14:textId="77777777" w:rsidR="00DD75EA" w:rsidRPr="00933EA2" w:rsidRDefault="00DD75EA" w:rsidP="00933EA2">
      <w:pPr>
        <w:jc w:val="both"/>
      </w:pPr>
      <w:r>
        <w:t xml:space="preserve">El organismo inscrito en la lista de organismos de certificación deberá informar inmediatamente a la Autoridad Nacional del Juego de cualquier cambio que afecte a la información de su solicitud de inclusión en la lista. </w:t>
      </w:r>
    </w:p>
    <w:p w14:paraId="7901CAA7" w14:textId="77777777" w:rsidR="00DD75EA" w:rsidRPr="00933EA2" w:rsidRDefault="00DD75EA" w:rsidP="00933EA2">
      <w:pPr>
        <w:jc w:val="both"/>
      </w:pPr>
      <w:r>
        <w:t xml:space="preserve">Si el organismo deja de cumplir las condiciones impuestas para su inclusión en la lista de organismos de certificación o los compromisos a los que estaba sujeta su inscripción, la Autoridad Nacional del Juego podrá eliminarlo de la lista. </w:t>
      </w:r>
    </w:p>
    <w:p w14:paraId="54C86B1E" w14:textId="77777777" w:rsidR="00DD75EA" w:rsidRPr="00933EA2" w:rsidRDefault="00DD75EA" w:rsidP="00933EA2">
      <w:pPr>
        <w:jc w:val="both"/>
      </w:pPr>
      <w:r>
        <w:t>Antes de su eliminación de la lista, la Autoridad Nacional del Juego informará a la persona interesada, por cualquier medio adecuado que permita certificar la fecha de recepción de esta información, de su intención de eliminarla de la lista de organismos de certificación, y la invitará a presentar sus observaciones por escrito dentro de un plazo que no podrá ser inferior a quince días.</w:t>
      </w:r>
    </w:p>
    <w:p w14:paraId="27C240E1" w14:textId="77777777" w:rsidR="00DD75EA" w:rsidRPr="00933EA2" w:rsidRDefault="00DD75EA" w:rsidP="00933EA2">
      <w:pPr>
        <w:jc w:val="both"/>
      </w:pPr>
      <w:r>
        <w:t xml:space="preserve">La decisión de eliminación de la lista estará motivada y se notificará a la persona interesada por cualquier medio que permita certificar la fecha de recepción. </w:t>
      </w:r>
    </w:p>
    <w:p w14:paraId="623FCF8D" w14:textId="77777777" w:rsidR="00DD75EA" w:rsidRPr="00933EA2" w:rsidRDefault="00DD75EA" w:rsidP="00933EA2">
      <w:pPr>
        <w:jc w:val="both"/>
      </w:pPr>
      <w:r>
        <w:t>La lista de organismos de certificación se actualizará en consecuencia.</w:t>
      </w:r>
    </w:p>
    <w:p w14:paraId="450A4FEE" w14:textId="77777777" w:rsidR="00DD75EA" w:rsidRPr="00933EA2" w:rsidRDefault="00DD75EA" w:rsidP="00933EA2">
      <w:pPr>
        <w:jc w:val="both"/>
      </w:pPr>
      <w:r>
        <w:t xml:space="preserve"> </w:t>
      </w:r>
    </w:p>
    <w:p w14:paraId="37A93308" w14:textId="77777777" w:rsidR="00DD75EA" w:rsidRPr="00933EA2" w:rsidRDefault="00DD75EA" w:rsidP="00933EA2">
      <w:pPr>
        <w:keepNext/>
        <w:keepLines/>
        <w:jc w:val="center"/>
        <w:rPr>
          <w:b/>
        </w:rPr>
      </w:pPr>
      <w:r>
        <w:rPr>
          <w:b/>
        </w:rPr>
        <w:lastRenderedPageBreak/>
        <w:t>CAPÍTULO 3 – TRABAJOS DE CERTIFICACIÓN</w:t>
      </w:r>
    </w:p>
    <w:p w14:paraId="71177E03" w14:textId="77777777" w:rsidR="00DD75EA" w:rsidRPr="00933EA2" w:rsidRDefault="00DD75EA" w:rsidP="00933EA2">
      <w:pPr>
        <w:keepNext/>
        <w:keepLines/>
        <w:rPr>
          <w:b/>
        </w:rPr>
      </w:pPr>
    </w:p>
    <w:p w14:paraId="2D4A3D91" w14:textId="69848FCB" w:rsidR="00DD75EA" w:rsidRPr="00933EA2" w:rsidRDefault="00DD75EA" w:rsidP="00933EA2">
      <w:pPr>
        <w:keepNext/>
        <w:keepLines/>
        <w:jc w:val="center"/>
        <w:rPr>
          <w:b/>
        </w:rPr>
      </w:pPr>
      <w:r>
        <w:rPr>
          <w:b/>
        </w:rPr>
        <w:t>Artículo 20</w:t>
      </w:r>
    </w:p>
    <w:p w14:paraId="14289C8D" w14:textId="77777777" w:rsidR="00DD75EA" w:rsidRPr="00933EA2" w:rsidRDefault="00DD75EA" w:rsidP="00933EA2">
      <w:pPr>
        <w:keepNext/>
        <w:keepLines/>
        <w:rPr>
          <w:b/>
        </w:rPr>
      </w:pPr>
    </w:p>
    <w:p w14:paraId="750A7B87" w14:textId="77777777" w:rsidR="00DD75EA" w:rsidRPr="00933EA2" w:rsidRDefault="00DD75EA" w:rsidP="00933EA2">
      <w:pPr>
        <w:jc w:val="both"/>
      </w:pPr>
      <w:r>
        <w:t xml:space="preserve">De conformidad con lo dispuesto en el artículo 23 de la mencionada Ley de 12 de mayo de 2010, el trabajo de certificación se refiere al cumplimiento por parte del operador de todas las obligaciones técnicas aplicables a su actividad. </w:t>
      </w:r>
    </w:p>
    <w:p w14:paraId="2E31CDA0" w14:textId="77777777" w:rsidR="00DD75EA" w:rsidRPr="00933EA2" w:rsidRDefault="00DD75EA" w:rsidP="00933EA2">
      <w:pPr>
        <w:jc w:val="both"/>
      </w:pPr>
      <w:r>
        <w:t xml:space="preserve">La Autoridad Nacional del Juego determinará el método, la naturaleza y el alcance de los controles realizados por el organismo de certificación. </w:t>
      </w:r>
    </w:p>
    <w:p w14:paraId="47AA3609" w14:textId="77777777" w:rsidR="00DD75EA" w:rsidRPr="00933EA2" w:rsidRDefault="00DD75EA" w:rsidP="00933EA2">
      <w:pPr>
        <w:jc w:val="both"/>
      </w:pPr>
    </w:p>
    <w:p w14:paraId="67E7D8F9" w14:textId="1D8D5669" w:rsidR="00DD75EA" w:rsidRPr="00933EA2" w:rsidRDefault="00DD75EA" w:rsidP="00933EA2">
      <w:pPr>
        <w:keepNext/>
        <w:keepLines/>
        <w:jc w:val="center"/>
        <w:rPr>
          <w:b/>
        </w:rPr>
      </w:pPr>
      <w:r>
        <w:rPr>
          <w:b/>
        </w:rPr>
        <w:t>Artículo 21</w:t>
      </w:r>
    </w:p>
    <w:p w14:paraId="447BC344" w14:textId="77777777" w:rsidR="00DD75EA" w:rsidRPr="00933EA2" w:rsidRDefault="00DD75EA" w:rsidP="00933EA2">
      <w:pPr>
        <w:keepNext/>
        <w:keepLines/>
        <w:rPr>
          <w:b/>
        </w:rPr>
      </w:pPr>
    </w:p>
    <w:p w14:paraId="5AFED660" w14:textId="77777777" w:rsidR="00DD75EA" w:rsidRPr="00933EA2" w:rsidRDefault="00DD75EA" w:rsidP="00933EA2">
      <w:pPr>
        <w:jc w:val="both"/>
      </w:pPr>
      <w:r>
        <w:t xml:space="preserve">Las operaciones de análisis realizadas por el organismo de certificación no son iterativas durante una misma certificación: cada requisito controlado será objeto de una sola medición. </w:t>
      </w:r>
    </w:p>
    <w:p w14:paraId="7D73166F" w14:textId="77777777" w:rsidR="00DD75EA" w:rsidRPr="00933EA2" w:rsidRDefault="00DD75EA" w:rsidP="00933EA2">
      <w:pPr>
        <w:jc w:val="both"/>
      </w:pPr>
      <w:r>
        <w:t xml:space="preserve">Durante la medición podrá haber comunicación entre el organismo de certificación y el operador para el que certifica. Sin embargo, una vez realizada la medición, esta comunicación no podrá en ningún caso llevar al organismo de certificación a realizar una nueva medición. </w:t>
      </w:r>
    </w:p>
    <w:p w14:paraId="4330A04D" w14:textId="696746BE" w:rsidR="00DD75EA" w:rsidRPr="00933EA2" w:rsidRDefault="00DD75EA" w:rsidP="00933EA2">
      <w:pPr>
        <w:jc w:val="both"/>
      </w:pPr>
      <w:r>
        <w:t xml:space="preserve">En particular, las modificaciones, en su caso hechas por un operador en el curso de la certificación en un punto de control ya medido, no podrán modificar la declaración inicial que debe aparecer en el informe de certificación. </w:t>
      </w:r>
    </w:p>
    <w:p w14:paraId="3B828D1A" w14:textId="77777777" w:rsidR="00DD75EA" w:rsidRPr="00933EA2" w:rsidRDefault="00DD75EA" w:rsidP="00933EA2">
      <w:pPr>
        <w:jc w:val="both"/>
      </w:pPr>
    </w:p>
    <w:p w14:paraId="1A6C0433" w14:textId="5238B0B1" w:rsidR="00DD75EA" w:rsidRPr="00933EA2" w:rsidRDefault="00DD75EA" w:rsidP="00933EA2">
      <w:pPr>
        <w:keepNext/>
        <w:keepLines/>
        <w:jc w:val="center"/>
        <w:rPr>
          <w:b/>
        </w:rPr>
      </w:pPr>
      <w:r>
        <w:rPr>
          <w:b/>
        </w:rPr>
        <w:t>Artículo 22</w:t>
      </w:r>
    </w:p>
    <w:p w14:paraId="3CE9E5A1" w14:textId="77777777" w:rsidR="00DD75EA" w:rsidRPr="00933EA2" w:rsidRDefault="00DD75EA" w:rsidP="00933EA2">
      <w:pPr>
        <w:keepNext/>
        <w:keepLines/>
        <w:rPr>
          <w:b/>
        </w:rPr>
      </w:pPr>
    </w:p>
    <w:p w14:paraId="741B27CE" w14:textId="63DF5921" w:rsidR="00DD75EA" w:rsidRPr="00933EA2" w:rsidRDefault="00DD75EA" w:rsidP="00933EA2">
      <w:pPr>
        <w:jc w:val="both"/>
      </w:pPr>
      <w:r>
        <w:t xml:space="preserve">Al final de su trabajo, el organismo de certificación elaborará un informe en el que se recojan las observaciones realizadas. Este informe enumerará todos los incumplimientos encontrados, independientemente de su nivel de criticidad. </w:t>
      </w:r>
    </w:p>
    <w:p w14:paraId="50D2ED44" w14:textId="77777777" w:rsidR="00DD75EA" w:rsidRPr="00933EA2" w:rsidRDefault="00DD75EA" w:rsidP="00933EA2">
      <w:pPr>
        <w:jc w:val="both"/>
      </w:pPr>
      <w:r>
        <w:t xml:space="preserve">El informe concluirá con la certificación sin reservas o con reservas. </w:t>
      </w:r>
    </w:p>
    <w:p w14:paraId="46E5250A" w14:textId="77777777" w:rsidR="00DD75EA" w:rsidRPr="00933EA2" w:rsidRDefault="00DD75EA" w:rsidP="00933EA2">
      <w:pPr>
        <w:jc w:val="both"/>
      </w:pPr>
      <w:r>
        <w:t xml:space="preserve">La certificación se realizará con reservas cuando uno o más requisitos técnicos que presentan un nivel de criticidad definido por la referencia técnica no se hayan alcanzado. </w:t>
      </w:r>
    </w:p>
    <w:p w14:paraId="5FCADA94" w14:textId="77777777" w:rsidR="00DD75EA" w:rsidRPr="00933EA2" w:rsidRDefault="00DD75EA" w:rsidP="00933EA2">
      <w:pPr>
        <w:jc w:val="both"/>
      </w:pPr>
      <w:r>
        <w:t xml:space="preserve">El organismo de certificación remitirá al operador en cuestión el documento que certifique que ha obtenido la certificación a que se refiere el artículo 23 de la Ley de 12 de mayo de 2010, mencionada, para que pueda proceder a la transmisión prevista en este artículo. Este documento indicará si la certificación se obtiene con o sin reservas e indicará, si corresponde, las reservas en cuestión. </w:t>
      </w:r>
    </w:p>
    <w:p w14:paraId="043059D4" w14:textId="77777777" w:rsidR="00DD75EA" w:rsidRPr="00933EA2" w:rsidRDefault="00DD75EA" w:rsidP="00933EA2">
      <w:pPr>
        <w:jc w:val="both"/>
      </w:pPr>
    </w:p>
    <w:p w14:paraId="4DF2C95F" w14:textId="0A6B373C" w:rsidR="00DD75EA" w:rsidRPr="00933EA2" w:rsidRDefault="00DD75EA" w:rsidP="00933EA2">
      <w:pPr>
        <w:keepNext/>
        <w:keepLines/>
        <w:jc w:val="center"/>
        <w:rPr>
          <w:b/>
        </w:rPr>
      </w:pPr>
      <w:r>
        <w:rPr>
          <w:b/>
        </w:rPr>
        <w:t>Artículo 23</w:t>
      </w:r>
    </w:p>
    <w:p w14:paraId="7624138E" w14:textId="77777777" w:rsidR="00DD75EA" w:rsidRPr="00933EA2" w:rsidRDefault="00DD75EA" w:rsidP="00933EA2">
      <w:pPr>
        <w:keepNext/>
        <w:keepLines/>
        <w:rPr>
          <w:b/>
        </w:rPr>
      </w:pPr>
    </w:p>
    <w:p w14:paraId="610F2AD1" w14:textId="77777777" w:rsidR="00DD75EA" w:rsidRPr="00933EA2" w:rsidRDefault="00DD75EA" w:rsidP="00933EA2">
      <w:pPr>
        <w:jc w:val="both"/>
      </w:pPr>
      <w:r>
        <w:t xml:space="preserve">Tras la presentación del informe de certificación, el operador elaborará, si corresponde, hojas de disconformidades que enviará a la Autoridad Nacional del Juego dentro del mes siguiente a la presentación de este informe. Estas hojas de disconformidades se enviarán, para información, al organismo de certificación. </w:t>
      </w:r>
    </w:p>
    <w:p w14:paraId="1DEA7410" w14:textId="77777777" w:rsidR="00DD75EA" w:rsidRPr="00933EA2" w:rsidRDefault="00DD75EA" w:rsidP="00933EA2">
      <w:pPr>
        <w:jc w:val="both"/>
      </w:pPr>
      <w:r>
        <w:t xml:space="preserve">Las fichas de disconformidades serán independientes del informe de certificación. </w:t>
      </w:r>
    </w:p>
    <w:p w14:paraId="46733F03" w14:textId="77777777" w:rsidR="00DD75EA" w:rsidRPr="00933EA2" w:rsidRDefault="00DD75EA" w:rsidP="00933EA2">
      <w:pPr>
        <w:jc w:val="both"/>
      </w:pPr>
      <w:r>
        <w:t xml:space="preserve">Incluirán una lista de todos los incumplimientos identificados en el informe de certificación, independientemente de su nivel de criticidad. </w:t>
      </w:r>
    </w:p>
    <w:p w14:paraId="4E452E94" w14:textId="77777777" w:rsidR="00DD75EA" w:rsidRPr="00933EA2" w:rsidRDefault="00DD75EA" w:rsidP="00933EA2">
      <w:pPr>
        <w:jc w:val="both"/>
      </w:pPr>
      <w:r>
        <w:t xml:space="preserve">Para cada disconformidad, el operador propondrá, si es necesario, medidas correctivas, así como un calendario de implementación. </w:t>
      </w:r>
    </w:p>
    <w:p w14:paraId="4F18D176" w14:textId="77777777" w:rsidR="00DD75EA" w:rsidRPr="00933EA2" w:rsidRDefault="00DD75EA" w:rsidP="00933EA2">
      <w:pPr>
        <w:jc w:val="both"/>
      </w:pPr>
      <w:r>
        <w:t xml:space="preserve">Estas hojas de disconformidades también podrán permitir al operador llamar la atención de la Autoridad Nacional del Juego sobre cualquier información u observación útil sobre el progreso de las operaciones de certificación o informarle de cualquier desacuerdo con las conclusiones del informe o con la metodología utilizada. Si fuera necesario, el operador podrá realizar una nueva </w:t>
      </w:r>
      <w:r>
        <w:lastRenderedPageBreak/>
        <w:t xml:space="preserve">medición e incluir el resultado de esta medición dentro del marco de las hojas de disconformidades. </w:t>
      </w:r>
    </w:p>
    <w:p w14:paraId="062872B7" w14:textId="77777777" w:rsidR="00DD75EA" w:rsidRPr="00933EA2" w:rsidRDefault="00DD75EA" w:rsidP="00933EA2">
      <w:pPr>
        <w:rPr>
          <w:b/>
        </w:rPr>
      </w:pPr>
    </w:p>
    <w:p w14:paraId="58C57799" w14:textId="4E32B005" w:rsidR="00DD75EA" w:rsidRPr="00933EA2" w:rsidRDefault="00DD75EA" w:rsidP="00933EA2">
      <w:pPr>
        <w:keepNext/>
        <w:keepLines/>
        <w:jc w:val="center"/>
        <w:rPr>
          <w:b/>
        </w:rPr>
      </w:pPr>
      <w:r>
        <w:rPr>
          <w:b/>
        </w:rPr>
        <w:t>Artículo 24</w:t>
      </w:r>
    </w:p>
    <w:p w14:paraId="2A8A0D5D" w14:textId="77777777" w:rsidR="00DD75EA" w:rsidRPr="00933EA2" w:rsidRDefault="00DD75EA" w:rsidP="00933EA2">
      <w:pPr>
        <w:keepNext/>
        <w:keepLines/>
        <w:rPr>
          <w:b/>
        </w:rPr>
      </w:pPr>
    </w:p>
    <w:p w14:paraId="0D2F6807" w14:textId="77777777" w:rsidR="00DD75EA" w:rsidRPr="00933EA2" w:rsidRDefault="00DD75EA" w:rsidP="00933EA2">
      <w:pPr>
        <w:jc w:val="both"/>
      </w:pPr>
      <w:r>
        <w:t xml:space="preserve">Los organismos que figuran en la lista de organismos de certificación debido a su experiencia técnica antes de la fecha de publicación del presente Decreto permanecerán en la lista hasta el final del plazo establecido por las disposiciones vigentes en la fecha de la inclusión en la lista. </w:t>
      </w:r>
    </w:p>
    <w:p w14:paraId="6EB693B4" w14:textId="77777777" w:rsidR="00D13FBA" w:rsidRPr="00933EA2" w:rsidRDefault="00DD75EA" w:rsidP="00933EA2">
      <w:pPr>
        <w:jc w:val="both"/>
      </w:pPr>
      <w:r>
        <w:t xml:space="preserve">Los organismos incluidos en la lista de organismos de certificación debido a su experiencia técnica como subcontratistas antes de la fecha de publicación del presente Decreto permanecerán en la lista hasta el final del período establecido por las disposiciones vigentes en la fecha de su inclusión en la lista. Podrán proponer trabajos de certificación como su actividad principal en virtud de las disposiciones del presente Decreto desde su publicación. </w:t>
      </w:r>
    </w:p>
    <w:p w14:paraId="6D4D6550" w14:textId="77777777" w:rsidR="001441BB" w:rsidRPr="00933EA2" w:rsidRDefault="001441BB" w:rsidP="00933EA2">
      <w:pPr>
        <w:jc w:val="both"/>
      </w:pPr>
    </w:p>
    <w:p w14:paraId="4D3490E4" w14:textId="77777777" w:rsidR="008701C9" w:rsidRPr="00933EA2" w:rsidRDefault="008701C9" w:rsidP="00933EA2">
      <w:pPr>
        <w:jc w:val="both"/>
      </w:pPr>
    </w:p>
    <w:p w14:paraId="74A76B25" w14:textId="0F312A14" w:rsidR="008701C9" w:rsidRPr="00933EA2" w:rsidRDefault="008701C9" w:rsidP="00933EA2">
      <w:pPr>
        <w:keepNext/>
        <w:keepLines/>
        <w:jc w:val="center"/>
        <w:rPr>
          <w:b/>
        </w:rPr>
      </w:pPr>
      <w:r>
        <w:rPr>
          <w:b/>
        </w:rPr>
        <w:t>TÍTULO IV: PROPORCIÓN MÁXIMA DE LAS CANTIDADES PAGADAS A LOS JUGADORES POR TÉRMINO MEDIO POR LOS OPERADORES AUTORIZADOS DE APUESTAS HÍPICAS Y DEPORTIVAS EN LÍNEA</w:t>
      </w:r>
    </w:p>
    <w:p w14:paraId="55C64EFF" w14:textId="77777777" w:rsidR="00DD75EA" w:rsidRPr="00933EA2" w:rsidRDefault="00DD75EA" w:rsidP="00933EA2">
      <w:pPr>
        <w:pStyle w:val="BodyText"/>
        <w:keepNext/>
        <w:keepLines/>
      </w:pPr>
    </w:p>
    <w:p w14:paraId="33D15D7C" w14:textId="099784A4" w:rsidR="008701C9" w:rsidRPr="00933EA2" w:rsidRDefault="008701C9" w:rsidP="00933EA2">
      <w:pPr>
        <w:pStyle w:val="BodyText"/>
        <w:keepNext/>
        <w:keepLines/>
        <w:jc w:val="center"/>
        <w:rPr>
          <w:b/>
        </w:rPr>
      </w:pPr>
      <w:r>
        <w:rPr>
          <w:b/>
        </w:rPr>
        <w:t>Artículo 25</w:t>
      </w:r>
    </w:p>
    <w:p w14:paraId="01FC3784" w14:textId="77777777" w:rsidR="008701C9" w:rsidRPr="00933EA2" w:rsidRDefault="008701C9" w:rsidP="00933EA2">
      <w:pPr>
        <w:pStyle w:val="BodyText"/>
        <w:keepNext/>
        <w:keepLines/>
      </w:pPr>
    </w:p>
    <w:p w14:paraId="43EA71C9" w14:textId="77777777" w:rsidR="008701C9" w:rsidRPr="00933EA2" w:rsidRDefault="008701C9" w:rsidP="00933EA2">
      <w:pPr>
        <w:pStyle w:val="BodyText"/>
        <w:jc w:val="both"/>
      </w:pPr>
      <w:r>
        <w:t>La proporción máxima de las sumas pagadas por término medio a los jugadores, mencionada en el artículo 13, apartado II, de la Ley de 12 de mayo de 2010, mencionada, se definirá como la relación entre las sumas pagadas a los jugadores por el operador de apuestas y las cantidades apostadas por dichos jugadores.</w:t>
      </w:r>
    </w:p>
    <w:p w14:paraId="141BF3A8" w14:textId="77777777" w:rsidR="008701C9" w:rsidRPr="00933EA2" w:rsidRDefault="008701C9" w:rsidP="00933EA2">
      <w:pPr>
        <w:pStyle w:val="BodyText"/>
        <w:jc w:val="both"/>
      </w:pPr>
    </w:p>
    <w:p w14:paraId="0F5F3107" w14:textId="14C82C5F" w:rsidR="008701C9" w:rsidRPr="00933EA2" w:rsidRDefault="008701C9" w:rsidP="00933EA2">
      <w:pPr>
        <w:pStyle w:val="BodyText"/>
        <w:keepNext/>
        <w:keepLines/>
        <w:jc w:val="center"/>
        <w:rPr>
          <w:b/>
        </w:rPr>
      </w:pPr>
      <w:r>
        <w:rPr>
          <w:b/>
        </w:rPr>
        <w:t>Artículo 26</w:t>
      </w:r>
    </w:p>
    <w:p w14:paraId="51E88779" w14:textId="77777777" w:rsidR="008701C9" w:rsidRPr="00933EA2" w:rsidRDefault="008701C9" w:rsidP="00933EA2">
      <w:pPr>
        <w:keepNext/>
        <w:keepLines/>
        <w:jc w:val="both"/>
        <w:rPr>
          <w:strike/>
        </w:rPr>
      </w:pPr>
    </w:p>
    <w:p w14:paraId="60A2140F" w14:textId="5E5AF31B" w:rsidR="008701C9" w:rsidRPr="00933EA2" w:rsidRDefault="008701C9" w:rsidP="00933EA2">
      <w:pPr>
        <w:jc w:val="both"/>
      </w:pPr>
      <w:r>
        <w:t>Las sumas pagadas a los jugadores consistirán en todas las ganancias en efectivo o en especie que venzan a partir de la fecha de realización de los eventos en los que se basa el juego, incluidas las sumas aportadas por el operador, siempre que el jugador pueda exigir el pago en su cuenta de pago.</w:t>
      </w:r>
    </w:p>
    <w:p w14:paraId="44E85AE4" w14:textId="77777777" w:rsidR="008701C9" w:rsidRPr="00933EA2" w:rsidRDefault="008701C9" w:rsidP="00933EA2">
      <w:pPr>
        <w:jc w:val="both"/>
      </w:pPr>
    </w:p>
    <w:p w14:paraId="20F3B5B2" w14:textId="77777777" w:rsidR="008701C9" w:rsidRPr="00933EA2" w:rsidRDefault="008701C9" w:rsidP="00933EA2">
      <w:pPr>
        <w:jc w:val="both"/>
      </w:pPr>
      <w:r>
        <w:t xml:space="preserve">Las apuestas de los jugadores consistirán en las sumas en efectivo aportadas por los jugadores y se contarán a partir de la fecha de finalización de los eventos en los que se basa el juego. </w:t>
      </w:r>
    </w:p>
    <w:p w14:paraId="408E3179" w14:textId="7A55EB21" w:rsidR="008701C9" w:rsidRDefault="008701C9" w:rsidP="00933EA2">
      <w:pPr>
        <w:pStyle w:val="BodyText"/>
        <w:keepNext/>
        <w:keepLines/>
        <w:jc w:val="center"/>
        <w:rPr>
          <w:b/>
        </w:rPr>
      </w:pPr>
      <w:r>
        <w:rPr>
          <w:b/>
        </w:rPr>
        <w:t>Artículo 27</w:t>
      </w:r>
    </w:p>
    <w:p w14:paraId="2795718B" w14:textId="77777777" w:rsidR="00933EA2" w:rsidRPr="00933EA2" w:rsidRDefault="00933EA2" w:rsidP="00933EA2">
      <w:pPr>
        <w:keepNext/>
        <w:keepLines/>
        <w:jc w:val="both"/>
        <w:rPr>
          <w:strike/>
        </w:rPr>
      </w:pPr>
    </w:p>
    <w:p w14:paraId="2A0CD78F" w14:textId="77777777" w:rsidR="008701C9" w:rsidRPr="00933EA2" w:rsidRDefault="008701C9" w:rsidP="00933EA2">
      <w:pPr>
        <w:jc w:val="both"/>
      </w:pPr>
      <w:r>
        <w:t>La proporción máxima de sumas pagadas por término medio a los jugadores en el marco de la explotación de apuestas en línea será del 85 %.</w:t>
      </w:r>
    </w:p>
    <w:p w14:paraId="49B6524E" w14:textId="4D2A42CE" w:rsidR="008701C9" w:rsidRPr="00933EA2" w:rsidRDefault="008701C9" w:rsidP="00933EA2">
      <w:pPr>
        <w:pStyle w:val="BodyText"/>
        <w:keepNext/>
        <w:keepLines/>
        <w:jc w:val="center"/>
        <w:rPr>
          <w:b/>
        </w:rPr>
      </w:pPr>
      <w:r>
        <w:rPr>
          <w:b/>
        </w:rPr>
        <w:t>Artículo 28</w:t>
      </w:r>
    </w:p>
    <w:p w14:paraId="72804D81" w14:textId="77777777" w:rsidR="008701C9" w:rsidRPr="00933EA2" w:rsidRDefault="008701C9" w:rsidP="00933EA2">
      <w:pPr>
        <w:keepNext/>
        <w:keepLines/>
        <w:jc w:val="both"/>
        <w:rPr>
          <w:strike/>
        </w:rPr>
      </w:pPr>
    </w:p>
    <w:p w14:paraId="52D40D03" w14:textId="77777777" w:rsidR="008701C9" w:rsidRPr="00933EA2" w:rsidRDefault="008701C9" w:rsidP="00933EA2">
      <w:pPr>
        <w:jc w:val="both"/>
      </w:pPr>
      <w:r>
        <w:t>Para la aplicación del artículo 28, la proporción máxima de las sumas pagadas por término medio a los jugadores:</w:t>
      </w:r>
    </w:p>
    <w:p w14:paraId="2C04064E" w14:textId="77777777" w:rsidR="008701C9" w:rsidRPr="00933EA2" w:rsidRDefault="008701C9" w:rsidP="00933EA2">
      <w:pPr>
        <w:ind w:left="708"/>
        <w:jc w:val="both"/>
      </w:pPr>
      <w:r>
        <w:t>1) se estimará autorización a autorización;</w:t>
      </w:r>
    </w:p>
    <w:p w14:paraId="3172AC7D" w14:textId="77777777" w:rsidR="008701C9" w:rsidRPr="00933EA2" w:rsidRDefault="008701C9" w:rsidP="00933EA2">
      <w:pPr>
        <w:ind w:left="708"/>
        <w:jc w:val="both"/>
      </w:pPr>
      <w:r>
        <w:t>2) se estimará anualmente, sobre la base del año civil.</w:t>
      </w:r>
    </w:p>
    <w:p w14:paraId="174FFC32" w14:textId="77777777" w:rsidR="008701C9" w:rsidRPr="00933EA2" w:rsidRDefault="008701C9" w:rsidP="00933EA2">
      <w:pPr>
        <w:ind w:left="708"/>
        <w:jc w:val="both"/>
      </w:pPr>
    </w:p>
    <w:p w14:paraId="728ADA42" w14:textId="77777777" w:rsidR="008701C9" w:rsidRPr="00933EA2" w:rsidRDefault="008701C9" w:rsidP="00933EA2">
      <w:pPr>
        <w:rPr>
          <w:b/>
        </w:rPr>
      </w:pPr>
    </w:p>
    <w:p w14:paraId="53E41CD9" w14:textId="6951AF60" w:rsidR="008701C9" w:rsidRDefault="008701C9" w:rsidP="00933EA2">
      <w:pPr>
        <w:pStyle w:val="BodyText"/>
        <w:keepNext/>
        <w:keepLines/>
        <w:jc w:val="center"/>
        <w:rPr>
          <w:b/>
        </w:rPr>
      </w:pPr>
      <w:r>
        <w:rPr>
          <w:b/>
        </w:rPr>
        <w:lastRenderedPageBreak/>
        <w:t>Artículo 29</w:t>
      </w:r>
    </w:p>
    <w:p w14:paraId="253ED52E" w14:textId="77777777" w:rsidR="00933EA2" w:rsidRPr="00933EA2" w:rsidRDefault="00933EA2" w:rsidP="00933EA2">
      <w:pPr>
        <w:keepNext/>
        <w:keepLines/>
        <w:rPr>
          <w:b/>
        </w:rPr>
      </w:pPr>
    </w:p>
    <w:p w14:paraId="713388DF" w14:textId="77777777" w:rsidR="008701C9" w:rsidRPr="00933EA2" w:rsidRDefault="008701C9" w:rsidP="00933EA2">
      <w:pPr>
        <w:spacing w:before="100" w:beforeAutospacing="1" w:after="100" w:afterAutospacing="1"/>
        <w:jc w:val="both"/>
      </w:pPr>
      <w:r>
        <w:t>I. ― El operador remitirá cada trimestre a la Autoridad Nacional del Juego, en el marco de su actividad correspondiente a cada una de las autorizaciones como operador de apuestas en línea de las que sea titular, un documento que indique el total de las sumas que ha pagado o que vaya a pagar a los jugadores y el total de cantidades apostadas por estos últimos.</w:t>
      </w:r>
    </w:p>
    <w:p w14:paraId="6116BD42" w14:textId="559F7A3D" w:rsidR="008701C9" w:rsidRPr="00933EA2" w:rsidRDefault="008701C9" w:rsidP="00933EA2">
      <w:pPr>
        <w:spacing w:before="100" w:beforeAutospacing="1" w:after="100" w:afterAutospacing="1"/>
        <w:jc w:val="both"/>
      </w:pPr>
      <w:r>
        <w:t>II. ― Las ganancias en especie serán valoradas por el operador para ser incluidas en el cálculo de la proporción de sumas pagadas a los jugadores; el operador informará a la Autoridad Nacional del Juego sobre los elementos en los que ha basado esta valoración.</w:t>
      </w:r>
    </w:p>
    <w:p w14:paraId="40677CB2" w14:textId="77777777" w:rsidR="008701C9" w:rsidRPr="00933EA2" w:rsidRDefault="008701C9" w:rsidP="00933EA2">
      <w:pPr>
        <w:spacing w:before="100" w:beforeAutospacing="1" w:after="100" w:afterAutospacing="1"/>
        <w:jc w:val="both"/>
      </w:pPr>
      <w:r>
        <w:t>III. ― Dicho documento se remitirá:</w:t>
      </w:r>
    </w:p>
    <w:p w14:paraId="5D278BD5" w14:textId="77777777" w:rsidR="008701C9" w:rsidRPr="00933EA2" w:rsidRDefault="008701C9" w:rsidP="00933EA2">
      <w:pPr>
        <w:spacing w:before="100" w:beforeAutospacing="1" w:after="100" w:afterAutospacing="1"/>
        <w:jc w:val="both"/>
      </w:pPr>
      <w:r>
        <w:t>1) como máximo el 15 de abril, si se trata de operaciones de apuestas realizadas durante el primer trimestre del año en curso;</w:t>
      </w:r>
    </w:p>
    <w:p w14:paraId="512C5C0B" w14:textId="77777777" w:rsidR="008701C9" w:rsidRPr="00933EA2" w:rsidRDefault="008701C9" w:rsidP="00933EA2">
      <w:pPr>
        <w:spacing w:before="100" w:beforeAutospacing="1" w:after="100" w:afterAutospacing="1"/>
        <w:jc w:val="both"/>
      </w:pPr>
      <w:r>
        <w:t>2) como máximo el 15 de julio, si se trata de operaciones de apuestas realizadas durante el segundo trimestre del año en curso;</w:t>
      </w:r>
    </w:p>
    <w:p w14:paraId="2DD400E4" w14:textId="77777777" w:rsidR="008701C9" w:rsidRPr="00933EA2" w:rsidRDefault="008701C9" w:rsidP="00933EA2">
      <w:pPr>
        <w:spacing w:before="100" w:beforeAutospacing="1" w:after="100" w:afterAutospacing="1"/>
        <w:jc w:val="both"/>
      </w:pPr>
      <w:r>
        <w:t>3) como máximo el 15 de octubre, si se trata de operaciones de apuestas realizadas durante el tercer trimestre del año en curso;</w:t>
      </w:r>
    </w:p>
    <w:p w14:paraId="3932FE13" w14:textId="77777777" w:rsidR="008701C9" w:rsidRPr="00933EA2" w:rsidRDefault="008701C9" w:rsidP="00933EA2">
      <w:pPr>
        <w:spacing w:before="100" w:beforeAutospacing="1" w:after="100" w:afterAutospacing="1"/>
        <w:jc w:val="both"/>
      </w:pPr>
      <w:r>
        <w:t>4) como máximo el 15 de enero, si se trata de operaciones de apuestas realizadas durante el cuarto trimestre del año anterior.</w:t>
      </w:r>
    </w:p>
    <w:p w14:paraId="53B60FC2" w14:textId="77777777" w:rsidR="008701C9" w:rsidRPr="00933EA2" w:rsidRDefault="008701C9" w:rsidP="00933EA2">
      <w:pPr>
        <w:jc w:val="both"/>
        <w:rPr>
          <w:u w:val="single"/>
        </w:rPr>
      </w:pPr>
    </w:p>
    <w:p w14:paraId="0A87592D" w14:textId="07D61823" w:rsidR="008701C9" w:rsidRDefault="008701C9" w:rsidP="00933EA2">
      <w:pPr>
        <w:pStyle w:val="BodyText"/>
        <w:keepNext/>
        <w:keepLines/>
        <w:jc w:val="center"/>
        <w:rPr>
          <w:b/>
        </w:rPr>
      </w:pPr>
      <w:r>
        <w:rPr>
          <w:b/>
        </w:rPr>
        <w:t>Artículo 30</w:t>
      </w:r>
    </w:p>
    <w:p w14:paraId="76851D86" w14:textId="77777777" w:rsidR="00933EA2" w:rsidRPr="00933EA2" w:rsidRDefault="00933EA2" w:rsidP="00933EA2">
      <w:pPr>
        <w:keepNext/>
        <w:keepLines/>
        <w:rPr>
          <w:b/>
        </w:rPr>
      </w:pPr>
    </w:p>
    <w:p w14:paraId="0574C2B5" w14:textId="77777777" w:rsidR="008701C9" w:rsidRPr="00933EA2" w:rsidRDefault="008701C9" w:rsidP="00933EA2">
      <w:pPr>
        <w:spacing w:before="100" w:beforeAutospacing="1" w:after="100" w:afterAutospacing="1"/>
        <w:jc w:val="both"/>
      </w:pPr>
      <w:r>
        <w:t xml:space="preserve">Los operadores titulares de la autorización prevista en el </w:t>
      </w:r>
      <w:hyperlink r:id="rId6">
        <w:r>
          <w:t>artículo 21, de la Ley de 12 de mayo de 2010, mencionada</w:t>
        </w:r>
      </w:hyperlink>
      <w:r>
        <w:t>, que decidan mutualizar entre ellos las apuestas realizadas por sus propios apostantes celebrarán a tal efecto, por escrito, un convenio de mutualización.</w:t>
      </w:r>
    </w:p>
    <w:p w14:paraId="6B5E456F" w14:textId="77777777" w:rsidR="008701C9" w:rsidRPr="00452EF3" w:rsidRDefault="008701C9" w:rsidP="00933EA2">
      <w:pPr>
        <w:spacing w:after="240"/>
        <w:jc w:val="both"/>
      </w:pPr>
      <w:r>
        <w:t xml:space="preserve">Se enviará un ejemplar del convenio de mutualización tras su firma a la Autoridad Nacional del Juego. </w:t>
      </w:r>
    </w:p>
    <w:p w14:paraId="1A9AAF8F" w14:textId="77777777" w:rsidR="008701C9" w:rsidRPr="00933EA2" w:rsidRDefault="008701C9" w:rsidP="00933EA2">
      <w:pPr>
        <w:spacing w:after="240"/>
        <w:jc w:val="both"/>
      </w:pPr>
      <w:r>
        <w:t>El convenio definirá los derechos y las obligaciones de los operadores autorizados que lo compongan y determinará, en particular:</w:t>
      </w:r>
    </w:p>
    <w:p w14:paraId="3B4DBAB8" w14:textId="77777777" w:rsidR="008701C9" w:rsidRPr="00933EA2" w:rsidRDefault="008701C9" w:rsidP="00933EA2">
      <w:pPr>
        <w:spacing w:after="240"/>
        <w:jc w:val="both"/>
      </w:pPr>
      <w:r>
        <w:t>1) la persona encargada de gestionar las cantidades mutualizadas de forma que los operadores autorizados respeten el porcentaje máximo de las sumas pagadas por término medio a los jugadores especificado en el artículo 3;</w:t>
      </w:r>
    </w:p>
    <w:p w14:paraId="30010068" w14:textId="77777777" w:rsidR="008701C9" w:rsidRPr="00933EA2" w:rsidRDefault="008701C9" w:rsidP="00933EA2">
      <w:pPr>
        <w:spacing w:after="240"/>
        <w:jc w:val="both"/>
      </w:pPr>
      <w:r>
        <w:t>2) en materia de apuestas hípicas, la carrera o conjunto de carreras, así como el tipo de resultado que constituyen el objeto de la mutualización;</w:t>
      </w:r>
    </w:p>
    <w:p w14:paraId="31796E46" w14:textId="77777777" w:rsidR="008701C9" w:rsidRPr="00933EA2" w:rsidRDefault="008701C9" w:rsidP="00933EA2">
      <w:pPr>
        <w:spacing w:after="240"/>
        <w:jc w:val="both"/>
      </w:pPr>
      <w:r>
        <w:t>3) en materia de apuestas deportivas, la competición o el acontecimiento deportivo, así como el tipo de resultado que constituyen el objeto de la mutualización;</w:t>
      </w:r>
    </w:p>
    <w:p w14:paraId="1A883AC4" w14:textId="3B68A492" w:rsidR="008701C9" w:rsidRPr="00933EA2" w:rsidRDefault="008701C9" w:rsidP="00933EA2">
      <w:pPr>
        <w:spacing w:after="240"/>
        <w:jc w:val="both"/>
      </w:pPr>
      <w:r>
        <w:lastRenderedPageBreak/>
        <w:t>4) las modalidades de gestión de las bonificaciones, de las grandes cantidades de las apuestas y las ganancias definidas por los operadores con vistas al cumplimiento del porcentaje fijado en el artículo 27;</w:t>
      </w:r>
    </w:p>
    <w:p w14:paraId="774321AE" w14:textId="77777777" w:rsidR="008701C9" w:rsidRPr="00933EA2" w:rsidRDefault="008701C9" w:rsidP="00933EA2">
      <w:pPr>
        <w:spacing w:after="240"/>
        <w:jc w:val="both"/>
      </w:pPr>
      <w:r>
        <w:t>5) las modalidades técnicas a partir de las que se realiza la mutualización de las cantidades.</w:t>
      </w:r>
    </w:p>
    <w:p w14:paraId="656FFE0E" w14:textId="77777777" w:rsidR="008701C9" w:rsidRPr="00933EA2" w:rsidRDefault="008701C9" w:rsidP="00933EA2">
      <w:pPr>
        <w:jc w:val="both"/>
        <w:rPr>
          <w:u w:val="single"/>
        </w:rPr>
      </w:pPr>
    </w:p>
    <w:p w14:paraId="14724404" w14:textId="387E552C" w:rsidR="008701C9" w:rsidRPr="00933EA2" w:rsidRDefault="00B705CF" w:rsidP="00933EA2">
      <w:pPr>
        <w:pStyle w:val="BodyText"/>
        <w:keepNext/>
        <w:keepLines/>
        <w:jc w:val="center"/>
        <w:rPr>
          <w:b/>
        </w:rPr>
      </w:pPr>
      <w:r>
        <w:rPr>
          <w:b/>
        </w:rPr>
        <w:t>Artículo 31</w:t>
      </w:r>
    </w:p>
    <w:p w14:paraId="7EA81AA0" w14:textId="77777777" w:rsidR="008701C9" w:rsidRPr="00933EA2" w:rsidRDefault="008701C9" w:rsidP="00933EA2">
      <w:pPr>
        <w:keepNext/>
        <w:keepLines/>
        <w:rPr>
          <w:b/>
        </w:rPr>
      </w:pPr>
    </w:p>
    <w:p w14:paraId="12126FC7" w14:textId="77777777" w:rsidR="008701C9" w:rsidRPr="00933EA2" w:rsidRDefault="008701C9" w:rsidP="00933EA2">
      <w:pPr>
        <w:jc w:val="both"/>
      </w:pPr>
      <w:r>
        <w:t>El porcentaje de las sumas pagadas por término medio a los jugadores, o la tasa de retorno de los jugadores (TRJ) se determinará para cada operador autorizado que forme parte de un convenio de mutualización, aplicando la siguiente fórmula:</w:t>
      </w:r>
    </w:p>
    <w:p w14:paraId="6856DE50" w14:textId="5415CC7F" w:rsidR="008701C9" w:rsidRPr="00933EA2" w:rsidRDefault="008701C9" w:rsidP="00933EA2">
      <w:pPr>
        <w:spacing w:before="100" w:beforeAutospacing="1" w:after="100" w:afterAutospacing="1"/>
        <w:jc w:val="both"/>
      </w:pPr>
      <w:r>
        <w:t xml:space="preserve">Puede consultar la fórmula en el facsímil del Boletín Oficial n.º 0244 de 21.10.2015, texto 6, en la siguiente dirección: </w:t>
      </w:r>
    </w:p>
    <w:p w14:paraId="679B85AB" w14:textId="77777777" w:rsidR="008701C9" w:rsidRPr="00933EA2" w:rsidRDefault="00631D2B" w:rsidP="00933EA2">
      <w:pPr>
        <w:spacing w:before="100" w:beforeAutospacing="1" w:after="100" w:afterAutospacing="1"/>
        <w:jc w:val="both"/>
      </w:pPr>
      <w:hyperlink r:id="rId7">
        <w:r w:rsidR="00452EF3">
          <w:rPr>
            <w:color w:val="0000FF"/>
            <w:u w:val="single"/>
          </w:rPr>
          <w:t>http://www.legifrance.gouv.fr/jopdf/common/jo_pdf.jsp?numJO=0&amp;dateJO=20151021&amp;numTexte=6&amp;pageDebut=19518&amp;pageFin=19519</w:t>
        </w:r>
      </w:hyperlink>
      <w:r w:rsidR="00452EF3">
        <w:t xml:space="preserve"> </w:t>
      </w:r>
    </w:p>
    <w:p w14:paraId="5463CC75" w14:textId="77777777" w:rsidR="008701C9" w:rsidRPr="00933EA2" w:rsidRDefault="008701C9" w:rsidP="00933EA2">
      <w:pPr>
        <w:spacing w:before="100" w:beforeAutospacing="1" w:after="100" w:afterAutospacing="1"/>
        <w:jc w:val="both"/>
      </w:pPr>
      <w:r>
        <w:t>[Mises(Mi)] corresponde a la cantidad total de las apuestas efectuadas por los jugadores del operador autorizado al nivel de la cantidad Mi.</w:t>
      </w:r>
    </w:p>
    <w:p w14:paraId="13A78E75" w14:textId="77777777" w:rsidR="008701C9" w:rsidRPr="00933EA2" w:rsidRDefault="008701C9" w:rsidP="00933EA2">
      <w:pPr>
        <w:spacing w:before="100" w:beforeAutospacing="1" w:after="100" w:afterAutospacing="1"/>
        <w:jc w:val="both"/>
      </w:pPr>
      <w:r>
        <w:t>M0 corresponde a la cantidad no mutualizada con el resto de operadores autorizados. Dicha cantidad corresponderá, según el caso, a la cantidad propia del operador autorizado o a la cantidad mutualizada por dicho operador con los operadores no titulares de la autorización prevista en el artículo 21 de la Ley de 12 de mayo de 2010, mencionada.</w:t>
      </w:r>
    </w:p>
    <w:p w14:paraId="1E10CBD7" w14:textId="77777777" w:rsidR="008701C9" w:rsidRPr="00933EA2" w:rsidRDefault="008701C9" w:rsidP="00933EA2">
      <w:pPr>
        <w:spacing w:before="100" w:beforeAutospacing="1" w:after="100" w:afterAutospacing="1"/>
        <w:jc w:val="both"/>
      </w:pPr>
      <w:r>
        <w:t>Mi con i≠0 corresponderá a la cantidad mutualizada con otros operadores autorizados a través del contrato i.</w:t>
      </w:r>
    </w:p>
    <w:p w14:paraId="0568A677" w14:textId="77777777" w:rsidR="008701C9" w:rsidRPr="00933EA2" w:rsidRDefault="008701C9" w:rsidP="00933EA2">
      <w:pPr>
        <w:spacing w:before="100" w:beforeAutospacing="1" w:after="100" w:afterAutospacing="1"/>
        <w:jc w:val="both"/>
      </w:pPr>
      <w:r>
        <w:t>∑nj = 0 Mises (Mj) [0 Apuestas (Mj)] corresponderá a la cantidad total de las apuestas del operador autorizado, realizadas por sus jugadores.</w:t>
      </w:r>
    </w:p>
    <w:p w14:paraId="1AC6CEEB" w14:textId="77777777" w:rsidR="008701C9" w:rsidRPr="00933EA2" w:rsidRDefault="008701C9" w:rsidP="00933EA2">
      <w:pPr>
        <w:spacing w:before="100" w:beforeAutospacing="1" w:after="100" w:afterAutospacing="1"/>
        <w:jc w:val="both"/>
      </w:pPr>
      <w:r>
        <w:t>TRJ(M0) corresponderá a la TRJ de la cantidad del operador no mutualizado con otros operadores autorizados. TRJ(M0) se calculará según el método general indicado en los artículos 1 y 2 y teniendo en cuenta exclusivamente los elementos relacionados con las operaciones no mutualizadas con los operadores autorizados y realizadas exclusivamente por los jugadores del operador.</w:t>
      </w:r>
    </w:p>
    <w:p w14:paraId="57FCBCE0" w14:textId="77777777" w:rsidR="008701C9" w:rsidRPr="00933EA2" w:rsidRDefault="008701C9" w:rsidP="00933EA2">
      <w:pPr>
        <w:spacing w:before="100" w:beforeAutospacing="1" w:after="100" w:afterAutospacing="1"/>
        <w:jc w:val="both"/>
      </w:pPr>
      <w:r>
        <w:t>TRJ(Mi) con i≠0 corresponderá a la TRJ de la cantidad mutualizada Mi.</w:t>
      </w:r>
    </w:p>
    <w:p w14:paraId="15E6BD5C" w14:textId="77777777" w:rsidR="008701C9" w:rsidRPr="00933EA2" w:rsidRDefault="008701C9" w:rsidP="00933EA2">
      <w:pPr>
        <w:spacing w:before="100" w:beforeAutospacing="1" w:after="100" w:afterAutospacing="1"/>
        <w:jc w:val="both"/>
      </w:pPr>
      <w:r>
        <w:t>TRJ(Mi) se calculará según el método general indicado en los artículos 1 y 2 y teniendo en cuenta exclusivamente los elementos relacionados con el contrato de mutualización i y relativos al conjunto de jugadores de los operadores autorizados que sean partes en ese contrato de mutualización.</w:t>
      </w:r>
    </w:p>
    <w:p w14:paraId="74D4ED17" w14:textId="42C1DF07" w:rsidR="008701C9" w:rsidRPr="00933EA2" w:rsidRDefault="00B705CF" w:rsidP="00933EA2">
      <w:pPr>
        <w:pStyle w:val="BodyText"/>
        <w:keepNext/>
        <w:keepLines/>
        <w:jc w:val="center"/>
        <w:rPr>
          <w:b/>
        </w:rPr>
      </w:pPr>
      <w:r>
        <w:rPr>
          <w:b/>
        </w:rPr>
        <w:t>Artículo 32</w:t>
      </w:r>
    </w:p>
    <w:p w14:paraId="2798784E" w14:textId="77777777" w:rsidR="008701C9" w:rsidRPr="00933EA2" w:rsidRDefault="008701C9" w:rsidP="00933EA2">
      <w:pPr>
        <w:keepNext/>
        <w:keepLines/>
        <w:rPr>
          <w:b/>
        </w:rPr>
      </w:pPr>
    </w:p>
    <w:p w14:paraId="1F4C0003" w14:textId="71727D5C" w:rsidR="008701C9" w:rsidRPr="00933EA2" w:rsidRDefault="008701C9" w:rsidP="00933EA2">
      <w:pPr>
        <w:jc w:val="both"/>
      </w:pPr>
      <w:r>
        <w:t xml:space="preserve">El porcentaje de las sumas pagadas por término medio a los jugadores por un operador titular de la autorización prevista en el </w:t>
      </w:r>
      <w:hyperlink r:id="rId8">
        <w:r>
          <w:t>artículo 21 de la Ley de 12 de mayo de 2010, mencionada</w:t>
        </w:r>
      </w:hyperlink>
      <w:r>
        <w:t xml:space="preserve">, que mutualiza las apuestas realizadas por sus propios apostantes únicamente con aquellas realizadas </w:t>
      </w:r>
      <w:r>
        <w:lastRenderedPageBreak/>
        <w:t>por los apostantes de un operador no titular de dicha autorización, se determinará en aplicación de los artículos 25 a 28.</w:t>
      </w:r>
    </w:p>
    <w:p w14:paraId="014ED93E" w14:textId="77777777" w:rsidR="00C342AB" w:rsidRPr="00933EA2" w:rsidRDefault="00C342AB" w:rsidP="00933EA2">
      <w:pPr>
        <w:pStyle w:val="BodyText"/>
        <w:jc w:val="both"/>
      </w:pPr>
    </w:p>
    <w:p w14:paraId="48F0C6DC" w14:textId="02D7A6A2" w:rsidR="00E83532" w:rsidRPr="00933EA2" w:rsidRDefault="00E83532" w:rsidP="007A780D">
      <w:pPr>
        <w:keepNext/>
        <w:keepLines/>
        <w:jc w:val="center"/>
        <w:rPr>
          <w:b/>
        </w:rPr>
      </w:pPr>
      <w:r>
        <w:rPr>
          <w:b/>
        </w:rPr>
        <w:t>TÍTULO V: CONDICIONES DE COMERCIALIZACIÓN DE DERECHOS RELACIONADOS CON LA ORGANIZACIÓN DE APUESTAS EN RELACIÓN CON UN EVENTO O COMPETICIÓN DEPORTIVOS</w:t>
      </w:r>
    </w:p>
    <w:p w14:paraId="5809CD9F" w14:textId="77777777" w:rsidR="00E83532" w:rsidRPr="00933EA2" w:rsidRDefault="00E83532" w:rsidP="007A780D">
      <w:pPr>
        <w:keepNext/>
        <w:keepLines/>
        <w:jc w:val="center"/>
        <w:rPr>
          <w:b/>
        </w:rPr>
      </w:pPr>
    </w:p>
    <w:p w14:paraId="0B22410E" w14:textId="77777777" w:rsidR="00E83532" w:rsidRPr="00933EA2" w:rsidRDefault="00E83532" w:rsidP="007A780D">
      <w:pPr>
        <w:keepNext/>
        <w:keepLines/>
        <w:jc w:val="center"/>
        <w:rPr>
          <w:b/>
        </w:rPr>
      </w:pPr>
    </w:p>
    <w:p w14:paraId="3C2665F7" w14:textId="6BB42B72" w:rsidR="00E83532" w:rsidRPr="00933EA2" w:rsidRDefault="00B705CF" w:rsidP="007A780D">
      <w:pPr>
        <w:pStyle w:val="BodyText"/>
        <w:keepNext/>
        <w:keepLines/>
        <w:jc w:val="center"/>
        <w:rPr>
          <w:b/>
        </w:rPr>
      </w:pPr>
      <w:r>
        <w:rPr>
          <w:b/>
        </w:rPr>
        <w:t>Artículo 33</w:t>
      </w:r>
    </w:p>
    <w:p w14:paraId="28229132" w14:textId="77777777" w:rsidR="00E83532" w:rsidRPr="00933EA2" w:rsidRDefault="00E83532" w:rsidP="007A780D">
      <w:pPr>
        <w:keepNext/>
        <w:keepLines/>
        <w:rPr>
          <w:b/>
        </w:rPr>
      </w:pPr>
    </w:p>
    <w:p w14:paraId="5128E42F" w14:textId="7AD0B049" w:rsidR="001A748C" w:rsidRPr="00933EA2" w:rsidRDefault="001A748C" w:rsidP="00933EA2">
      <w:pPr>
        <w:jc w:val="both"/>
      </w:pPr>
      <w:r>
        <w:t>Las federaciones deportivas y los organizadores de eventos deportivos comercializarán con la empresa titular de los derechos exclusivos mencionados en el artículo 137 de la Ley de 22 de mayo de 2019, mencionada, y, de manera no exclusiva, con los operadores de apuestas deportivas en línea que poseen la autorización prevista en el artículo 21 de la Ley de 12 de mayo de 2010, mencionada, el derecho a organizar apuestas en eventos o competiciones deportivos que organicen en las condiciones previstas en los artículos 34 a 37 del presente Decreto.</w:t>
      </w:r>
    </w:p>
    <w:p w14:paraId="28C6C1AE" w14:textId="77777777" w:rsidR="00E83532" w:rsidRPr="00933EA2" w:rsidRDefault="00E83532" w:rsidP="00933EA2">
      <w:pPr>
        <w:jc w:val="both"/>
      </w:pPr>
    </w:p>
    <w:p w14:paraId="6C010B8C" w14:textId="79F39930" w:rsidR="00E83532" w:rsidRPr="00933EA2" w:rsidRDefault="00B705CF" w:rsidP="00933EA2">
      <w:pPr>
        <w:pStyle w:val="BodyText"/>
        <w:keepNext/>
        <w:keepLines/>
        <w:jc w:val="center"/>
        <w:rPr>
          <w:b/>
        </w:rPr>
      </w:pPr>
      <w:r>
        <w:rPr>
          <w:b/>
        </w:rPr>
        <w:t>Artículo 34</w:t>
      </w:r>
    </w:p>
    <w:p w14:paraId="7F24E3CE" w14:textId="77777777" w:rsidR="00E83532" w:rsidRPr="00933EA2" w:rsidRDefault="00E83532" w:rsidP="00933EA2">
      <w:pPr>
        <w:keepNext/>
        <w:keepLines/>
        <w:rPr>
          <w:b/>
        </w:rPr>
      </w:pPr>
    </w:p>
    <w:p w14:paraId="4544500B" w14:textId="77777777" w:rsidR="00E83532" w:rsidRPr="00933EA2" w:rsidRDefault="00E83532" w:rsidP="00933EA2">
      <w:pPr>
        <w:jc w:val="both"/>
      </w:pPr>
      <w:r>
        <w:t>La comercialización por parte de las federaciones deportivas y los organizadores de eventos deportivos del derecho a organizar apuestas se llevará a cabo de conformidad con un procedimiento de consulta no discriminatorio abierto a todos los operadores que hayan obtenido la autorización del operador de apuestas deportivas prevista en el artículo 21 de la Ley de 12 de mayo de 2010, mencionada.</w:t>
      </w:r>
    </w:p>
    <w:p w14:paraId="68BF99B9" w14:textId="77777777" w:rsidR="00E83532" w:rsidRPr="00933EA2" w:rsidRDefault="00E83532" w:rsidP="00933EA2">
      <w:pPr>
        <w:jc w:val="both"/>
      </w:pPr>
      <w:r>
        <w:t>No podrá ser objeto de lotes separados.</w:t>
      </w:r>
    </w:p>
    <w:p w14:paraId="19794558" w14:textId="77777777" w:rsidR="00E83532" w:rsidRPr="00933EA2" w:rsidRDefault="00E83532" w:rsidP="00933EA2">
      <w:pPr>
        <w:jc w:val="both"/>
      </w:pPr>
      <w:r>
        <w:t>El pliego de condiciones establecido por la federación deportiva o por el organizador de eventos deportivos se transmitirá a todos los operadores autorizados que lo soliciten.</w:t>
      </w:r>
    </w:p>
    <w:p w14:paraId="5C661377" w14:textId="77777777" w:rsidR="00E83532" w:rsidRPr="00933EA2" w:rsidRDefault="00E83532" w:rsidP="00933EA2">
      <w:pPr>
        <w:jc w:val="both"/>
      </w:pPr>
      <w:r>
        <w:t>Dicho pliego de condiciones:</w:t>
      </w:r>
    </w:p>
    <w:p w14:paraId="5305958B" w14:textId="77777777" w:rsidR="00E83532" w:rsidRPr="00933EA2" w:rsidRDefault="00E83532" w:rsidP="00933EA2">
      <w:pPr>
        <w:jc w:val="both"/>
      </w:pPr>
      <w:r>
        <w:t>1) especificará el calendario del procedimiento de adjudicación y las normas que rigen la consulta, en particular en lo que respecta a la fijación del precio en las condiciones del artículo 36;</w:t>
      </w:r>
    </w:p>
    <w:p w14:paraId="1846E31E" w14:textId="77777777" w:rsidR="00E83532" w:rsidRPr="00933EA2" w:rsidRDefault="00E83532" w:rsidP="00933EA2">
      <w:pPr>
        <w:jc w:val="both"/>
      </w:pPr>
      <w:r>
        <w:t>2) especificará el propósito de la consulta, que podrá estar relacionada con uno o más eventos o competiciones deportivos, de acuerdo con las categorías de eventos y competiciones deportivos definidas por la Autoridad Nacional del Juego;</w:t>
      </w:r>
    </w:p>
    <w:p w14:paraId="7283C5C5" w14:textId="77777777" w:rsidR="00E83532" w:rsidRPr="00933EA2" w:rsidRDefault="00E83532" w:rsidP="00933EA2">
      <w:pPr>
        <w:jc w:val="both"/>
      </w:pPr>
      <w:r>
        <w:t>3) fijará la duración del derecho de explotación;</w:t>
      </w:r>
    </w:p>
    <w:p w14:paraId="44470888" w14:textId="77777777" w:rsidR="00E83532" w:rsidRPr="00933EA2" w:rsidRDefault="00E83532" w:rsidP="00933EA2">
      <w:pPr>
        <w:jc w:val="both"/>
      </w:pPr>
      <w:r>
        <w:t>4) especificará las medidas de vigilancia y detección que la federación deportiva o el organizador de eventos deportivos prevé implementar para evitar el riesgo de dañar la integridad de las competiciones o eventos deportivos que son objeto de la consulta;</w:t>
      </w:r>
    </w:p>
    <w:p w14:paraId="741F2DE2" w14:textId="77777777" w:rsidR="00E83532" w:rsidRPr="00933EA2" w:rsidRDefault="00E83532" w:rsidP="00933EA2">
      <w:pPr>
        <w:jc w:val="both"/>
      </w:pPr>
      <w:r>
        <w:t>5) establecerá las obligaciones de información y transparencia que recaen sobre el operador autorizado en relación con la detección del fraude y la prevención del riesgo de daño a la integridad de los eventos y competiciones deportivos.</w:t>
      </w:r>
    </w:p>
    <w:p w14:paraId="6B302731" w14:textId="77777777" w:rsidR="00E83532" w:rsidRPr="00933EA2" w:rsidRDefault="00E83532" w:rsidP="00933EA2">
      <w:pPr>
        <w:jc w:val="both"/>
      </w:pPr>
    </w:p>
    <w:p w14:paraId="315C78D0" w14:textId="1148D27B" w:rsidR="00E83532" w:rsidRPr="00933EA2" w:rsidRDefault="00B705CF" w:rsidP="00933EA2">
      <w:pPr>
        <w:pStyle w:val="BodyText"/>
        <w:keepNext/>
        <w:keepLines/>
        <w:jc w:val="center"/>
        <w:rPr>
          <w:b/>
        </w:rPr>
      </w:pPr>
      <w:r>
        <w:rPr>
          <w:b/>
        </w:rPr>
        <w:t>Artículo 35</w:t>
      </w:r>
    </w:p>
    <w:p w14:paraId="4393A0B3" w14:textId="77777777" w:rsidR="00E83532" w:rsidRPr="00933EA2" w:rsidRDefault="00E83532" w:rsidP="00933EA2">
      <w:pPr>
        <w:keepNext/>
        <w:keepLines/>
        <w:rPr>
          <w:b/>
        </w:rPr>
      </w:pPr>
    </w:p>
    <w:p w14:paraId="1188C467" w14:textId="3F4FD285" w:rsidR="00116832" w:rsidRPr="00933EA2" w:rsidRDefault="00E83532" w:rsidP="00933EA2">
      <w:pPr>
        <w:jc w:val="both"/>
      </w:pPr>
      <w:r>
        <w:t>El contrato de organización de apuestas celebrado, de conformidad con el artículo L. 333-1-2 del Código del Deporte, entre una federación deportiva o un organizador de eventos deportivos y la empresa que posee los derechos exclusivos para organizar y explotar los juegos de apuestas deportivas sobre la base de las disposiciones del artículo 137, apartado I, de la Ley de 22 de mayo de 2019, mencionada, especificará en particular:</w:t>
      </w:r>
    </w:p>
    <w:p w14:paraId="46E360EF" w14:textId="77777777" w:rsidR="00E83532" w:rsidRPr="00933EA2" w:rsidRDefault="00E83532" w:rsidP="00933EA2">
      <w:pPr>
        <w:jc w:val="both"/>
      </w:pPr>
      <w:r>
        <w:lastRenderedPageBreak/>
        <w:t>1) las medidas de vigilancia y detección que la federación deportiva o el organizador de eventos deportivos pretenden implementar para evitar el riesgo de dañar la integridad de las competiciones o eventos deportivos cubiertos por el contrato;</w:t>
      </w:r>
    </w:p>
    <w:p w14:paraId="1C0A8F89" w14:textId="77777777" w:rsidR="00E83532" w:rsidRPr="00933EA2" w:rsidRDefault="00E83532" w:rsidP="00933EA2">
      <w:pPr>
        <w:jc w:val="both"/>
      </w:pPr>
      <w:r>
        <w:t>2) las obligaciones de información y transparencia que recaen sobre la empresa que posee los derechos exclusivos para detectar fraudes y evitar el riesgo de dañar la integridad de los eventos y competiciones deportivos.</w:t>
      </w:r>
    </w:p>
    <w:p w14:paraId="5C314506" w14:textId="77777777" w:rsidR="00E83532" w:rsidRPr="00933EA2" w:rsidRDefault="00E83532" w:rsidP="00933EA2">
      <w:pPr>
        <w:jc w:val="both"/>
        <w:rPr>
          <w:b/>
        </w:rPr>
      </w:pPr>
    </w:p>
    <w:p w14:paraId="6931D13E" w14:textId="31BF7EE5" w:rsidR="00E83532" w:rsidRPr="00933EA2" w:rsidRDefault="00B705CF" w:rsidP="00933EA2">
      <w:pPr>
        <w:pStyle w:val="BodyText"/>
        <w:keepNext/>
        <w:keepLines/>
        <w:jc w:val="center"/>
        <w:rPr>
          <w:b/>
        </w:rPr>
      </w:pPr>
      <w:r>
        <w:rPr>
          <w:b/>
        </w:rPr>
        <w:t>Artículo 36</w:t>
      </w:r>
    </w:p>
    <w:p w14:paraId="37351E1A" w14:textId="77777777" w:rsidR="00E83532" w:rsidRPr="00933EA2" w:rsidRDefault="00E83532" w:rsidP="00933EA2">
      <w:pPr>
        <w:keepNext/>
        <w:keepLines/>
        <w:rPr>
          <w:b/>
        </w:rPr>
      </w:pPr>
    </w:p>
    <w:p w14:paraId="0BD0987A" w14:textId="77777777" w:rsidR="00E83532" w:rsidRPr="00933EA2" w:rsidRDefault="00E83532" w:rsidP="00933EA2">
      <w:r>
        <w:t>El precio como contrapartida por la atribución del derecho a organizar apuestas se expresará en proporción a las apuestas.</w:t>
      </w:r>
    </w:p>
    <w:p w14:paraId="5C76294E" w14:textId="77777777" w:rsidR="00E83532" w:rsidRPr="00933EA2" w:rsidRDefault="00E83532" w:rsidP="00933EA2">
      <w:pPr>
        <w:jc w:val="both"/>
        <w:rPr>
          <w:b/>
        </w:rPr>
      </w:pPr>
    </w:p>
    <w:p w14:paraId="3C1B7CE3" w14:textId="1A73D23D" w:rsidR="00E83532" w:rsidRPr="00933EA2" w:rsidRDefault="00E83532" w:rsidP="00933EA2">
      <w:pPr>
        <w:pStyle w:val="BodyText"/>
        <w:keepNext/>
        <w:keepLines/>
        <w:jc w:val="center"/>
        <w:rPr>
          <w:b/>
        </w:rPr>
      </w:pPr>
      <w:r>
        <w:rPr>
          <w:b/>
        </w:rPr>
        <w:t>Artículo 37</w:t>
      </w:r>
    </w:p>
    <w:p w14:paraId="0592EB5B" w14:textId="77777777" w:rsidR="00E83532" w:rsidRPr="00933EA2" w:rsidRDefault="00E83532" w:rsidP="00933EA2">
      <w:pPr>
        <w:keepNext/>
        <w:keepLines/>
        <w:rPr>
          <w:b/>
        </w:rPr>
      </w:pPr>
    </w:p>
    <w:p w14:paraId="705BC232" w14:textId="6647C347" w:rsidR="00E83532" w:rsidRPr="00933EA2" w:rsidRDefault="00E83532" w:rsidP="00933EA2">
      <w:pPr>
        <w:jc w:val="both"/>
      </w:pPr>
      <w:r>
        <w:t>La atribución del derecho a organizar apuestas deberá otorgarse a cualquier operador autorizado que lo solicite durante el período de explotación mencionado en el artículo 34, punto 3, y para toda su duración, siempre que reúna todas las condiciones estipuladas en el pliego de condiciones y acepte el precio resultante de la consulta prevista en el artículo 34.</w:t>
      </w:r>
    </w:p>
    <w:p w14:paraId="0B35E497" w14:textId="77777777" w:rsidR="00E83532" w:rsidRPr="00933EA2" w:rsidRDefault="00E83532" w:rsidP="00933EA2">
      <w:pPr>
        <w:jc w:val="both"/>
      </w:pPr>
    </w:p>
    <w:p w14:paraId="2D8F220A" w14:textId="685526BB" w:rsidR="00E83532" w:rsidRPr="00933EA2" w:rsidRDefault="000546D5" w:rsidP="00933EA2">
      <w:pPr>
        <w:pStyle w:val="BodyText"/>
        <w:keepNext/>
        <w:keepLines/>
        <w:jc w:val="center"/>
        <w:rPr>
          <w:b/>
        </w:rPr>
      </w:pPr>
      <w:r>
        <w:rPr>
          <w:b/>
        </w:rPr>
        <w:t>Artículo 38</w:t>
      </w:r>
    </w:p>
    <w:p w14:paraId="6719A169" w14:textId="77777777" w:rsidR="00E83532" w:rsidRPr="00933EA2" w:rsidRDefault="00E83532" w:rsidP="00933EA2">
      <w:pPr>
        <w:keepNext/>
        <w:keepLines/>
        <w:rPr>
          <w:b/>
        </w:rPr>
      </w:pPr>
    </w:p>
    <w:p w14:paraId="5D5239CC" w14:textId="77777777" w:rsidR="00E83532" w:rsidRPr="00933EA2" w:rsidRDefault="00E83532" w:rsidP="00933EA2">
      <w:pPr>
        <w:jc w:val="both"/>
      </w:pPr>
      <w:r>
        <w:t>El contrato de organización de apuestas celebrado, de conformidad con el artículo L. 333-1-2 del Código del Deporte, entre una federación deportiva o un organizador de eventos deportivos y un operador autorizado, dejará automáticamente de surtir pleno efecto en caso de que este pierda la autorización mencionada en el artículo 21 de la Ley de 12 de mayo de 2010, mencionada.</w:t>
      </w:r>
    </w:p>
    <w:p w14:paraId="36801C3B" w14:textId="77777777" w:rsidR="00757561" w:rsidRPr="00933EA2" w:rsidRDefault="00757561" w:rsidP="00933EA2">
      <w:pPr>
        <w:jc w:val="both"/>
      </w:pPr>
    </w:p>
    <w:p w14:paraId="6BC7C418" w14:textId="22A119E4" w:rsidR="00E83532" w:rsidRPr="00933EA2" w:rsidRDefault="00E83532" w:rsidP="00933EA2">
      <w:pPr>
        <w:jc w:val="center"/>
        <w:rPr>
          <w:b/>
        </w:rPr>
      </w:pPr>
      <w:r>
        <w:rPr>
          <w:b/>
        </w:rPr>
        <w:t>TÍTULO VI: COMPETICIONES DEPORTIVAS Y TIPOS DE RESULTADOS DEPORTIVOS DEFINIDOS POR LA AUTORIDAD NACIONAL DEL JUEGO</w:t>
      </w:r>
    </w:p>
    <w:p w14:paraId="69BAC38E" w14:textId="77777777" w:rsidR="00E83532" w:rsidRPr="00933EA2" w:rsidRDefault="00E83532" w:rsidP="00933EA2">
      <w:pPr>
        <w:jc w:val="center"/>
        <w:rPr>
          <w:b/>
        </w:rPr>
      </w:pPr>
    </w:p>
    <w:p w14:paraId="3CECFBB9" w14:textId="25BBB318" w:rsidR="00E83532" w:rsidRPr="00933EA2" w:rsidRDefault="000546D5" w:rsidP="00933EA2">
      <w:pPr>
        <w:pStyle w:val="BodyText"/>
        <w:keepNext/>
        <w:keepLines/>
        <w:jc w:val="center"/>
        <w:rPr>
          <w:b/>
        </w:rPr>
      </w:pPr>
      <w:r>
        <w:rPr>
          <w:b/>
        </w:rPr>
        <w:t>Artículo 39</w:t>
      </w:r>
    </w:p>
    <w:p w14:paraId="6A81B994" w14:textId="77777777" w:rsidR="00E83532" w:rsidRPr="00933EA2" w:rsidRDefault="00E83532" w:rsidP="00933EA2">
      <w:pPr>
        <w:keepNext/>
        <w:keepLines/>
        <w:rPr>
          <w:b/>
        </w:rPr>
      </w:pPr>
    </w:p>
    <w:p w14:paraId="0DB946A6" w14:textId="77777777" w:rsidR="00E83532" w:rsidRPr="00933EA2" w:rsidRDefault="00E83532" w:rsidP="00933EA2">
      <w:pPr>
        <w:jc w:val="both"/>
      </w:pPr>
      <w:r>
        <w:t>Cualquier operador de apuestas deportivas que posea la autorización mencionada en el artículo 21 de la Ley de 12 de mayo de 2010, mencionada, o la empresa que posea los derechos exclusivos mencionados en el artículo 137 de la Ley de 22 de mayo de 2019, mencionada, podrá organizar la realización de apuestas deportivas cuando estas se refieran a:</w:t>
      </w:r>
    </w:p>
    <w:p w14:paraId="17D806A7" w14:textId="10AEBFC3" w:rsidR="00E83532" w:rsidRPr="00933EA2" w:rsidRDefault="001D2F2A" w:rsidP="00933EA2">
      <w:pPr>
        <w:jc w:val="both"/>
      </w:pPr>
      <w:r>
        <w:t>1) una de las competiciones o eventos deportivos definidos por la Autoridad Nacional del Juego según las modalidades definidas en el artículo 40 del presente Decreto;</w:t>
      </w:r>
    </w:p>
    <w:p w14:paraId="5583FEEC" w14:textId="31F4AAB1" w:rsidR="00E83532" w:rsidRPr="00933EA2" w:rsidRDefault="001D2F2A" w:rsidP="00933EA2">
      <w:pPr>
        <w:jc w:val="both"/>
      </w:pPr>
      <w:r>
        <w:t>2) los tipos de resultados definidos por la Autoridad Nacional del Juego según las modalidades mencionadas en el artículo 41 del presente Decreto.</w:t>
      </w:r>
    </w:p>
    <w:p w14:paraId="43D77DCC" w14:textId="77777777" w:rsidR="00E83532" w:rsidRPr="00933EA2" w:rsidRDefault="00E83532" w:rsidP="00933EA2">
      <w:pPr>
        <w:jc w:val="both"/>
      </w:pPr>
    </w:p>
    <w:p w14:paraId="3D01E1B0" w14:textId="2CD26D6C" w:rsidR="00E83532" w:rsidRPr="00933EA2" w:rsidRDefault="000546D5" w:rsidP="00933EA2">
      <w:pPr>
        <w:pStyle w:val="BodyText"/>
        <w:keepNext/>
        <w:keepLines/>
        <w:jc w:val="center"/>
        <w:rPr>
          <w:b/>
        </w:rPr>
      </w:pPr>
      <w:r>
        <w:rPr>
          <w:b/>
        </w:rPr>
        <w:t>Artículo 40</w:t>
      </w:r>
    </w:p>
    <w:p w14:paraId="0C3BE9F8" w14:textId="77777777" w:rsidR="00E83532" w:rsidRPr="00933EA2" w:rsidRDefault="00E83532" w:rsidP="00933EA2">
      <w:pPr>
        <w:keepNext/>
        <w:keepLines/>
        <w:rPr>
          <w:b/>
        </w:rPr>
      </w:pPr>
    </w:p>
    <w:p w14:paraId="718B7814" w14:textId="77777777" w:rsidR="00E83532" w:rsidRPr="00933EA2" w:rsidRDefault="00E83532" w:rsidP="00933EA2">
      <w:pPr>
        <w:jc w:val="both"/>
      </w:pPr>
      <w:r>
        <w:t>I. ― Para cada disciplina deportiva, la Autoridad Nacional del Juego definirá las competiciones o eventos deportivos que pueden servir de soporte a la organización de las apuestas deportivas, distinguiendo en su caso entre apuestas sujetas a derechos exclusivos y apuestas en línea.</w:t>
      </w:r>
    </w:p>
    <w:p w14:paraId="0E8A7ED2" w14:textId="77777777" w:rsidR="00E83532" w:rsidRPr="00933EA2" w:rsidRDefault="000546D5" w:rsidP="00933EA2">
      <w:pPr>
        <w:jc w:val="both"/>
      </w:pPr>
      <w:r>
        <w:t>II. ― Las competiciones o eventos deportivos de soporte de las apuestas se definirán, previa consulta a la federación delegada competente, en coordinación con la liga profesional cuando la haya, o, en su defecto, previa consulta al Ministro de Deporte, dependiendo principalmente de:</w:t>
      </w:r>
    </w:p>
    <w:p w14:paraId="722FF2F6" w14:textId="5172B280" w:rsidR="00E83532" w:rsidRPr="00933EA2" w:rsidRDefault="00E83532" w:rsidP="00933EA2">
      <w:pPr>
        <w:jc w:val="both"/>
      </w:pPr>
      <w:r>
        <w:t>1) la condición del organizador de la competición o evento deportivos, que deberá ser:</w:t>
      </w:r>
    </w:p>
    <w:p w14:paraId="3488BBCF" w14:textId="25AC620C" w:rsidR="00E83532" w:rsidRPr="00933EA2" w:rsidRDefault="001D2F2A" w:rsidP="00933EA2">
      <w:pPr>
        <w:jc w:val="both"/>
      </w:pPr>
      <w:r>
        <w:lastRenderedPageBreak/>
        <w:t>a) una federación deportiva mencionada en el artículo L. 131-1 del Código del Deporte;</w:t>
      </w:r>
    </w:p>
    <w:p w14:paraId="7C99B229" w14:textId="0EBB845F" w:rsidR="00E83532" w:rsidRPr="00933EA2" w:rsidRDefault="001D2F2A" w:rsidP="00933EA2">
      <w:pPr>
        <w:jc w:val="both"/>
      </w:pPr>
      <w:r>
        <w:t>b) una federación deportiva internacional;</w:t>
      </w:r>
    </w:p>
    <w:p w14:paraId="2F54D76A" w14:textId="73157C35" w:rsidR="00E83532" w:rsidRPr="00933EA2" w:rsidRDefault="001D2F2A" w:rsidP="00933EA2">
      <w:pPr>
        <w:jc w:val="both"/>
      </w:pPr>
      <w:r>
        <w:t>c) un organismo deportivo internacional;</w:t>
      </w:r>
    </w:p>
    <w:p w14:paraId="64D8D58C" w14:textId="467D8AC5" w:rsidR="00E83532" w:rsidRPr="00933EA2" w:rsidRDefault="001D2F2A" w:rsidP="00933EA2">
      <w:pPr>
        <w:jc w:val="both"/>
      </w:pPr>
      <w:r>
        <w:t>d) un organizador de eventos deportivos mencionado en el artículo L. 331-5 o R. 331-4-1 del Código del Deporte;</w:t>
      </w:r>
    </w:p>
    <w:p w14:paraId="6D85461B" w14:textId="41B7DCD3" w:rsidR="00E83532" w:rsidRPr="00933EA2" w:rsidRDefault="001D2F2A" w:rsidP="00933EA2">
      <w:pPr>
        <w:jc w:val="both"/>
      </w:pPr>
      <w:r>
        <w:t>e) un organizador de eventos deportivos legalmente organizado en el extranjero;</w:t>
      </w:r>
    </w:p>
    <w:p w14:paraId="2CDF6961" w14:textId="38CAF493" w:rsidR="00E83532" w:rsidRPr="00933EA2" w:rsidRDefault="001D2F2A" w:rsidP="00933EA2">
      <w:pPr>
        <w:jc w:val="both"/>
      </w:pPr>
      <w:r>
        <w:t xml:space="preserve">2) la normativa aplicable a estas competiciones o eventos deportivos; </w:t>
      </w:r>
    </w:p>
    <w:p w14:paraId="11DA738D" w14:textId="1DBC6C2A" w:rsidR="00E83532" w:rsidRPr="00933EA2" w:rsidRDefault="001D2F2A" w:rsidP="00933EA2">
      <w:pPr>
        <w:jc w:val="both"/>
      </w:pPr>
      <w:r>
        <w:t>3) la accesibilidad a los resultados de la competición o evento deportivos;</w:t>
      </w:r>
    </w:p>
    <w:p w14:paraId="048F9C60" w14:textId="0BDBD468" w:rsidR="00E83532" w:rsidRPr="00933EA2" w:rsidRDefault="001D2F2A" w:rsidP="00933EA2">
      <w:pPr>
        <w:jc w:val="both"/>
      </w:pPr>
      <w:r>
        <w:t>4) la edad de los participantes deportivos admitidos en dichas competiciones o eventos deportivos;</w:t>
      </w:r>
    </w:p>
    <w:p w14:paraId="146ED28A" w14:textId="4C2DC76F" w:rsidR="00E83532" w:rsidRPr="00933EA2" w:rsidRDefault="001D2F2A" w:rsidP="00933EA2">
      <w:pPr>
        <w:jc w:val="both"/>
      </w:pPr>
      <w:r>
        <w:t xml:space="preserve">5) la notoriedad y lo que está en juego en la competición o evento deportivos; </w:t>
      </w:r>
    </w:p>
    <w:p w14:paraId="7A8FAC6E" w14:textId="6EB98374" w:rsidR="00E83532" w:rsidRPr="00933EA2" w:rsidRDefault="001D2F2A" w:rsidP="00933EA2">
      <w:pPr>
        <w:jc w:val="both"/>
      </w:pPr>
      <w:r>
        <w:t>6) los riesgos de manipulación asociados a las competiciones o eventos deportivos.</w:t>
      </w:r>
    </w:p>
    <w:p w14:paraId="74D6EFEB" w14:textId="77777777" w:rsidR="00E83532" w:rsidRPr="00933EA2" w:rsidRDefault="00E83532" w:rsidP="00933EA2">
      <w:pPr>
        <w:jc w:val="both"/>
      </w:pPr>
    </w:p>
    <w:p w14:paraId="74BF033A" w14:textId="1A8A113B" w:rsidR="00E83532" w:rsidRPr="00933EA2" w:rsidRDefault="000546D5" w:rsidP="00933EA2">
      <w:pPr>
        <w:jc w:val="both"/>
      </w:pPr>
      <w:r>
        <w:t>III. ― La Autoridad Nacional del Juego solo podrá incluir en la lista una parte de la competición o evento deportivos de acuerdo con los criterios definidos en el apartado II del presente artículo.</w:t>
      </w:r>
    </w:p>
    <w:p w14:paraId="165DB7F5" w14:textId="77777777" w:rsidR="00E83532" w:rsidRPr="00933EA2" w:rsidRDefault="00E83532" w:rsidP="00933EA2">
      <w:pPr>
        <w:jc w:val="both"/>
      </w:pPr>
    </w:p>
    <w:p w14:paraId="2466DE5D" w14:textId="1FBC8993" w:rsidR="00E83532" w:rsidRPr="00933EA2" w:rsidRDefault="000546D5" w:rsidP="00933EA2">
      <w:pPr>
        <w:jc w:val="center"/>
        <w:rPr>
          <w:b/>
        </w:rPr>
      </w:pPr>
      <w:r>
        <w:rPr>
          <w:b/>
        </w:rPr>
        <w:t>Artículo 41</w:t>
      </w:r>
    </w:p>
    <w:p w14:paraId="196D5DA5" w14:textId="77777777" w:rsidR="00E83532" w:rsidRPr="00933EA2" w:rsidRDefault="00E83532" w:rsidP="00933EA2">
      <w:pPr>
        <w:keepNext/>
        <w:keepLines/>
        <w:rPr>
          <w:b/>
        </w:rPr>
      </w:pPr>
    </w:p>
    <w:p w14:paraId="13AE3DD7" w14:textId="2172B9F8" w:rsidR="00E83532" w:rsidRPr="00933EA2" w:rsidRDefault="00E83532" w:rsidP="00933EA2">
      <w:pPr>
        <w:jc w:val="both"/>
      </w:pPr>
      <w:r>
        <w:t>I.― Para cada disciplina deportiva y, según sea el caso, para cada competición o evento deportivos definidos de acuerdo con las modalidades establecidas en el artículo 40, la Autoridad Nacional del Juego, previa consulta a la federación delegada competente, en coordinación con la liga profesional cuando la haya, o, en su defecto, previa consulta al Ministro de Deporte, determinará los tipos de resultados y las fases de los juegos correspondientes que puedan ser objeto de apuestas deportivas, distinguiendo, en su caso, entre apuestas sujetas a derechos exclusivos y apuestas en línea.</w:t>
      </w:r>
    </w:p>
    <w:p w14:paraId="52F1E19B" w14:textId="77777777" w:rsidR="00933EA2" w:rsidRDefault="00933EA2" w:rsidP="00933EA2">
      <w:pPr>
        <w:jc w:val="both"/>
      </w:pPr>
    </w:p>
    <w:p w14:paraId="1E870BBE" w14:textId="69770689" w:rsidR="00E83532" w:rsidRPr="00933EA2" w:rsidRDefault="000546D5" w:rsidP="00933EA2">
      <w:pPr>
        <w:jc w:val="both"/>
      </w:pPr>
      <w:r>
        <w:t>II.― Los tipos de resultados se definirán teniendo en cuenta los riesgos existentes de manipulación del resultado y las especificidades de la disciplina deportiva en cuestión.</w:t>
      </w:r>
    </w:p>
    <w:p w14:paraId="3DDA3910" w14:textId="77777777" w:rsidR="00E83532" w:rsidRPr="00933EA2" w:rsidRDefault="00E83532" w:rsidP="00933EA2">
      <w:pPr>
        <w:jc w:val="both"/>
      </w:pPr>
    </w:p>
    <w:p w14:paraId="77CBE7C3" w14:textId="77777777" w:rsidR="00E83532" w:rsidRPr="00933EA2" w:rsidRDefault="00E83532" w:rsidP="00933EA2">
      <w:pPr>
        <w:jc w:val="both"/>
      </w:pPr>
      <w:r>
        <w:t xml:space="preserve">Estos tipos de resultados podrán ser: </w:t>
      </w:r>
    </w:p>
    <w:p w14:paraId="64871295" w14:textId="77777777" w:rsidR="00E83532" w:rsidRPr="00933EA2" w:rsidRDefault="00E83532" w:rsidP="00933EA2">
      <w:pPr>
        <w:jc w:val="both"/>
      </w:pPr>
    </w:p>
    <w:p w14:paraId="46B057BA" w14:textId="767E0100" w:rsidR="00E83532" w:rsidRPr="00933EA2" w:rsidRDefault="001D2F2A" w:rsidP="00933EA2">
      <w:pPr>
        <w:jc w:val="both"/>
      </w:pPr>
      <w:r>
        <w:t>1) los resultados finales de las competiciones o eventos deportivos;</w:t>
      </w:r>
    </w:p>
    <w:p w14:paraId="76225C59" w14:textId="499CFFB9" w:rsidR="00E83532" w:rsidRPr="00933EA2" w:rsidRDefault="001D2F2A" w:rsidP="00933EA2">
      <w:pPr>
        <w:jc w:val="both"/>
      </w:pPr>
      <w:r>
        <w:t>2) los resultados de las fases de los juegos de las competiciones o eventos deportivos;</w:t>
      </w:r>
    </w:p>
    <w:p w14:paraId="1F3DC41C" w14:textId="4063A425" w:rsidR="00E83532" w:rsidRPr="00933EA2" w:rsidRDefault="001D2F2A" w:rsidP="00933EA2">
      <w:pPr>
        <w:jc w:val="both"/>
      </w:pPr>
      <w:r>
        <w:t>3) cualquier evento deportivo en el que se haga una apuesta deportiva durante una competición, un evento deportivo o una fase del juego.</w:t>
      </w:r>
    </w:p>
    <w:p w14:paraId="1F9930BA" w14:textId="77777777" w:rsidR="00E83532" w:rsidRPr="00933EA2" w:rsidRDefault="00E83532" w:rsidP="00933EA2">
      <w:pPr>
        <w:jc w:val="both"/>
      </w:pPr>
    </w:p>
    <w:p w14:paraId="52EF1F25" w14:textId="77777777" w:rsidR="00E83532" w:rsidRPr="00933EA2" w:rsidRDefault="00E83532" w:rsidP="00933EA2">
      <w:pPr>
        <w:jc w:val="both"/>
      </w:pPr>
      <w:r>
        <w:t xml:space="preserve">Estos tipos de resultados reflejan el desempeño deportivo, objetivo y cuantificable de los participantes en la competición o evento deportivos. </w:t>
      </w:r>
    </w:p>
    <w:p w14:paraId="3A8AA489" w14:textId="77777777" w:rsidR="00E83532" w:rsidRPr="00933EA2" w:rsidRDefault="00E83532" w:rsidP="00933EA2">
      <w:pPr>
        <w:jc w:val="both"/>
      </w:pPr>
    </w:p>
    <w:p w14:paraId="73D6EA4B" w14:textId="77777777" w:rsidR="00E83532" w:rsidRPr="00933EA2" w:rsidRDefault="00E83532" w:rsidP="00933EA2">
      <w:pPr>
        <w:jc w:val="both"/>
      </w:pPr>
      <w:r>
        <w:t>La Autoridad Nacional del Juego podrá decidir que un tipo de resultado solo pueda usarse como soporte de apuestas para una parte de la competición o evento deportivos en vista de los riesgos existentes de manipulación.</w:t>
      </w:r>
    </w:p>
    <w:p w14:paraId="16E726E0" w14:textId="19901B18" w:rsidR="00E83532" w:rsidRDefault="00E83532" w:rsidP="00933EA2">
      <w:pPr>
        <w:jc w:val="both"/>
      </w:pPr>
    </w:p>
    <w:p w14:paraId="486C3665" w14:textId="77777777" w:rsidR="00933EA2" w:rsidRPr="00933EA2" w:rsidRDefault="00933EA2" w:rsidP="00933EA2">
      <w:pPr>
        <w:jc w:val="both"/>
      </w:pPr>
    </w:p>
    <w:p w14:paraId="3CCB1AF2" w14:textId="77777777" w:rsidR="00E83532" w:rsidRPr="00933EA2" w:rsidRDefault="00E83532" w:rsidP="00933EA2">
      <w:pPr>
        <w:jc w:val="both"/>
      </w:pPr>
      <w:r>
        <w:t>III. ― Las apuestas se realizarán en función de los resultados de la competición o evento deportivos conforme a lo anunciado por el organizador de la competición deportiva.</w:t>
      </w:r>
    </w:p>
    <w:p w14:paraId="24EFF772" w14:textId="77777777" w:rsidR="00933EA2" w:rsidRDefault="00933EA2" w:rsidP="00933EA2">
      <w:pPr>
        <w:jc w:val="both"/>
      </w:pPr>
    </w:p>
    <w:p w14:paraId="56D578E6" w14:textId="7A6F8FE3" w:rsidR="00E83532" w:rsidRPr="00933EA2" w:rsidRDefault="00E83532" w:rsidP="00933EA2">
      <w:pPr>
        <w:jc w:val="both"/>
      </w:pPr>
      <w:r>
        <w:t>La realización de las apuestas será definitiva a contar desde el primer anuncio de los resultados por parte del organizador de la competición o evento deportivos incluso si posteriormente estos deben ser objeto de modificaciones de conformidad con las disposiciones aplicables a dicha competición.</w:t>
      </w:r>
    </w:p>
    <w:p w14:paraId="52BEBFC2" w14:textId="77777777" w:rsidR="00E83532" w:rsidRPr="00933EA2" w:rsidRDefault="00E83532" w:rsidP="00933EA2">
      <w:pPr>
        <w:jc w:val="both"/>
      </w:pPr>
    </w:p>
    <w:p w14:paraId="7ACF4486" w14:textId="1EF68EDE" w:rsidR="00E83532" w:rsidRPr="00933EA2" w:rsidRDefault="000546D5" w:rsidP="00933EA2">
      <w:pPr>
        <w:pStyle w:val="BodyText"/>
        <w:keepNext/>
        <w:keepLines/>
        <w:jc w:val="center"/>
        <w:rPr>
          <w:b/>
        </w:rPr>
      </w:pPr>
      <w:r>
        <w:rPr>
          <w:b/>
        </w:rPr>
        <w:t>Artículo 42</w:t>
      </w:r>
    </w:p>
    <w:p w14:paraId="7C84BAB8" w14:textId="77777777" w:rsidR="00E83532" w:rsidRPr="00933EA2" w:rsidRDefault="00E83532" w:rsidP="00933EA2">
      <w:pPr>
        <w:keepNext/>
        <w:keepLines/>
        <w:rPr>
          <w:b/>
        </w:rPr>
      </w:pPr>
    </w:p>
    <w:p w14:paraId="030CB2CE" w14:textId="5AF94B71" w:rsidR="00E83532" w:rsidRPr="00933EA2" w:rsidRDefault="00E83532" w:rsidP="00933EA2">
      <w:pPr>
        <w:jc w:val="both"/>
      </w:pPr>
      <w:r>
        <w:t>I.― Cualquier operador de apuestas deportivas que posea la autorización mencionada en el artículo 21 de la Ley de 12 de mayo de 2010, mencionada, o la empresa que posea los derechos exclusivos mencionada en el artículo 137 de la Ley de 22 de mayo de 2019, mencionada, podrá solicitar a la Autoridad Nacional del Juego:</w:t>
      </w:r>
    </w:p>
    <w:p w14:paraId="19343559" w14:textId="35AB4324" w:rsidR="00E83532" w:rsidRPr="00933EA2" w:rsidRDefault="001D2F2A" w:rsidP="00933EA2">
      <w:pPr>
        <w:jc w:val="both"/>
      </w:pPr>
      <w:r>
        <w:t>1) la inscripción de una competición o evento deportivos en la lista de competiciones que pueden servir de soporte para las apuestas deportivas;</w:t>
      </w:r>
    </w:p>
    <w:p w14:paraId="02EF46C5" w14:textId="143E50B7" w:rsidR="00E83532" w:rsidRPr="00933EA2" w:rsidRDefault="001D2F2A" w:rsidP="00933EA2">
      <w:pPr>
        <w:jc w:val="both"/>
      </w:pPr>
      <w:r>
        <w:t>2) la inscripción de un tipo de resultado en la lista de tipos de resultados que pueden servir de soporte para las apuestas deportivas.</w:t>
      </w:r>
    </w:p>
    <w:p w14:paraId="307A96DC" w14:textId="130F35FA" w:rsidR="00E83532" w:rsidRPr="00933EA2" w:rsidRDefault="001D2F2A" w:rsidP="00933EA2">
      <w:pPr>
        <w:jc w:val="both"/>
      </w:pPr>
      <w:r>
        <w:t>II. ― Dicha solicitud deberá estar fundamentada e irá acompañada de la transmisión a la Autoridad Nacional del Juego de un expediente que indique las características de las competiciones o eventos deportivos y de los tipos de resultados objeto de dicha solicitud.</w:t>
      </w:r>
    </w:p>
    <w:p w14:paraId="69FA3E9A" w14:textId="217460B5" w:rsidR="00E83532" w:rsidRPr="00933EA2" w:rsidRDefault="001D2F2A" w:rsidP="00933EA2">
      <w:pPr>
        <w:jc w:val="both"/>
      </w:pPr>
      <w:r>
        <w:t>III. ― Tras recibir los documentos mencionados en el apartado II, la Autoridad Nacional del Juego se pronunciará, en el plazo de tres meses, sobre la solicitud mencionada en el apartado I.</w:t>
      </w:r>
    </w:p>
    <w:p w14:paraId="40409221" w14:textId="77777777" w:rsidR="00E83532" w:rsidRPr="00933EA2" w:rsidRDefault="00E83532" w:rsidP="00933EA2">
      <w:pPr>
        <w:jc w:val="both"/>
      </w:pPr>
      <w:r>
        <w:t>La Autoridad Nacional del Juego remitirá el asunto a la federación delegada competente, que dispondrá de un mes para emitir un dictamen sobre la solicitud mencionada en el apartado I. Se enviará una copia del dictamen al Ministro de Deporte.</w:t>
      </w:r>
    </w:p>
    <w:p w14:paraId="0832E351" w14:textId="77777777" w:rsidR="00E83532" w:rsidRPr="00933EA2" w:rsidRDefault="00E83532" w:rsidP="00933EA2">
      <w:pPr>
        <w:jc w:val="both"/>
      </w:pPr>
      <w:r>
        <w:t>Si la federación no emite el dictamen, la Autoridad someterá el asunto al Ministro de Deporte, que se pronunciará en el plazo de un mes.</w:t>
      </w:r>
    </w:p>
    <w:p w14:paraId="23476069" w14:textId="77777777" w:rsidR="00E83532" w:rsidRPr="00933EA2" w:rsidRDefault="00E83532" w:rsidP="00933EA2">
      <w:pPr>
        <w:jc w:val="both"/>
      </w:pPr>
    </w:p>
    <w:p w14:paraId="044A68A6" w14:textId="73D3928B" w:rsidR="00E83532" w:rsidRPr="00933EA2" w:rsidRDefault="000546D5" w:rsidP="00933EA2">
      <w:pPr>
        <w:pStyle w:val="BodyText"/>
        <w:keepNext/>
        <w:keepLines/>
        <w:jc w:val="center"/>
        <w:rPr>
          <w:b/>
        </w:rPr>
      </w:pPr>
      <w:r>
        <w:rPr>
          <w:b/>
        </w:rPr>
        <w:t>Artículo 43</w:t>
      </w:r>
    </w:p>
    <w:p w14:paraId="359D6D3D" w14:textId="77777777" w:rsidR="00E83532" w:rsidRPr="00933EA2" w:rsidRDefault="00E83532" w:rsidP="00933EA2">
      <w:pPr>
        <w:keepNext/>
        <w:keepLines/>
        <w:rPr>
          <w:b/>
        </w:rPr>
      </w:pPr>
    </w:p>
    <w:p w14:paraId="73749B31" w14:textId="538D2E7B" w:rsidR="00E83532" w:rsidRPr="00933EA2" w:rsidRDefault="00E83532" w:rsidP="00933EA2">
      <w:pPr>
        <w:jc w:val="both"/>
      </w:pPr>
      <w:r>
        <w:t>I.― Una federación delegada, en coordinación con la liga profesional cuando la haya, podrá solicitar a la Autoridad Nacional del Juego:</w:t>
      </w:r>
    </w:p>
    <w:p w14:paraId="5B72A56E" w14:textId="77777777" w:rsidR="00E83532" w:rsidRPr="00933EA2" w:rsidRDefault="00E83532" w:rsidP="00933EA2">
      <w:pPr>
        <w:jc w:val="both"/>
      </w:pPr>
    </w:p>
    <w:p w14:paraId="584145E6" w14:textId="77777777" w:rsidR="00E83532" w:rsidRPr="00933EA2" w:rsidRDefault="00E83532" w:rsidP="00933EA2">
      <w:pPr>
        <w:jc w:val="both"/>
      </w:pPr>
      <w:r>
        <w:t>1) la inscripción o la eliminación de una competición o evento deportivos de cuya organización se encargue de la lista de competiciones que pueden utilizarse como soporte de apuestas deportivas;</w:t>
      </w:r>
    </w:p>
    <w:p w14:paraId="5B2379B2" w14:textId="77777777" w:rsidR="00E83532" w:rsidRPr="00933EA2" w:rsidRDefault="00E83532" w:rsidP="00933EA2">
      <w:pPr>
        <w:jc w:val="both"/>
      </w:pPr>
      <w:r>
        <w:t>2) la inscripción o la eliminación de tipos de resultados de las competiciones o eventos deportivos de cuya organización se encargue o de una parte de dichas competiciones.</w:t>
      </w:r>
    </w:p>
    <w:p w14:paraId="7B008624" w14:textId="77777777" w:rsidR="00E83532" w:rsidRPr="00933EA2" w:rsidRDefault="00E83532" w:rsidP="00933EA2">
      <w:pPr>
        <w:jc w:val="both"/>
      </w:pPr>
    </w:p>
    <w:p w14:paraId="5E27032B" w14:textId="6C334152" w:rsidR="00E83532" w:rsidRPr="00933EA2" w:rsidRDefault="00E83532" w:rsidP="00933EA2">
      <w:pPr>
        <w:jc w:val="both"/>
      </w:pPr>
      <w:r>
        <w:t>II. ― Dicha solicitud deberá estar fundamentada e irá acompañada de la transmisión a la Autoridad Nacional del Juego de un expediente que indique las características de la competición y de los tipos de resultados objeto de dicha solicitud.</w:t>
      </w:r>
    </w:p>
    <w:p w14:paraId="19B17EA3" w14:textId="77777777" w:rsidR="00E83532" w:rsidRPr="00933EA2" w:rsidRDefault="00E83532" w:rsidP="00933EA2">
      <w:pPr>
        <w:jc w:val="both"/>
      </w:pPr>
    </w:p>
    <w:p w14:paraId="4953E9EA" w14:textId="734C9153" w:rsidR="00E83532" w:rsidRPr="00933EA2" w:rsidRDefault="00E83532" w:rsidP="00933EA2">
      <w:pPr>
        <w:jc w:val="both"/>
      </w:pPr>
      <w:r>
        <w:t>III. ― Tras recibir los documentos mencionados en el apartado II, la Autoridad Nacional del Juego se pronunciará, en el plazo de un mes, sobre la solicitud mencionada en el apartado I.</w:t>
      </w:r>
    </w:p>
    <w:p w14:paraId="3341806A" w14:textId="77777777" w:rsidR="00834E0B" w:rsidRPr="00933EA2" w:rsidRDefault="00834E0B" w:rsidP="00933EA2">
      <w:pPr>
        <w:jc w:val="both"/>
      </w:pPr>
    </w:p>
    <w:p w14:paraId="72E82424" w14:textId="16A9CBAB" w:rsidR="00834E0B" w:rsidRPr="00933EA2" w:rsidRDefault="000546D5" w:rsidP="00933EA2">
      <w:pPr>
        <w:pStyle w:val="BodyText"/>
        <w:keepNext/>
        <w:keepLines/>
        <w:jc w:val="center"/>
        <w:rPr>
          <w:b/>
        </w:rPr>
      </w:pPr>
      <w:r>
        <w:rPr>
          <w:b/>
        </w:rPr>
        <w:t>Artículo 44</w:t>
      </w:r>
    </w:p>
    <w:p w14:paraId="4EBF7DC7" w14:textId="77777777" w:rsidR="00834E0B" w:rsidRPr="00933EA2" w:rsidRDefault="00834E0B" w:rsidP="00933EA2">
      <w:pPr>
        <w:keepNext/>
        <w:keepLines/>
        <w:rPr>
          <w:b/>
        </w:rPr>
      </w:pPr>
    </w:p>
    <w:p w14:paraId="23490925" w14:textId="3CD7655A" w:rsidR="00834E0B" w:rsidRPr="00933EA2" w:rsidRDefault="00834E0B" w:rsidP="00933EA2">
      <w:r>
        <w:t xml:space="preserve">1. En el artículo D. 561-53, punto 2, del Código monetario y financiero, se sustituyen las palabras «el director general de la Autoridad reguladora de los juegos en línea o su representante» por las palabras «el director general de la Autoridad Nacional del Juego». </w:t>
      </w:r>
    </w:p>
    <w:p w14:paraId="43F09FB7" w14:textId="77777777" w:rsidR="00E83532" w:rsidRPr="00933EA2" w:rsidRDefault="00E83532" w:rsidP="00933EA2">
      <w:pPr>
        <w:jc w:val="both"/>
        <w:rPr>
          <w:b/>
        </w:rPr>
      </w:pPr>
    </w:p>
    <w:p w14:paraId="012C1011" w14:textId="0AF72BA0" w:rsidR="00BD5FA1" w:rsidRPr="00933EA2" w:rsidRDefault="000546D5" w:rsidP="00933EA2">
      <w:pPr>
        <w:pStyle w:val="BodyText"/>
        <w:keepNext/>
        <w:keepLines/>
        <w:jc w:val="center"/>
        <w:rPr>
          <w:b/>
        </w:rPr>
      </w:pPr>
      <w:r>
        <w:rPr>
          <w:b/>
        </w:rPr>
        <w:t>Artículo 45</w:t>
      </w:r>
    </w:p>
    <w:p w14:paraId="1738A26C" w14:textId="77777777" w:rsidR="008701C9" w:rsidRPr="00933EA2" w:rsidRDefault="008701C9" w:rsidP="00933EA2">
      <w:pPr>
        <w:keepNext/>
        <w:keepLines/>
        <w:rPr>
          <w:b/>
        </w:rPr>
      </w:pPr>
    </w:p>
    <w:p w14:paraId="72BBB7F3" w14:textId="02F1FBE2" w:rsidR="008701C9" w:rsidRPr="00933EA2" w:rsidRDefault="00BC35EB" w:rsidP="00933EA2">
      <w:pPr>
        <w:pStyle w:val="BodyText"/>
        <w:jc w:val="both"/>
      </w:pPr>
      <w:r>
        <w:t xml:space="preserve">1. En el último párrafo del artículo 8 del Decreto n.º 2019-1061 de 17 de octubre de 2019, mencionado, se sustituyen las palabras «el Decreto de 12 de mayo de 2010, mencionado,» por </w:t>
      </w:r>
      <w:r>
        <w:lastRenderedPageBreak/>
        <w:t>las palabras «el Decreto n.º XXXX-XXXX de XXXXX sobre las modalidades de regulación de la Autoridad Nacional del Juego (CPAB1930945D)».</w:t>
      </w:r>
    </w:p>
    <w:p w14:paraId="3D08313E" w14:textId="77777777" w:rsidR="00C342AB" w:rsidRPr="00933EA2" w:rsidRDefault="00C342AB" w:rsidP="00933EA2">
      <w:pPr>
        <w:pStyle w:val="BodyText"/>
        <w:jc w:val="both"/>
      </w:pPr>
    </w:p>
    <w:p w14:paraId="7E55EF43" w14:textId="77777777" w:rsidR="00142531" w:rsidRPr="00933EA2" w:rsidRDefault="00834E0B" w:rsidP="00933EA2">
      <w:pPr>
        <w:keepNext/>
        <w:keepLines/>
        <w:spacing w:after="200" w:line="276" w:lineRule="auto"/>
        <w:jc w:val="center"/>
        <w:rPr>
          <w:rFonts w:eastAsiaTheme="minorHAnsi"/>
          <w:b/>
        </w:rPr>
      </w:pPr>
      <w:r>
        <w:rPr>
          <w:rFonts w:eastAsiaTheme="minorHAnsi"/>
          <w:b/>
        </w:rPr>
        <w:t>TÍTULO VII: REGULACIÓN DE LAS COMUNICACIONES COMERCIALES EN FAVOR DE LOS OPERADORES DE JUEGOS DE AZAR Y DE LA INFORMACIÓN DE LOS JUGADORES SOBRE LOS RIESGOS ASOCIADOS A LA PRÁCTICA DEL JUEGO</w:t>
      </w:r>
    </w:p>
    <w:p w14:paraId="41C8D214" w14:textId="47515E0F" w:rsidR="00142531" w:rsidRDefault="00C342AB" w:rsidP="00933EA2">
      <w:pPr>
        <w:pStyle w:val="BodyText"/>
        <w:keepNext/>
        <w:keepLines/>
        <w:jc w:val="center"/>
        <w:rPr>
          <w:b/>
        </w:rPr>
      </w:pPr>
      <w:r>
        <w:rPr>
          <w:b/>
        </w:rPr>
        <w:t>Artículo 46</w:t>
      </w:r>
    </w:p>
    <w:p w14:paraId="4DE26176" w14:textId="77777777" w:rsidR="00933EA2" w:rsidRPr="00933EA2" w:rsidRDefault="00933EA2" w:rsidP="00933EA2">
      <w:pPr>
        <w:keepNext/>
        <w:keepLines/>
        <w:rPr>
          <w:b/>
        </w:rPr>
      </w:pPr>
    </w:p>
    <w:p w14:paraId="5030231B" w14:textId="20E653AC" w:rsidR="00142531" w:rsidRPr="00933EA2" w:rsidRDefault="00142531" w:rsidP="00933EA2">
      <w:pPr>
        <w:pStyle w:val="BodyText"/>
        <w:jc w:val="both"/>
      </w:pPr>
      <w:r>
        <w:t xml:space="preserve">Al principio del título II, del libro III, del Código de la seguridad interna, se añade un capítulo preliminar con la siguiente redacción: </w:t>
      </w:r>
    </w:p>
    <w:p w14:paraId="61BF947B" w14:textId="7FEB993C" w:rsidR="00142531" w:rsidRPr="00933EA2" w:rsidRDefault="00142531" w:rsidP="00933EA2">
      <w:pPr>
        <w:pStyle w:val="BodyText"/>
      </w:pPr>
      <w:r>
        <w:t>«</w:t>
      </w:r>
      <w:r>
        <w:rPr>
          <w:i/>
        </w:rPr>
        <w:t xml:space="preserve">Capítulo preliminar </w:t>
      </w:r>
    </w:p>
    <w:p w14:paraId="0DB00C14" w14:textId="3E68E4D5" w:rsidR="00142531" w:rsidRPr="00933EA2" w:rsidRDefault="00142531" w:rsidP="00933EA2">
      <w:pPr>
        <w:pStyle w:val="BodyText"/>
      </w:pPr>
      <w:r>
        <w:rPr>
          <w:i/>
        </w:rPr>
        <w:t>Disposiciones generales</w:t>
      </w:r>
      <w:r>
        <w:t xml:space="preserve"> </w:t>
      </w:r>
    </w:p>
    <w:p w14:paraId="35CC0321" w14:textId="2A20C3B8" w:rsidR="00142531" w:rsidRPr="00933EA2" w:rsidRDefault="00142531" w:rsidP="00933EA2">
      <w:pPr>
        <w:pStyle w:val="BodyText"/>
        <w:tabs>
          <w:tab w:val="left" w:pos="1659"/>
        </w:tabs>
      </w:pPr>
      <w:r>
        <w:rPr>
          <w:i/>
        </w:rPr>
        <w:t>Sección 1</w:t>
      </w:r>
      <w:r>
        <w:tab/>
      </w:r>
    </w:p>
    <w:p w14:paraId="6EA0D4BD" w14:textId="36B722F7" w:rsidR="00142531" w:rsidRPr="00933EA2" w:rsidRDefault="00142531" w:rsidP="00933EA2">
      <w:pPr>
        <w:pStyle w:val="BodyText"/>
      </w:pPr>
      <w:r>
        <w:rPr>
          <w:i/>
        </w:rPr>
        <w:t>Prohibición de la venta de juegos de azar a menores</w:t>
      </w:r>
    </w:p>
    <w:p w14:paraId="2B0E4901" w14:textId="6BE602B7" w:rsidR="00142531" w:rsidRPr="00933EA2" w:rsidRDefault="00142531" w:rsidP="00933EA2">
      <w:pPr>
        <w:pStyle w:val="BodyText"/>
        <w:jc w:val="both"/>
      </w:pPr>
      <w:r>
        <w:rPr>
          <w:i/>
        </w:rPr>
        <w:t xml:space="preserve">Artículo D. 320-1. - </w:t>
      </w:r>
      <w:r>
        <w:t>Deberá colocarse un cartel donde se recuerden las disposiciones de los artículos L. 320-8 y L. 320-9 a la vista del público en los puestos de inscripción de juegos de lotería, apuestas deportivas o apuestas hípicas. Los modelos de estos carteles, así como sus lugares de colocación, se determinarán por orden del Ministro de Sanidad.</w:t>
      </w:r>
    </w:p>
    <w:p w14:paraId="5E136608" w14:textId="7D1E02AF" w:rsidR="00142531" w:rsidRPr="00933EA2" w:rsidRDefault="00142531" w:rsidP="00933EA2">
      <w:pPr>
        <w:pStyle w:val="BodyText"/>
        <w:spacing w:before="120"/>
      </w:pPr>
      <w:r>
        <w:rPr>
          <w:i/>
        </w:rPr>
        <w:t xml:space="preserve">Sección 2 </w:t>
      </w:r>
    </w:p>
    <w:p w14:paraId="293E235D" w14:textId="2BF2B62A" w:rsidR="00142531" w:rsidRPr="00933EA2" w:rsidRDefault="00142531" w:rsidP="00933EA2">
      <w:pPr>
        <w:pStyle w:val="BodyText"/>
        <w:spacing w:before="120"/>
      </w:pPr>
      <w:r>
        <w:rPr>
          <w:i/>
        </w:rPr>
        <w:t>Comunicación comercial en favor de un operador de juegos de azar</w:t>
      </w:r>
    </w:p>
    <w:p w14:paraId="4FDF742F" w14:textId="733125A6" w:rsidR="00142531" w:rsidRPr="00933EA2" w:rsidRDefault="00142531" w:rsidP="00933EA2">
      <w:pPr>
        <w:spacing w:before="120" w:after="120"/>
        <w:jc w:val="both"/>
      </w:pPr>
      <w:r>
        <w:rPr>
          <w:i/>
        </w:rPr>
        <w:t>Artículo D. 320-2</w:t>
      </w:r>
      <w:r>
        <w:t xml:space="preserve">. - Cualquier comunicación comercial en favor de un operador de juegos de azar irá acompañada de un mensaje de advertencia contra los riesgos asociados a la práctica del juego. Este mensaje, que deberá aparecer en todos los soportes publicitarios o promocionales, contendrá, en particular, el número del servicio de comunicación en línea del dispositivo público de ayuda a los jugadores establecido bajo la responsabilidad de la Agencia Nacional de Salud Pública. </w:t>
      </w:r>
    </w:p>
    <w:p w14:paraId="4A792144" w14:textId="68DC3E7F" w:rsidR="00142531" w:rsidRPr="00933EA2" w:rsidRDefault="00142531" w:rsidP="00933EA2">
      <w:pPr>
        <w:spacing w:before="120" w:after="120"/>
        <w:jc w:val="both"/>
      </w:pPr>
      <w:r>
        <w:t>Se presentará de forma accesible y fácil de leer, de conformidad con su vocación de salud pública y se distinguirá claramente del mensaje publicitario o promocional al que acompañe.</w:t>
      </w:r>
    </w:p>
    <w:p w14:paraId="23FE00A7" w14:textId="641BB9C1" w:rsidR="00142531" w:rsidRPr="00933EA2" w:rsidRDefault="00142531" w:rsidP="00933EA2">
      <w:pPr>
        <w:spacing w:before="120" w:after="120"/>
        <w:jc w:val="both"/>
      </w:pPr>
      <w:r>
        <w:t>El contenido y las modalidades de colocación y de difusión del mensaje se precisarán mediante orden del Ministro de Sanidad.</w:t>
      </w:r>
    </w:p>
    <w:p w14:paraId="626BBD10" w14:textId="4878EBD5" w:rsidR="00142531" w:rsidRPr="00933EA2" w:rsidRDefault="00142531" w:rsidP="00933EA2">
      <w:pPr>
        <w:spacing w:before="120" w:after="120"/>
        <w:jc w:val="both"/>
      </w:pPr>
      <w:r>
        <w:rPr>
          <w:i/>
        </w:rPr>
        <w:t>Artículo D. 320-3.</w:t>
      </w:r>
      <w:r>
        <w:t xml:space="preserve"> - Cuando los mensajes publicitarios, de patrocinio o promocionales se transmitan en salas de espectáculos o en cines o por servicios de comunicación audiovisual, los mensajes de advertencia mencionados en el artículo D. 320-2:</w:t>
      </w:r>
    </w:p>
    <w:p w14:paraId="5A410A11" w14:textId="231FD1D5" w:rsidR="00142531" w:rsidRPr="00933EA2" w:rsidRDefault="001D2F2A" w:rsidP="00933EA2">
      <w:pPr>
        <w:spacing w:before="120" w:after="120"/>
        <w:jc w:val="both"/>
      </w:pPr>
      <w:r>
        <w:t>1) o bien se incluirán en un anuncio, fijo o desplegable, durante la duración de la emisión del mensaje publicitario (este anuncio ocupará al menos el 7 % de la altura de la pantalla);</w:t>
      </w:r>
    </w:p>
    <w:p w14:paraId="0C2C26AA" w14:textId="1F4C469D" w:rsidR="00142531" w:rsidRPr="00933EA2" w:rsidRDefault="001D2F2A" w:rsidP="00933EA2">
      <w:pPr>
        <w:spacing w:before="120" w:after="120"/>
        <w:jc w:val="both"/>
      </w:pPr>
      <w:r>
        <w:t>2) o bien se presentarán en una pantalla inmediatamente después del mensaje publicitario.</w:t>
      </w:r>
    </w:p>
    <w:p w14:paraId="14D3FE3C" w14:textId="77257C5A" w:rsidR="00142531" w:rsidRPr="00933EA2" w:rsidRDefault="00142531" w:rsidP="00933EA2">
      <w:pPr>
        <w:spacing w:before="120" w:after="120"/>
        <w:jc w:val="both"/>
      </w:pPr>
      <w:r>
        <w:rPr>
          <w:i/>
        </w:rPr>
        <w:t>Artículo D. 320-4.</w:t>
      </w:r>
      <w:r>
        <w:t xml:space="preserve"> - Cuando los mensajes publicitarios o promocionales se emitan en la radio, el mensaje de advertencia mencionado en el artículo D. 320-2 se transmitirá inmediatamente después del mensaje publicitario.</w:t>
      </w:r>
    </w:p>
    <w:p w14:paraId="23CCF94C" w14:textId="1B3FBE9F" w:rsidR="00142531" w:rsidRPr="00933EA2" w:rsidRDefault="00142531" w:rsidP="00933EA2">
      <w:pPr>
        <w:spacing w:before="120" w:after="120"/>
        <w:jc w:val="both"/>
      </w:pPr>
      <w:r>
        <w:rPr>
          <w:i/>
        </w:rPr>
        <w:lastRenderedPageBreak/>
        <w:t>Artículo D. 320-5.</w:t>
      </w:r>
      <w:r>
        <w:t xml:space="preserve"> - La presentación del mensaje de advertencia mencionado en el artículo D. 320-2 respetará los principios establecidos en los artículos D. 320-8 y D. 320-9, así como las buenas prácticas definidas por la profesión y el Consejo Superior Audiovisual.</w:t>
      </w:r>
    </w:p>
    <w:p w14:paraId="0984A69D" w14:textId="1DB680CB" w:rsidR="00142531" w:rsidRPr="00933EA2" w:rsidRDefault="00142531" w:rsidP="00933EA2">
      <w:pPr>
        <w:spacing w:before="120" w:after="120"/>
        <w:jc w:val="both"/>
      </w:pPr>
      <w:r>
        <w:rPr>
          <w:i/>
        </w:rPr>
        <w:t>Artículo D. 320-6.</w:t>
      </w:r>
      <w:r>
        <w:t xml:space="preserve"> - Cuando los mensajes publicitarios o promocionales se distribuyan en un soporte impreso, el mensaje de advertencia mencionado en el artículo D. 320-2 se colocará en un espacio horizontal reservado para el texto y cubrirá al menos el 7 % del espacio publicitario. </w:t>
      </w:r>
    </w:p>
    <w:p w14:paraId="40F88BE2" w14:textId="11C28D40" w:rsidR="00142531" w:rsidRPr="00933EA2" w:rsidRDefault="00142531" w:rsidP="00933EA2">
      <w:pPr>
        <w:spacing w:before="120" w:after="120"/>
        <w:jc w:val="both"/>
      </w:pPr>
      <w:r>
        <w:t xml:space="preserve">En caso de que aparezcan varios mensajes publicitarios o promocionales en favor del mismo operador de juego en un mismo soporte, el mensaje de advertencia mencionado en el artículo D. 320-2 solo podrá colocarse una vez en un anuncio que ocupe al menos el 7 % de la superficie del soporte. </w:t>
      </w:r>
    </w:p>
    <w:p w14:paraId="1A1B3572" w14:textId="77777777" w:rsidR="00142531" w:rsidRPr="00933EA2" w:rsidRDefault="00142531" w:rsidP="00933EA2">
      <w:pPr>
        <w:spacing w:before="120" w:after="120"/>
        <w:jc w:val="both"/>
      </w:pPr>
      <w:r>
        <w:t xml:space="preserve"> </w:t>
      </w:r>
      <w:r>
        <w:rPr>
          <w:i/>
        </w:rPr>
        <w:t>Artículo D. 320-7.</w:t>
      </w:r>
      <w:r>
        <w:t xml:space="preserve"> – Las disposiciones del artículo D. 320-6 no serán aplicables a los artículos deportivos comercializados o puestos a disposición por las federaciones deportivas, los organizadores de eventos deportivos mencionados en el primer párrafo del artículo L. 331-5 del Código del Deporte o las asociaciones y sociedades deportivas mencionadas, respectivamente, en los artículos L. 122-1 y L. 122-2 de dicho Código.</w:t>
      </w:r>
    </w:p>
    <w:p w14:paraId="20DE0FD0" w14:textId="06A478EE" w:rsidR="00142531" w:rsidRPr="00933EA2" w:rsidRDefault="00142531" w:rsidP="00933EA2">
      <w:pPr>
        <w:spacing w:before="120" w:after="120"/>
        <w:jc w:val="both"/>
      </w:pPr>
      <w:r>
        <w:rPr>
          <w:i/>
        </w:rPr>
        <w:t>Artículo</w:t>
      </w:r>
      <w:r>
        <w:t xml:space="preserve"> </w:t>
      </w:r>
      <w:r>
        <w:rPr>
          <w:i/>
        </w:rPr>
        <w:t>D. 320-8. –</w:t>
      </w:r>
      <w:r>
        <w:t xml:space="preserve"> Cuando los mensajes publicitarios, de patrocinio o promocionales se transmitan en forma de comunicación al público en línea, el mensaje de advertencia mencionado en el artículo D. 320-2 aparecerá al mismo tiempo que el mensaje publicitario o promocional al que acompaña. Este mensaje se mostrará de forma que el jugador, al hacer clic en él, sea reenviado al servicio de comunicación en línea del dispositivo público de ayuda a los jugadores establecido bajo la responsabilidad de la Agencia Nacional de Salud Pública.</w:t>
      </w:r>
    </w:p>
    <w:p w14:paraId="0211574A" w14:textId="6BA01978" w:rsidR="00142531" w:rsidRPr="00933EA2" w:rsidRDefault="00142531" w:rsidP="00933EA2">
      <w:pPr>
        <w:spacing w:before="120" w:after="120"/>
        <w:jc w:val="both"/>
      </w:pPr>
      <w:r>
        <w:t>Este mensaje se presentará de forma accesible y fácil de leer, de conformidad con su vocación de salud pública y se distinguirá claramente del mensaje publicitario al que acompañe.</w:t>
      </w:r>
    </w:p>
    <w:p w14:paraId="20AB5999" w14:textId="77777777" w:rsidR="001D2F2A" w:rsidRPr="00933EA2" w:rsidRDefault="001D2F2A" w:rsidP="00933EA2">
      <w:pPr>
        <w:spacing w:before="120" w:after="120"/>
        <w:jc w:val="both"/>
        <w:rPr>
          <w:i/>
        </w:rPr>
      </w:pPr>
    </w:p>
    <w:p w14:paraId="6E4E5240" w14:textId="67A68190" w:rsidR="00142531" w:rsidRPr="00933EA2" w:rsidRDefault="00142531" w:rsidP="00933EA2">
      <w:pPr>
        <w:spacing w:before="120" w:after="120"/>
        <w:jc w:val="both"/>
      </w:pPr>
      <w:r>
        <w:rPr>
          <w:i/>
        </w:rPr>
        <w:t>Sección 3</w:t>
      </w:r>
    </w:p>
    <w:p w14:paraId="4DB64D13" w14:textId="241703DB" w:rsidR="00142531" w:rsidRPr="00933EA2" w:rsidRDefault="00142531" w:rsidP="00933EA2">
      <w:pPr>
        <w:spacing w:before="120" w:after="120"/>
        <w:jc w:val="both"/>
      </w:pPr>
      <w:r>
        <w:rPr>
          <w:i/>
        </w:rPr>
        <w:t>Prohibición de comunicaciones comerciales en favor de operadores de juegos de azar en determinados medios</w:t>
      </w:r>
    </w:p>
    <w:p w14:paraId="65B7AAFD" w14:textId="4E24C55A" w:rsidR="00142531" w:rsidRPr="00933EA2" w:rsidRDefault="00142531" w:rsidP="00933EA2">
      <w:pPr>
        <w:spacing w:before="120" w:after="120"/>
        <w:jc w:val="both"/>
      </w:pPr>
      <w:r>
        <w:rPr>
          <w:i/>
        </w:rPr>
        <w:t xml:space="preserve">Artículo D. 320-9. - </w:t>
      </w:r>
      <w:r>
        <w:t>Toda comunicación comercial en favor de un operador de juegos de azar estará prohibida:</w:t>
      </w:r>
    </w:p>
    <w:p w14:paraId="5227AAFD" w14:textId="59F3EB5A" w:rsidR="00142531" w:rsidRPr="00933EA2" w:rsidRDefault="001D2F2A" w:rsidP="00933EA2">
      <w:pPr>
        <w:spacing w:before="120" w:after="120"/>
        <w:jc w:val="both"/>
      </w:pPr>
      <w:r>
        <w:t>1) cuando incite al juego excesivo, trivialice o promueva este tipo de práctica;</w:t>
      </w:r>
    </w:p>
    <w:p w14:paraId="56D78825" w14:textId="6753909C" w:rsidR="00142531" w:rsidRPr="00933EA2" w:rsidRDefault="001D2F2A" w:rsidP="00933EA2">
      <w:pPr>
        <w:spacing w:before="120" w:after="120"/>
        <w:jc w:val="both"/>
      </w:pPr>
      <w:r>
        <w:t>2) cuando sugiera que el juego contribuye al éxito social;</w:t>
      </w:r>
    </w:p>
    <w:p w14:paraId="258EE449" w14:textId="1E8E9EB0" w:rsidR="00142531" w:rsidRPr="00933EA2" w:rsidRDefault="001D2F2A" w:rsidP="00933EA2">
      <w:pPr>
        <w:spacing w:before="120" w:after="120"/>
        <w:jc w:val="both"/>
      </w:pPr>
      <w:r>
        <w:t xml:space="preserve">3) cuando contenga declaraciones infundadas sobre las posibilidades de los jugadores de ganar o sobre las ganancias que pueden esperar ganar; </w:t>
      </w:r>
    </w:p>
    <w:p w14:paraId="75D88D1F" w14:textId="45A3AEE0" w:rsidR="00142531" w:rsidRPr="00933EA2" w:rsidRDefault="001D2F2A" w:rsidP="00933EA2">
      <w:pPr>
        <w:spacing w:before="120" w:after="120"/>
        <w:jc w:val="both"/>
      </w:pPr>
      <w:r>
        <w:t>4) cuando sugiera que el juego puede ser una solución a las dificultades personales, profesionales, sociales o psicológicas;</w:t>
      </w:r>
    </w:p>
    <w:p w14:paraId="0FAADED8" w14:textId="35A26E98" w:rsidR="0096792E" w:rsidRPr="00933EA2" w:rsidRDefault="001D2F2A" w:rsidP="00933EA2">
      <w:pPr>
        <w:spacing w:before="120" w:after="120"/>
        <w:jc w:val="both"/>
      </w:pPr>
      <w:r>
        <w:t xml:space="preserve">5) cuando presente el juego como una actividad para ganarse la vida o como una alternativa al trabajo remunerado. </w:t>
      </w:r>
    </w:p>
    <w:p w14:paraId="2933AC42" w14:textId="5857A6A2" w:rsidR="00142531" w:rsidRPr="00933EA2" w:rsidRDefault="00142531" w:rsidP="00933EA2">
      <w:pPr>
        <w:spacing w:before="120" w:after="120"/>
        <w:jc w:val="both"/>
      </w:pPr>
      <w:r>
        <w:rPr>
          <w:i/>
        </w:rPr>
        <w:t>Artículo D. 320-10.</w:t>
      </w:r>
      <w:r>
        <w:t>- Estarán prohibidos en las comunicaciones comerciales en favor de los juegos de azar:</w:t>
      </w:r>
    </w:p>
    <w:p w14:paraId="3E6424C3" w14:textId="1E87439B" w:rsidR="00142531" w:rsidRPr="00933EA2" w:rsidRDefault="001D2F2A" w:rsidP="00933EA2">
      <w:pPr>
        <w:spacing w:before="120" w:after="120"/>
        <w:jc w:val="both"/>
      </w:pPr>
      <w:r>
        <w:t>1) cualquier puesta en escena o representación de menores en una situación de compra;</w:t>
      </w:r>
    </w:p>
    <w:p w14:paraId="22E31CF1" w14:textId="21F617D1" w:rsidR="00142531" w:rsidRPr="00933EA2" w:rsidRDefault="001D2F2A" w:rsidP="00933EA2">
      <w:pPr>
        <w:spacing w:before="120" w:after="120"/>
        <w:jc w:val="both"/>
      </w:pPr>
      <w:r>
        <w:t>2) cualquier publicidad que incite a los menores a considerar que los juegos de azar son una parte natural de su tiempo libre;</w:t>
      </w:r>
    </w:p>
    <w:p w14:paraId="7DDA03B1" w14:textId="092451E4" w:rsidR="00142531" w:rsidRPr="00933EA2" w:rsidRDefault="001D2F2A" w:rsidP="00933EA2">
      <w:pPr>
        <w:spacing w:before="120" w:after="120"/>
        <w:jc w:val="both"/>
      </w:pPr>
      <w:r>
        <w:lastRenderedPageBreak/>
        <w:t>3) cualquier puesta en escena de personalidades o personajes pertenecientes al universo de los menores;</w:t>
      </w:r>
    </w:p>
    <w:p w14:paraId="2FCC9BB5" w14:textId="66D1AD53" w:rsidR="00142531" w:rsidRPr="00933EA2" w:rsidRDefault="001D2F2A" w:rsidP="00933EA2">
      <w:pPr>
        <w:spacing w:before="120" w:after="120"/>
        <w:jc w:val="both"/>
      </w:pPr>
      <w:r>
        <w:t xml:space="preserve">4) cualquier publicidad dirigida a niños o adolescentes, o particularmente atractiva para ellos, en particular debido a elementos visuales, sonoros, verbales o escritos.». </w:t>
      </w:r>
    </w:p>
    <w:p w14:paraId="577E32B6" w14:textId="77777777" w:rsidR="00142531" w:rsidRPr="00933EA2" w:rsidRDefault="00142531" w:rsidP="00933EA2">
      <w:pPr>
        <w:spacing w:after="200" w:line="276" w:lineRule="auto"/>
        <w:jc w:val="both"/>
        <w:rPr>
          <w:rFonts w:eastAsiaTheme="minorHAnsi"/>
          <w:b/>
        </w:rPr>
      </w:pPr>
    </w:p>
    <w:p w14:paraId="1F6C66A8" w14:textId="512A3E12" w:rsidR="00142531" w:rsidRPr="00933EA2" w:rsidRDefault="00142531" w:rsidP="00933EA2">
      <w:pPr>
        <w:keepNext/>
        <w:keepLines/>
        <w:spacing w:after="200" w:line="276" w:lineRule="auto"/>
        <w:jc w:val="center"/>
        <w:rPr>
          <w:rFonts w:eastAsiaTheme="minorHAnsi"/>
          <w:b/>
        </w:rPr>
      </w:pPr>
      <w:r>
        <w:rPr>
          <w:rFonts w:eastAsiaTheme="minorHAnsi"/>
          <w:b/>
        </w:rPr>
        <w:t>TÍTULO VIII: DISPOSICIONES RELATIVAS A LA REGULACIÓN DE LA OFERTA DE JUEGOS DE LOTERÍA Y APUESTAS DEPORTIVAS EN UNA RED DE DISTRIBUCIÓN FÍSICA</w:t>
      </w:r>
    </w:p>
    <w:p w14:paraId="1CAAFC25" w14:textId="1792437D" w:rsidR="00142531" w:rsidRDefault="00C342AB" w:rsidP="00933EA2">
      <w:pPr>
        <w:pStyle w:val="BodyText"/>
        <w:keepNext/>
        <w:keepLines/>
        <w:jc w:val="center"/>
        <w:rPr>
          <w:b/>
        </w:rPr>
      </w:pPr>
      <w:r>
        <w:rPr>
          <w:b/>
        </w:rPr>
        <w:t>Artículo 47</w:t>
      </w:r>
    </w:p>
    <w:p w14:paraId="3659547E" w14:textId="77777777" w:rsidR="00933EA2" w:rsidRPr="00933EA2" w:rsidRDefault="00933EA2" w:rsidP="00933EA2">
      <w:pPr>
        <w:keepNext/>
        <w:keepLines/>
        <w:rPr>
          <w:b/>
        </w:rPr>
      </w:pPr>
    </w:p>
    <w:p w14:paraId="6697EB5C" w14:textId="77777777" w:rsidR="00142531" w:rsidRPr="00933EA2" w:rsidRDefault="00142531" w:rsidP="00933EA2">
      <w:pPr>
        <w:spacing w:after="200" w:line="276" w:lineRule="auto"/>
        <w:jc w:val="both"/>
        <w:rPr>
          <w:rFonts w:eastAsiaTheme="minorHAnsi"/>
        </w:rPr>
      </w:pPr>
      <w:r>
        <w:t xml:space="preserve">Después del capítulo II, del título II, del libro III, del mismo Código, se incluye un capítulo II </w:t>
      </w:r>
      <w:r>
        <w:rPr>
          <w:rFonts w:eastAsiaTheme="minorHAnsi"/>
          <w:i/>
        </w:rPr>
        <w:t>ter</w:t>
      </w:r>
      <w:r>
        <w:t xml:space="preserve"> y II </w:t>
      </w:r>
      <w:r>
        <w:rPr>
          <w:rFonts w:eastAsiaTheme="minorHAnsi"/>
          <w:i/>
        </w:rPr>
        <w:t xml:space="preserve">quater </w:t>
      </w:r>
      <w:r>
        <w:t xml:space="preserve">con la siguiente redacción: </w:t>
      </w:r>
    </w:p>
    <w:p w14:paraId="6D2D130B" w14:textId="77777777" w:rsidR="00142531" w:rsidRPr="00933EA2" w:rsidRDefault="00142531" w:rsidP="00933EA2">
      <w:pPr>
        <w:spacing w:after="200" w:line="276" w:lineRule="auto"/>
        <w:jc w:val="both"/>
        <w:rPr>
          <w:rFonts w:eastAsiaTheme="minorHAnsi"/>
        </w:rPr>
      </w:pPr>
      <w:r>
        <w:t>«</w:t>
      </w:r>
      <w:r>
        <w:rPr>
          <w:rFonts w:eastAsiaTheme="minorHAnsi"/>
          <w:i/>
        </w:rPr>
        <w:t>Capítulo II</w:t>
      </w:r>
      <w:r>
        <w:t xml:space="preserve"> ter </w:t>
      </w:r>
    </w:p>
    <w:p w14:paraId="7540790A" w14:textId="77777777" w:rsidR="00142531" w:rsidRPr="00933EA2" w:rsidRDefault="00142531" w:rsidP="00933EA2">
      <w:pPr>
        <w:spacing w:after="200" w:line="276" w:lineRule="auto"/>
        <w:jc w:val="both"/>
        <w:rPr>
          <w:rFonts w:eastAsiaTheme="minorHAnsi"/>
        </w:rPr>
      </w:pPr>
      <w:r>
        <w:rPr>
          <w:rFonts w:eastAsiaTheme="minorHAnsi"/>
          <w:i/>
        </w:rPr>
        <w:t>Juegos de lotería sujetos al régimen de derechos exclusivos</w:t>
      </w:r>
      <w:r>
        <w:t xml:space="preserve"> </w:t>
      </w:r>
    </w:p>
    <w:p w14:paraId="45707223" w14:textId="77777777" w:rsidR="00142531" w:rsidRPr="00933EA2" w:rsidRDefault="00142531" w:rsidP="00933EA2">
      <w:pPr>
        <w:spacing w:after="200" w:line="276" w:lineRule="auto"/>
        <w:jc w:val="both"/>
        <w:rPr>
          <w:rFonts w:eastAsiaTheme="minorHAnsi"/>
        </w:rPr>
      </w:pPr>
      <w:r>
        <w:rPr>
          <w:rFonts w:eastAsiaTheme="minorHAnsi"/>
          <w:i/>
        </w:rPr>
        <w:t>Artículo D. 322-9.</w:t>
      </w:r>
      <w:r>
        <w:t xml:space="preserve"> – Las apuestas serán las sumas pagadas por los jugadores a La Française des Jeux y asignadas directamente al juego.</w:t>
      </w:r>
    </w:p>
    <w:p w14:paraId="05D78C26" w14:textId="77777777" w:rsidR="00142531" w:rsidRPr="00933EA2" w:rsidRDefault="00142531" w:rsidP="00933EA2">
      <w:pPr>
        <w:spacing w:after="200" w:line="276" w:lineRule="auto"/>
        <w:jc w:val="both"/>
        <w:rPr>
          <w:rFonts w:eastAsiaTheme="minorHAnsi"/>
        </w:rPr>
      </w:pPr>
      <w:r>
        <w:rPr>
          <w:rFonts w:eastAsiaTheme="minorHAnsi"/>
          <w:i/>
        </w:rPr>
        <w:t>Artículo D. 322-10.</w:t>
      </w:r>
      <w:r>
        <w:t xml:space="preserve"> – En promedio para todos los juegos de lotería, así como para cada uno individualmente, la probabilidad matemática de ganar para los jugadores deberá estar comprendida entre el 45 % y el 75 % de las apuestas totales.</w:t>
      </w:r>
    </w:p>
    <w:p w14:paraId="392842B4" w14:textId="77777777" w:rsidR="00142531" w:rsidRPr="00933EA2" w:rsidRDefault="00142531" w:rsidP="00933EA2">
      <w:pPr>
        <w:spacing w:after="200" w:line="276" w:lineRule="auto"/>
        <w:jc w:val="both"/>
        <w:rPr>
          <w:rFonts w:eastAsiaTheme="minorHAnsi"/>
        </w:rPr>
      </w:pPr>
      <w:r>
        <w:t>Las proporciones de las sumas apostadas en los juegos de lotería asignadas a las ganancias serán las siguientes:</w:t>
      </w:r>
    </w:p>
    <w:p w14:paraId="5893D65F" w14:textId="1FE88D6B" w:rsidR="00142531" w:rsidRPr="00933EA2" w:rsidRDefault="001D2F2A" w:rsidP="00933EA2">
      <w:pPr>
        <w:spacing w:after="200" w:line="276" w:lineRule="auto"/>
        <w:jc w:val="both"/>
        <w:rPr>
          <w:rFonts w:eastAsiaTheme="minorHAnsi"/>
        </w:rPr>
      </w:pPr>
      <w:r>
        <w:t>1) para los sorteos, la proporción asignada a los ganadores estará comprendida entre el 50 % y el 60 % para cada sorteo tradicional, entre el 59 % y el 70 % para cada sorteo adicional y entre el 65 % y el 72 % para sorteos sucesivos;</w:t>
      </w:r>
    </w:p>
    <w:p w14:paraId="3A93D254" w14:textId="28A3AEB2" w:rsidR="00142531" w:rsidRPr="00933EA2" w:rsidRDefault="001D2F2A" w:rsidP="00933EA2">
      <w:pPr>
        <w:spacing w:after="200" w:line="276" w:lineRule="auto"/>
        <w:jc w:val="both"/>
        <w:rPr>
          <w:rFonts w:eastAsiaTheme="minorHAnsi"/>
        </w:rPr>
      </w:pPr>
      <w:r>
        <w:t>2) para juegos instantáneos, la proporción asignada a los ganadores estará comprendida entre el 62 % y el 75 % para los juegos de rascar, entre el 65 % y el 75 % para cada juego de azar inmediato y entre el 60 % y el 70 % para cada juego instantáneo adicional;</w:t>
      </w:r>
    </w:p>
    <w:p w14:paraId="53F8B5DC" w14:textId="66B5C56A" w:rsidR="00142531" w:rsidRPr="00933EA2" w:rsidRDefault="001D2F2A" w:rsidP="00933EA2">
      <w:pPr>
        <w:spacing w:after="200" w:line="276" w:lineRule="auto"/>
        <w:jc w:val="both"/>
        <w:rPr>
          <w:rFonts w:eastAsiaTheme="minorHAnsi"/>
        </w:rPr>
      </w:pPr>
      <w:r>
        <w:t>3) para todos los juegos de rascar, en línea y en red de distribución física, y en un número significativo de emisiones, la proporción promedio asignada a los ganadores será como mínimo del 50 % y como máximo del 70,5 % del valor nominal de las emisiones.</w:t>
      </w:r>
    </w:p>
    <w:p w14:paraId="07658E7E" w14:textId="77777777" w:rsidR="00142531" w:rsidRPr="00933EA2" w:rsidRDefault="00142531" w:rsidP="00933EA2">
      <w:pPr>
        <w:spacing w:after="200" w:line="276" w:lineRule="auto"/>
        <w:jc w:val="both"/>
        <w:rPr>
          <w:rFonts w:eastAsiaTheme="minorHAnsi"/>
        </w:rPr>
      </w:pPr>
      <w:r>
        <w:rPr>
          <w:rFonts w:eastAsiaTheme="minorHAnsi"/>
          <w:i/>
        </w:rPr>
        <w:t xml:space="preserve">Artículo D. 322-11. </w:t>
      </w:r>
      <w:r>
        <w:t>– Los juegos de azar inmediatos, definidos en el punto 2 del artículo L. 322-9-2, no podrán proponerse en terminales sin que haya intermediación humana a disposición de los jugadores en los puestos de inscripción de los juegos de lotería mencionados en el párrafo segundo del artículo L. 320-5.</w:t>
      </w:r>
    </w:p>
    <w:p w14:paraId="5E183BE2" w14:textId="77777777" w:rsidR="00142531" w:rsidRPr="00933EA2" w:rsidRDefault="00142531" w:rsidP="00933EA2">
      <w:pPr>
        <w:spacing w:after="200" w:line="276" w:lineRule="auto"/>
        <w:jc w:val="both"/>
        <w:rPr>
          <w:rFonts w:eastAsiaTheme="minorHAnsi"/>
        </w:rPr>
      </w:pPr>
      <w:r>
        <w:rPr>
          <w:rFonts w:eastAsiaTheme="minorHAnsi"/>
          <w:i/>
        </w:rPr>
        <w:t>Artículo D. 322-12.</w:t>
      </w:r>
      <w:r>
        <w:t xml:space="preserve"> – Los juegos de lotería que La Française des Jeux está autorizada a explotar se basan en eventos, resultados de asignaciones aleatorias o de sorteos que pueden incluir números, letras, colores, signos o símbolos o secuencias de números, letras, colores, signos o </w:t>
      </w:r>
      <w:r>
        <w:lastRenderedPageBreak/>
        <w:t>símbolos. Su funcionamiento podrá permitir la participación individual o grupal de varios jugadores. Su mecánica podrá permitir al jugador realizar acciones o efectuar elecciones que pueden afectar a la configuración del juego, como la frecuencia o la cantidad de las ganancias, o la proporción de apuestas asignadas a ellos.</w:t>
      </w:r>
    </w:p>
    <w:p w14:paraId="62BE2B36" w14:textId="77777777" w:rsidR="00142531" w:rsidRPr="00933EA2" w:rsidRDefault="00142531" w:rsidP="00933EA2">
      <w:pPr>
        <w:spacing w:after="200" w:line="276" w:lineRule="auto"/>
        <w:jc w:val="both"/>
        <w:rPr>
          <w:rFonts w:eastAsiaTheme="minorHAnsi"/>
        </w:rPr>
      </w:pPr>
      <w:r>
        <w:t>Estos juegos podrán ofrecerse en formato multijugador, lo que permitirá la participación de varios jugadores, grupos o comunidades de jugadores según la mecánica de confrontación o colaboración, o una combinación de ambos.</w:t>
      </w:r>
    </w:p>
    <w:p w14:paraId="348C95DA" w14:textId="77777777" w:rsidR="00142531" w:rsidRPr="00933EA2" w:rsidRDefault="00142531" w:rsidP="00933EA2">
      <w:pPr>
        <w:spacing w:after="200" w:line="276" w:lineRule="auto"/>
        <w:jc w:val="both"/>
        <w:rPr>
          <w:rFonts w:eastAsiaTheme="minorHAnsi"/>
        </w:rPr>
      </w:pPr>
      <w:r>
        <w:rPr>
          <w:rFonts w:eastAsiaTheme="minorHAnsi"/>
          <w:i/>
        </w:rPr>
        <w:t>Artículo D. 322-13.</w:t>
      </w:r>
      <w:r>
        <w:t xml:space="preserve"> – La participación en los juegos a que se refiere el artículo D. 322-12 se realizará a través de la red de distribución física de La Française des Jeux y de las personas autorizadas por esta en las condiciones definidas en el artículo R. 322-18-1, o a través de un servicio de comunicación pública en línea.</w:t>
      </w:r>
    </w:p>
    <w:p w14:paraId="105DA0DE" w14:textId="45720C17" w:rsidR="00142531" w:rsidRPr="00933EA2" w:rsidRDefault="00142531" w:rsidP="00933EA2">
      <w:pPr>
        <w:spacing w:after="200" w:line="276" w:lineRule="auto"/>
        <w:jc w:val="both"/>
        <w:rPr>
          <w:rFonts w:eastAsiaTheme="minorHAnsi"/>
        </w:rPr>
      </w:pPr>
      <w:r>
        <w:rPr>
          <w:rFonts w:eastAsiaTheme="minorHAnsi"/>
          <w:i/>
        </w:rPr>
        <w:t>Artículo D. 322-14.</w:t>
      </w:r>
      <w:r>
        <w:t xml:space="preserve"> – La oferta de juegos de lotería de La Française des Jeux se regulará de la siguiente manera:</w:t>
      </w:r>
    </w:p>
    <w:p w14:paraId="72F121DD" w14:textId="08FFD438" w:rsidR="00142531" w:rsidRPr="00933EA2" w:rsidRDefault="001D2F2A" w:rsidP="00933EA2">
      <w:pPr>
        <w:spacing w:after="200" w:line="276" w:lineRule="auto"/>
        <w:jc w:val="both"/>
        <w:rPr>
          <w:rFonts w:eastAsiaTheme="minorHAnsi"/>
        </w:rPr>
      </w:pPr>
      <w:r>
        <w:t>1) el número de juegos de lotería, con todas las categorías combinadas, explotados simultáneamente en una red de distribución física se limitará a un máximo de cuarenta;</w:t>
      </w:r>
    </w:p>
    <w:p w14:paraId="27AD047C" w14:textId="2F845A41" w:rsidR="00142531" w:rsidRPr="00933EA2" w:rsidRDefault="001D2F2A" w:rsidP="00933EA2">
      <w:pPr>
        <w:spacing w:after="200" w:line="276" w:lineRule="auto"/>
        <w:jc w:val="both"/>
        <w:rPr>
          <w:rFonts w:eastAsiaTheme="minorHAnsi"/>
        </w:rPr>
      </w:pPr>
      <w:r>
        <w:t>2) el número de juegos de lotería, con todas las categorías combinadas, explotados simultáneamente en línea, se limitará a un máximo de cien;</w:t>
      </w:r>
    </w:p>
    <w:p w14:paraId="3391E3C9" w14:textId="7875B4AC" w:rsidR="00142531" w:rsidRPr="00933EA2" w:rsidRDefault="001D2F2A" w:rsidP="00933EA2">
      <w:pPr>
        <w:spacing w:after="200" w:line="276" w:lineRule="auto"/>
        <w:jc w:val="both"/>
        <w:rPr>
          <w:rFonts w:eastAsiaTheme="minorHAnsi"/>
        </w:rPr>
      </w:pPr>
      <w:r>
        <w:t>3) las reglas del juego limitarán la cantidad total de las ganancias realmente pagadas a los ganadores, por cada intervención aleatoria, hasta un límite de doscientos cincuenta millones de euros por el primer premio de cada juego de lotería y cien millones de euros para juegos de lotería basados en el principio de contrapartida.</w:t>
      </w:r>
    </w:p>
    <w:p w14:paraId="7EDC6E95" w14:textId="77777777" w:rsidR="00142531" w:rsidRPr="00933EA2" w:rsidRDefault="00142531" w:rsidP="00933EA2">
      <w:pPr>
        <w:spacing w:after="200" w:line="276" w:lineRule="auto"/>
        <w:jc w:val="both"/>
        <w:rPr>
          <w:rFonts w:eastAsiaTheme="minorHAnsi"/>
        </w:rPr>
      </w:pPr>
      <w:r>
        <w:rPr>
          <w:rFonts w:eastAsiaTheme="minorHAnsi"/>
          <w:i/>
        </w:rPr>
        <w:t>Artículo D. 322-15</w:t>
      </w:r>
      <w:r>
        <w:t>. – La atribución de ganancias o premios a los ganadores se determinará aleatoriamente o por un evento como la acción de un jugador. Un mismo juego de lotería podrá combinar varios métodos para determinar las ganancias o premios y otorgarlos a los ganadores.</w:t>
      </w:r>
    </w:p>
    <w:p w14:paraId="698B3ECA" w14:textId="77777777" w:rsidR="00142531" w:rsidRPr="00933EA2" w:rsidRDefault="00142531" w:rsidP="00933EA2">
      <w:pPr>
        <w:spacing w:after="200" w:line="276" w:lineRule="auto"/>
        <w:jc w:val="both"/>
        <w:rPr>
          <w:rFonts w:eastAsiaTheme="minorHAnsi"/>
        </w:rPr>
      </w:pPr>
      <w:r>
        <w:rPr>
          <w:rFonts w:eastAsiaTheme="minorHAnsi"/>
          <w:i/>
        </w:rPr>
        <w:t>Artículo D. 322-16.</w:t>
      </w:r>
      <w:r>
        <w:t xml:space="preserve"> – El sorteo se realizará previamente cuando las ganancias o premios se asignen aleatoriamente a los soportes de juego ganadores mediante un código oculto, antes de ponerse a disposición del público.</w:t>
      </w:r>
    </w:p>
    <w:p w14:paraId="1DF4C48B" w14:textId="77777777" w:rsidR="00142531" w:rsidRPr="00933EA2" w:rsidRDefault="00142531" w:rsidP="00933EA2">
      <w:pPr>
        <w:spacing w:after="200" w:line="276" w:lineRule="auto"/>
        <w:jc w:val="both"/>
        <w:rPr>
          <w:rFonts w:eastAsiaTheme="minorHAnsi"/>
        </w:rPr>
      </w:pPr>
      <w:r>
        <w:t>Será simultáneo cuando esté desencadeno por un evento como la acción de un jugador en el soporte dotado de un dispositivo o método apropiado.</w:t>
      </w:r>
    </w:p>
    <w:p w14:paraId="5224D752" w14:textId="77777777" w:rsidR="00142531" w:rsidRPr="00933EA2" w:rsidRDefault="00142531" w:rsidP="00933EA2">
      <w:pPr>
        <w:spacing w:after="200" w:line="276" w:lineRule="auto"/>
        <w:jc w:val="both"/>
        <w:rPr>
          <w:rFonts w:eastAsiaTheme="minorHAnsi"/>
        </w:rPr>
      </w:pPr>
      <w:r>
        <w:t>Se realizará con posterioridad cuando dependa de los resultados de uno o varios sorteos o atribuciones aleatorias, que podrán incluir números, letras, colores, signos o símbolos o secuencias de números, letras, colores, signos o símbolos.</w:t>
      </w:r>
    </w:p>
    <w:p w14:paraId="6A6541EC" w14:textId="77777777" w:rsidR="00142531" w:rsidRPr="00933EA2" w:rsidRDefault="00142531" w:rsidP="00933EA2">
      <w:pPr>
        <w:spacing w:after="200" w:line="276" w:lineRule="auto"/>
        <w:jc w:val="both"/>
        <w:rPr>
          <w:rFonts w:eastAsiaTheme="minorHAnsi"/>
        </w:rPr>
      </w:pPr>
      <w:r>
        <w:t xml:space="preserve"> </w:t>
      </w:r>
      <w:r>
        <w:rPr>
          <w:rFonts w:eastAsiaTheme="minorHAnsi"/>
          <w:i/>
        </w:rPr>
        <w:t>Artículo D. 322-17.</w:t>
      </w:r>
      <w:r>
        <w:t xml:space="preserve"> – Las ganancias o premios otorgados a los ganadores podrán ser en efectivo o en especie. Las ganancias otorgadas en especie se registrarán al valor de mercado.</w:t>
      </w:r>
    </w:p>
    <w:p w14:paraId="499EF278" w14:textId="77777777" w:rsidR="00142531" w:rsidRPr="00933EA2" w:rsidRDefault="00142531" w:rsidP="00933EA2">
      <w:pPr>
        <w:spacing w:after="200" w:line="276" w:lineRule="auto"/>
        <w:jc w:val="both"/>
        <w:rPr>
          <w:rFonts w:eastAsiaTheme="minorHAnsi"/>
        </w:rPr>
      </w:pPr>
      <w:r>
        <w:rPr>
          <w:rFonts w:eastAsiaTheme="minorHAnsi"/>
          <w:i/>
        </w:rPr>
        <w:t>Artículo D. 322-18.</w:t>
      </w:r>
      <w:r>
        <w:t xml:space="preserve"> – Cuando un mismo juego de lotería utilice los principios de distribución y contrapartida a la vez, cada parte del juego estará sujeta al cumplimiento de los principios correspondientes.</w:t>
      </w:r>
    </w:p>
    <w:p w14:paraId="71C8C978" w14:textId="77777777" w:rsidR="00142531" w:rsidRPr="00933EA2" w:rsidRDefault="00142531" w:rsidP="00933EA2">
      <w:pPr>
        <w:spacing w:after="200" w:line="276" w:lineRule="auto"/>
        <w:jc w:val="both"/>
        <w:rPr>
          <w:rFonts w:eastAsiaTheme="minorHAnsi"/>
        </w:rPr>
      </w:pPr>
      <w:r>
        <w:rPr>
          <w:rFonts w:eastAsiaTheme="minorHAnsi"/>
          <w:i/>
        </w:rPr>
        <w:lastRenderedPageBreak/>
        <w:t>Capítulo II</w:t>
      </w:r>
      <w:r>
        <w:t xml:space="preserve"> quater</w:t>
      </w:r>
    </w:p>
    <w:p w14:paraId="3EE605AB" w14:textId="77777777" w:rsidR="00142531" w:rsidRPr="00933EA2" w:rsidRDefault="00142531" w:rsidP="00933EA2">
      <w:pPr>
        <w:spacing w:after="200" w:line="276" w:lineRule="auto"/>
        <w:jc w:val="both"/>
        <w:rPr>
          <w:rFonts w:eastAsiaTheme="minorHAnsi"/>
        </w:rPr>
      </w:pPr>
      <w:r>
        <w:rPr>
          <w:rFonts w:eastAsiaTheme="minorHAnsi"/>
          <w:i/>
        </w:rPr>
        <w:t>Apuestas deportivas e hípicas</w:t>
      </w:r>
    </w:p>
    <w:p w14:paraId="19743B61" w14:textId="77777777" w:rsidR="00142531" w:rsidRPr="00933EA2" w:rsidRDefault="00142531" w:rsidP="00933EA2">
      <w:pPr>
        <w:spacing w:after="200" w:line="276" w:lineRule="auto"/>
        <w:jc w:val="both"/>
        <w:rPr>
          <w:rFonts w:eastAsiaTheme="minorHAnsi"/>
        </w:rPr>
      </w:pPr>
      <w:r>
        <w:rPr>
          <w:rFonts w:eastAsiaTheme="minorHAnsi"/>
          <w:i/>
        </w:rPr>
        <w:t>Artículo D. 322-19</w:t>
      </w:r>
      <w:r>
        <w:t>. – Para todas las apuestas deportivas mencionadas en el artículo L. 322-13 y comercializadas por La Française des Jeux como red de distribución física, el porcentaje de apuestas asignadas a las ganancias será como máximo igual al 76,5 % de media durante un año civil.</w:t>
      </w:r>
    </w:p>
    <w:p w14:paraId="1B16ABF1" w14:textId="77777777" w:rsidR="00142531" w:rsidRPr="00933EA2" w:rsidRDefault="00142531" w:rsidP="00933EA2">
      <w:pPr>
        <w:spacing w:after="200" w:line="276" w:lineRule="auto"/>
        <w:jc w:val="both"/>
        <w:rPr>
          <w:rFonts w:eastAsiaTheme="minorHAnsi"/>
        </w:rPr>
      </w:pPr>
      <w:r>
        <w:rPr>
          <w:rFonts w:eastAsiaTheme="minorHAnsi"/>
          <w:i/>
        </w:rPr>
        <w:t>Artículo D. 322-20.</w:t>
      </w:r>
      <w:r>
        <w:t xml:space="preserve"> – La atribución de las ganancias o premios a los ganadores estará determinada por los resultados de los eventos deportivos. Un mismo juego de apuestas deportivas podrá combinar varios métodos para determinar las ganancias o premios y otorgarlos a los ganadores.</w:t>
      </w:r>
    </w:p>
    <w:p w14:paraId="4FCEFCC4" w14:textId="77777777" w:rsidR="00142531" w:rsidRPr="00933EA2" w:rsidRDefault="00142531" w:rsidP="00933EA2">
      <w:pPr>
        <w:spacing w:after="200" w:line="276" w:lineRule="auto"/>
        <w:jc w:val="both"/>
        <w:rPr>
          <w:rFonts w:eastAsiaTheme="minorHAnsi"/>
        </w:rPr>
      </w:pPr>
      <w:r>
        <w:rPr>
          <w:rFonts w:eastAsiaTheme="minorHAnsi"/>
          <w:i/>
        </w:rPr>
        <w:t>Artículo D. 322-21.</w:t>
      </w:r>
      <w:r>
        <w:t xml:space="preserve"> – Las ganancias o premios otorgados a los ganadores podrán ser en efectivo o en especie. Las ganancias otorgadas en especie se registrarán al valor de mercado.</w:t>
      </w:r>
    </w:p>
    <w:p w14:paraId="52C3B83B" w14:textId="77777777" w:rsidR="00142531" w:rsidRPr="00933EA2" w:rsidRDefault="00142531" w:rsidP="00933EA2">
      <w:pPr>
        <w:spacing w:after="200" w:line="276" w:lineRule="auto"/>
        <w:jc w:val="both"/>
        <w:rPr>
          <w:rFonts w:eastAsiaTheme="minorHAnsi"/>
        </w:rPr>
      </w:pPr>
      <w:r>
        <w:rPr>
          <w:rFonts w:eastAsiaTheme="minorHAnsi"/>
          <w:i/>
        </w:rPr>
        <w:t>Artículo D. 322-22.</w:t>
      </w:r>
      <w:r>
        <w:t xml:space="preserve"> – Cuando un mismo juego de apuestas deportivas utilice los principios de distribución y contrapartida a la vez, cada parte del juego estará sujeta al cumplimiento de los principios correspondientes.».</w:t>
      </w:r>
    </w:p>
    <w:p w14:paraId="397F7EC9" w14:textId="6B79B966" w:rsidR="00142531" w:rsidRPr="00933EA2" w:rsidRDefault="00142531" w:rsidP="00933EA2">
      <w:pPr>
        <w:keepNext/>
        <w:keepLines/>
        <w:spacing w:after="200" w:line="276" w:lineRule="auto"/>
        <w:jc w:val="center"/>
        <w:rPr>
          <w:rFonts w:eastAsiaTheme="minorHAnsi"/>
          <w:b/>
        </w:rPr>
      </w:pPr>
      <w:r>
        <w:rPr>
          <w:rFonts w:eastAsiaTheme="minorHAnsi"/>
          <w:b/>
        </w:rPr>
        <w:t>TÍTULO IX: OTRAS DISPOSICIONES</w:t>
      </w:r>
    </w:p>
    <w:p w14:paraId="6B2FA634" w14:textId="6133C450" w:rsidR="00142531" w:rsidRPr="00933EA2" w:rsidRDefault="00142531" w:rsidP="00933EA2">
      <w:pPr>
        <w:pStyle w:val="BodyText"/>
        <w:keepNext/>
        <w:keepLines/>
        <w:jc w:val="center"/>
        <w:rPr>
          <w:b/>
        </w:rPr>
      </w:pPr>
      <w:r>
        <w:rPr>
          <w:b/>
        </w:rPr>
        <w:t>Artículo 48</w:t>
      </w:r>
    </w:p>
    <w:p w14:paraId="1E081A25" w14:textId="77777777" w:rsidR="00142531" w:rsidRPr="00933EA2" w:rsidRDefault="00142531" w:rsidP="00933EA2">
      <w:pPr>
        <w:keepNext/>
        <w:keepLines/>
        <w:rPr>
          <w:b/>
        </w:rPr>
      </w:pPr>
    </w:p>
    <w:p w14:paraId="37DFBDA8" w14:textId="6B10418A" w:rsidR="00142531" w:rsidRPr="00933EA2" w:rsidRDefault="00142531" w:rsidP="00933EA2">
      <w:pPr>
        <w:pStyle w:val="BodyText"/>
        <w:jc w:val="both"/>
      </w:pPr>
      <w:r>
        <w:t>El Decreto n.º 2019-1061 de 17 de octubre de 2019 se modifica como sigue:</w:t>
      </w:r>
    </w:p>
    <w:p w14:paraId="1D7BA30F" w14:textId="01D3777C" w:rsidR="00142531" w:rsidRPr="00933EA2" w:rsidRDefault="00B84182" w:rsidP="00933EA2">
      <w:pPr>
        <w:pStyle w:val="BodyText"/>
        <w:jc w:val="both"/>
        <w:rPr>
          <w:rFonts w:eastAsia="Calibri"/>
        </w:rPr>
      </w:pPr>
      <w:r>
        <w:t xml:space="preserve">1) el artículo 8 se modifica como sigue: </w:t>
      </w:r>
    </w:p>
    <w:p w14:paraId="2B2B45CD" w14:textId="6E5CBC85" w:rsidR="00142531" w:rsidRPr="00933EA2" w:rsidRDefault="00F77C81" w:rsidP="00933EA2">
      <w:pPr>
        <w:pStyle w:val="BodyText"/>
        <w:jc w:val="both"/>
      </w:pPr>
      <w:r>
        <w:t>a) se suprimen los párrafos primero, tercero a séptimo, noveno a decimosexto y el primer párrafo del apartado II;</w:t>
      </w:r>
    </w:p>
    <w:p w14:paraId="36218AA9" w14:textId="7EC300FB" w:rsidR="00142531" w:rsidRPr="00933EA2" w:rsidRDefault="00F77C81" w:rsidP="00933EA2">
      <w:pPr>
        <w:pStyle w:val="BodyText"/>
        <w:jc w:val="both"/>
      </w:pPr>
      <w:r>
        <w:t>b) el párrafo segundo queda completado con las palabras: «mencionada en los artículos L. 322-9-1 y L. 322-9-2 del Código de la seguridad interna»;</w:t>
      </w:r>
    </w:p>
    <w:p w14:paraId="3FD15048" w14:textId="5FCE4042" w:rsidR="00142531" w:rsidRPr="00933EA2" w:rsidRDefault="00F77C81" w:rsidP="00933EA2">
      <w:pPr>
        <w:pStyle w:val="BodyText"/>
        <w:jc w:val="both"/>
      </w:pPr>
      <w:r>
        <w:t xml:space="preserve">c) en el párrafo octavo, se sustituyen las palabras «en el presente artículo» por las palabras «en los artículos D. 322-10 y D. 322-19 del Código de la seguridad interna»; </w:t>
      </w:r>
    </w:p>
    <w:p w14:paraId="5C01C0A8" w14:textId="08EE0C3D" w:rsidR="00142531" w:rsidRPr="00933EA2" w:rsidRDefault="00F77C81" w:rsidP="00933EA2">
      <w:pPr>
        <w:pStyle w:val="BodyText"/>
        <w:jc w:val="both"/>
      </w:pPr>
      <w:r>
        <w:t>d) en el párrafo decimoséptimo, se sustituyen las palabras «en el punto 2 del presente apartado I» por las palabras «en el artículo D. 322-14»;</w:t>
      </w:r>
    </w:p>
    <w:p w14:paraId="4A48D974" w14:textId="6354E1D2" w:rsidR="00142531" w:rsidRPr="00933EA2" w:rsidRDefault="003A7FAA" w:rsidP="00933EA2">
      <w:pPr>
        <w:pStyle w:val="BodyText"/>
        <w:jc w:val="both"/>
      </w:pPr>
      <w:r>
        <w:t xml:space="preserve">2) el artículo 9 se modifica como sigue: </w:t>
      </w:r>
    </w:p>
    <w:p w14:paraId="67CB0A9C" w14:textId="0B61CF64" w:rsidR="00142531" w:rsidRPr="00933EA2" w:rsidRDefault="00F77C81" w:rsidP="00933EA2">
      <w:pPr>
        <w:pStyle w:val="BodyText"/>
        <w:jc w:val="both"/>
      </w:pPr>
      <w:r>
        <w:t>a) en el párrafo primero, se suprime la mención «I. – »;</w:t>
      </w:r>
    </w:p>
    <w:p w14:paraId="7362E9D8" w14:textId="26A4CC94" w:rsidR="00142531" w:rsidRPr="00933EA2" w:rsidRDefault="00F77C81" w:rsidP="00933EA2">
      <w:pPr>
        <w:pStyle w:val="BodyText"/>
        <w:jc w:val="both"/>
      </w:pPr>
      <w:r>
        <w:t>b) queda derogado el apartado II;</w:t>
      </w:r>
    </w:p>
    <w:p w14:paraId="34B2083E" w14:textId="5E389661" w:rsidR="00142531" w:rsidRPr="00933EA2" w:rsidRDefault="003A7FAA" w:rsidP="00933EA2">
      <w:pPr>
        <w:pStyle w:val="BodyText"/>
        <w:jc w:val="both"/>
      </w:pPr>
      <w:r>
        <w:t>3) en el artículo 11, se suprime el párrafo primero;</w:t>
      </w:r>
    </w:p>
    <w:p w14:paraId="2CF30745" w14:textId="77777777" w:rsidR="00142531" w:rsidRPr="00933EA2" w:rsidRDefault="003A7FAA" w:rsidP="00933EA2">
      <w:pPr>
        <w:pStyle w:val="BodyText"/>
        <w:jc w:val="both"/>
      </w:pPr>
      <w:r>
        <w:t>4) se derogan los artículos 10 y 16.</w:t>
      </w:r>
    </w:p>
    <w:p w14:paraId="026AA641" w14:textId="19FF09DB" w:rsidR="00142531" w:rsidRDefault="00C342AB" w:rsidP="00933EA2">
      <w:pPr>
        <w:pStyle w:val="BodyText"/>
        <w:jc w:val="center"/>
        <w:rPr>
          <w:b/>
        </w:rPr>
      </w:pPr>
      <w:r>
        <w:rPr>
          <w:b/>
        </w:rPr>
        <w:t>Artículo 49</w:t>
      </w:r>
    </w:p>
    <w:p w14:paraId="20CC2A42" w14:textId="77777777" w:rsidR="00933EA2" w:rsidRPr="00933EA2" w:rsidRDefault="00933EA2" w:rsidP="00933EA2">
      <w:pPr>
        <w:keepNext/>
        <w:keepLines/>
        <w:rPr>
          <w:b/>
        </w:rPr>
      </w:pPr>
    </w:p>
    <w:p w14:paraId="5078CA54" w14:textId="77777777" w:rsidR="003A46B9" w:rsidRPr="00933EA2" w:rsidRDefault="00142531" w:rsidP="00933EA2">
      <w:pPr>
        <w:pStyle w:val="BodyText"/>
        <w:jc w:val="both"/>
      </w:pPr>
      <w:r>
        <w:t xml:space="preserve">El Decreto n.º 2010-624, de 8 de junio de 2010, relativo a la reglamentación de las comunicaciones comerciales en favor de operadores de juegos de azar y a la información de los </w:t>
      </w:r>
      <w:r>
        <w:lastRenderedPageBreak/>
        <w:t>jugadores relativa a los riesgos ligados a la práctica del juego, queda derogado, a excepción de su artículo 1.</w:t>
      </w:r>
    </w:p>
    <w:p w14:paraId="44F6D3A1" w14:textId="77777777" w:rsidR="003A46B9" w:rsidRPr="00933EA2" w:rsidRDefault="003A46B9" w:rsidP="00933EA2">
      <w:pPr>
        <w:pStyle w:val="BodyText"/>
        <w:jc w:val="both"/>
      </w:pPr>
      <w:r>
        <w:t>El artículo 1 del Decreto de 8 de junio de 2010, mencionado, quedará sin efecto en la fecha de entrada en vigor de la Orden prevista en el artículo D. 320-2 del Código de la seguridad interna.</w:t>
      </w:r>
    </w:p>
    <w:p w14:paraId="43F165C3" w14:textId="77777777" w:rsidR="00142531" w:rsidRPr="00933EA2" w:rsidRDefault="00142531" w:rsidP="00933EA2">
      <w:pPr>
        <w:pStyle w:val="BodyText"/>
        <w:jc w:val="both"/>
      </w:pPr>
    </w:p>
    <w:p w14:paraId="1ED9BF43" w14:textId="30760737" w:rsidR="00142531" w:rsidRPr="00933EA2" w:rsidRDefault="00142531" w:rsidP="00933EA2">
      <w:pPr>
        <w:keepNext/>
        <w:keepLines/>
        <w:pageBreakBefore/>
        <w:spacing w:after="200" w:line="276" w:lineRule="auto"/>
        <w:jc w:val="center"/>
        <w:rPr>
          <w:rFonts w:eastAsiaTheme="minorHAnsi"/>
          <w:b/>
        </w:rPr>
      </w:pPr>
      <w:r>
        <w:rPr>
          <w:rFonts w:eastAsiaTheme="minorHAnsi"/>
          <w:b/>
        </w:rPr>
        <w:lastRenderedPageBreak/>
        <w:t>TÍTULO X: DISPOSICIONES RELATIVAS A ULTRAMAR</w:t>
      </w:r>
    </w:p>
    <w:p w14:paraId="228B2384" w14:textId="6829D366" w:rsidR="00142531" w:rsidRDefault="00C342AB" w:rsidP="00933EA2">
      <w:pPr>
        <w:pStyle w:val="BodyText"/>
        <w:keepNext/>
        <w:keepLines/>
        <w:jc w:val="center"/>
        <w:rPr>
          <w:b/>
        </w:rPr>
      </w:pPr>
      <w:r>
        <w:rPr>
          <w:b/>
        </w:rPr>
        <w:t>Artículo 50</w:t>
      </w:r>
    </w:p>
    <w:p w14:paraId="64A668A0" w14:textId="77777777" w:rsidR="00933EA2" w:rsidRPr="00933EA2" w:rsidRDefault="00933EA2" w:rsidP="00933EA2">
      <w:pPr>
        <w:pStyle w:val="BodyText"/>
        <w:keepNext/>
        <w:keepLines/>
        <w:jc w:val="center"/>
        <w:rPr>
          <w:b/>
        </w:rPr>
      </w:pPr>
    </w:p>
    <w:p w14:paraId="4EDE3EF1" w14:textId="78A68B88" w:rsidR="00142531" w:rsidRPr="00933EA2" w:rsidRDefault="00142531" w:rsidP="00933EA2">
      <w:pPr>
        <w:spacing w:before="120" w:after="120"/>
        <w:jc w:val="both"/>
      </w:pPr>
      <w:r>
        <w:t xml:space="preserve">El título VI, del libro III, del Código de la seguridad interna se modifica como sigue: </w:t>
      </w:r>
    </w:p>
    <w:p w14:paraId="3F218209" w14:textId="4E3D9BBB" w:rsidR="00142531" w:rsidRPr="00933EA2" w:rsidRDefault="00142531" w:rsidP="00933EA2">
      <w:pPr>
        <w:spacing w:before="120" w:after="120"/>
        <w:jc w:val="both"/>
      </w:pPr>
      <w:r>
        <w:t xml:space="preserve">1) después del artículo R. 344-1, se añade el artículo D. 344-1-1 con la siguiente redacción: </w:t>
      </w:r>
    </w:p>
    <w:p w14:paraId="03866EFC" w14:textId="4280BBD7" w:rsidR="00142531" w:rsidRPr="00933EA2" w:rsidRDefault="00142531" w:rsidP="00933EA2">
      <w:pPr>
        <w:spacing w:before="120" w:after="120"/>
        <w:jc w:val="both"/>
      </w:pPr>
      <w:r>
        <w:t>«</w:t>
      </w:r>
      <w:r>
        <w:rPr>
          <w:i/>
        </w:rPr>
        <w:t>Artículo D. 344-1-1</w:t>
      </w:r>
      <w:r>
        <w:t xml:space="preserve">. – Las disposiciones de este libro mencionadas en la columna de la izquierda del cuadro siguiente, en la redacción indicada en la columna de la derecha del mismo cuadro, se aplicarán en la Polinesia Francesa: </w:t>
      </w:r>
    </w:p>
    <w:p w14:paraId="575C799C" w14:textId="77777777" w:rsidR="00142531" w:rsidRPr="00933EA2" w:rsidRDefault="00142531" w:rsidP="00933EA2">
      <w:pPr>
        <w:spacing w:before="120" w:after="120"/>
      </w:pPr>
    </w:p>
    <w:tbl>
      <w:tblPr>
        <w:tblW w:w="0" w:type="auto"/>
        <w:tblInd w:w="-15" w:type="dxa"/>
        <w:tblLayout w:type="fixed"/>
        <w:tblLook w:val="0000" w:firstRow="0" w:lastRow="0" w:firstColumn="0" w:lastColumn="0" w:noHBand="0" w:noVBand="0"/>
      </w:tblPr>
      <w:tblGrid>
        <w:gridCol w:w="4747"/>
        <w:gridCol w:w="4777"/>
      </w:tblGrid>
      <w:tr w:rsidR="00142531" w:rsidRPr="00933EA2" w14:paraId="0E2EAEC9"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1B23B21" w14:textId="77777777" w:rsidR="00142531" w:rsidRPr="00933EA2" w:rsidRDefault="00142531" w:rsidP="00933EA2">
            <w:pPr>
              <w:spacing w:before="120" w:after="120"/>
              <w:jc w:val="center"/>
            </w:pPr>
            <w:r>
              <w:t>DISPOSICIONES APLICABLES</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7D931236" w14:textId="77777777" w:rsidR="00142531" w:rsidRPr="00933EA2" w:rsidRDefault="00142531" w:rsidP="00933EA2">
            <w:pPr>
              <w:spacing w:before="120" w:after="120"/>
              <w:jc w:val="center"/>
            </w:pPr>
            <w:r>
              <w:t>EN SU REDACCIÓN</w:t>
            </w:r>
          </w:p>
        </w:tc>
      </w:tr>
      <w:tr w:rsidR="00142531" w:rsidRPr="00933EA2" w14:paraId="412D33D7"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2FF41097" w14:textId="77777777" w:rsidR="00142531" w:rsidRPr="00933EA2" w:rsidRDefault="00142531" w:rsidP="00933EA2">
            <w:pPr>
              <w:spacing w:before="120" w:after="120"/>
              <w:jc w:val="both"/>
            </w:pPr>
            <w:r>
              <w:t>En el título II</w:t>
            </w:r>
          </w:p>
        </w:tc>
      </w:tr>
      <w:tr w:rsidR="00142531" w:rsidRPr="00933EA2" w14:paraId="7935333B"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7E2AA7C7" w14:textId="77777777" w:rsidR="00142531" w:rsidRPr="00933EA2" w:rsidRDefault="00142531" w:rsidP="00933EA2">
            <w:pPr>
              <w:spacing w:before="120" w:after="120"/>
              <w:jc w:val="both"/>
            </w:pPr>
            <w:r>
              <w:t>D. 320-1 a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57373FB" w14:textId="77777777" w:rsidR="00142531" w:rsidRPr="00933EA2" w:rsidRDefault="00142531" w:rsidP="00933EA2">
            <w:pPr>
              <w:spacing w:before="120" w:after="120"/>
              <w:jc w:val="both"/>
            </w:pPr>
            <w:r>
              <w:t>Resultante del Decreto n.º XXX de XXX</w:t>
            </w:r>
          </w:p>
        </w:tc>
      </w:tr>
      <w:tr w:rsidR="00142531" w:rsidRPr="00933EA2" w14:paraId="58B6C442"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08FB507A" w14:textId="77777777" w:rsidR="00142531" w:rsidRPr="00933EA2" w:rsidRDefault="00142531" w:rsidP="00933EA2">
            <w:pPr>
              <w:spacing w:before="120" w:after="120"/>
              <w:jc w:val="both"/>
              <w:rPr>
                <w:bCs/>
                <w:iCs/>
              </w:rPr>
            </w:pPr>
            <w:r>
              <w:t>D. 322-9 a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2C4B1D7B" w14:textId="77777777" w:rsidR="00142531" w:rsidRPr="00933EA2" w:rsidRDefault="00142531" w:rsidP="00933EA2">
            <w:pPr>
              <w:spacing w:before="120" w:after="120"/>
              <w:jc w:val="both"/>
            </w:pPr>
            <w:r>
              <w:t>Resultante del Decreto n.º XXX de XXX</w:t>
            </w:r>
          </w:p>
        </w:tc>
      </w:tr>
    </w:tbl>
    <w:p w14:paraId="76940A3D" w14:textId="70749E61" w:rsidR="00142531" w:rsidRPr="00933EA2" w:rsidRDefault="00142531" w:rsidP="00933EA2">
      <w:pPr>
        <w:spacing w:before="120" w:after="120"/>
        <w:jc w:val="right"/>
      </w:pPr>
      <w:r>
        <w:t>»;</w:t>
      </w:r>
    </w:p>
    <w:p w14:paraId="2859C670" w14:textId="4C9A029D" w:rsidR="00142531" w:rsidRPr="00933EA2" w:rsidRDefault="00F77C81" w:rsidP="00933EA2">
      <w:pPr>
        <w:spacing w:before="120" w:after="120"/>
        <w:jc w:val="both"/>
      </w:pPr>
      <w:r>
        <w:t xml:space="preserve">2) el artículo D. 345-2 se modifica como sigue: </w:t>
      </w:r>
    </w:p>
    <w:p w14:paraId="171E8F55" w14:textId="345E314C" w:rsidR="00142531" w:rsidRPr="00933EA2" w:rsidRDefault="00142531" w:rsidP="00933EA2">
      <w:pPr>
        <w:spacing w:before="120" w:after="120"/>
        <w:jc w:val="both"/>
      </w:pPr>
      <w:r>
        <w:t xml:space="preserve">a) después de la línea: </w:t>
      </w:r>
    </w:p>
    <w:p w14:paraId="0A6D5ECA" w14:textId="4260D7DB"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9524"/>
      </w:tblGrid>
      <w:tr w:rsidR="00142531" w:rsidRPr="00933EA2" w14:paraId="692F82FE" w14:textId="77777777" w:rsidTr="00933EA2">
        <w:trPr>
          <w:cantSplit/>
        </w:trPr>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20DA139F" w14:textId="77777777" w:rsidR="00142531" w:rsidRPr="00933EA2" w:rsidRDefault="00142531" w:rsidP="00933EA2">
            <w:pPr>
              <w:spacing w:before="120" w:after="120"/>
              <w:jc w:val="both"/>
            </w:pPr>
            <w:r>
              <w:t>En el título II</w:t>
            </w:r>
          </w:p>
        </w:tc>
      </w:tr>
    </w:tbl>
    <w:p w14:paraId="5EC12802" w14:textId="77777777" w:rsidR="00142531" w:rsidRPr="00933EA2" w:rsidRDefault="00142531" w:rsidP="00933EA2">
      <w:pPr>
        <w:spacing w:before="120" w:after="120"/>
        <w:jc w:val="right"/>
      </w:pPr>
      <w:r>
        <w:t>»;</w:t>
      </w:r>
    </w:p>
    <w:p w14:paraId="3328B77C" w14:textId="47ADEAAB" w:rsidR="00142531" w:rsidRPr="00933EA2" w:rsidRDefault="00142531" w:rsidP="00933EA2">
      <w:pPr>
        <w:spacing w:before="120" w:after="120"/>
        <w:jc w:val="both"/>
      </w:pPr>
      <w:r>
        <w:t xml:space="preserve">se añade la siguiente línea: </w:t>
      </w:r>
    </w:p>
    <w:p w14:paraId="3C13D2F5" w14:textId="6F23188C"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0A2B46FE"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5F90E2B5" w14:textId="77777777" w:rsidR="00142531" w:rsidRPr="00933EA2" w:rsidRDefault="00142531" w:rsidP="00933EA2">
            <w:pPr>
              <w:spacing w:before="120" w:after="120"/>
              <w:jc w:val="both"/>
            </w:pPr>
            <w:r>
              <w:t>D. 320-1 a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5456348F" w14:textId="77777777" w:rsidR="00142531" w:rsidRPr="00933EA2" w:rsidRDefault="00142531" w:rsidP="00933EA2">
            <w:pPr>
              <w:spacing w:before="120" w:after="120"/>
              <w:jc w:val="both"/>
            </w:pPr>
            <w:r>
              <w:t>Resultante del Decreto n.º XXX de XXX</w:t>
            </w:r>
          </w:p>
        </w:tc>
      </w:tr>
    </w:tbl>
    <w:p w14:paraId="394F271C" w14:textId="15007DC9" w:rsidR="00142531" w:rsidRPr="00933EA2" w:rsidRDefault="00142531" w:rsidP="00933EA2">
      <w:pPr>
        <w:spacing w:before="120" w:after="120"/>
        <w:jc w:val="right"/>
      </w:pPr>
      <w:r>
        <w:t>»;</w:t>
      </w:r>
    </w:p>
    <w:p w14:paraId="2C9C36CA" w14:textId="748A8604" w:rsidR="00142531" w:rsidRPr="00933EA2" w:rsidRDefault="00142531" w:rsidP="00933EA2">
      <w:pPr>
        <w:spacing w:before="120" w:after="120"/>
        <w:jc w:val="both"/>
      </w:pPr>
      <w:r>
        <w:t xml:space="preserve">b) después de la línea: </w:t>
      </w:r>
    </w:p>
    <w:p w14:paraId="7FEEA025" w14:textId="3404E3A0"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7C02A6C7"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0082B790" w14:textId="77777777" w:rsidR="00142531" w:rsidRPr="00933EA2" w:rsidRDefault="00142531" w:rsidP="00933EA2">
            <w:pPr>
              <w:spacing w:before="120" w:after="120"/>
              <w:jc w:val="both"/>
            </w:pPr>
            <w:r>
              <w:t>D. 322-4</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31C8B634" w14:textId="77777777" w:rsidR="00142531" w:rsidRPr="00933EA2" w:rsidRDefault="00142531" w:rsidP="00933EA2">
            <w:pPr>
              <w:spacing w:before="120" w:after="120"/>
              <w:jc w:val="both"/>
            </w:pPr>
            <w:r>
              <w:t>Resultante del Decreto n.º 2014-1253, de 27 de octubre de 2014, relativo a las disposiciones de los libros III, VI y VII de la parte reglamentaria del Código de la seguridad interna (Decretos en Consejo de Estado y Decretos simples)</w:t>
            </w:r>
          </w:p>
        </w:tc>
      </w:tr>
    </w:tbl>
    <w:p w14:paraId="0CC52D59" w14:textId="77777777" w:rsidR="00142531" w:rsidRPr="00933EA2" w:rsidRDefault="00142531" w:rsidP="00933EA2">
      <w:pPr>
        <w:spacing w:before="120" w:after="120"/>
        <w:jc w:val="right"/>
      </w:pPr>
      <w:r>
        <w:t>»;</w:t>
      </w:r>
    </w:p>
    <w:p w14:paraId="036973BF" w14:textId="3EF8A6EA" w:rsidR="00142531" w:rsidRPr="00933EA2" w:rsidRDefault="00142531" w:rsidP="00933EA2">
      <w:pPr>
        <w:spacing w:before="120" w:after="120"/>
        <w:jc w:val="both"/>
      </w:pPr>
      <w:r>
        <w:t xml:space="preserve">se añade la siguiente línea: </w:t>
      </w:r>
    </w:p>
    <w:p w14:paraId="7F8A13A4" w14:textId="7461E24A"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53804408"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6F206FB0" w14:textId="77777777" w:rsidR="00142531" w:rsidRPr="00933EA2" w:rsidRDefault="00142531" w:rsidP="00933EA2">
            <w:pPr>
              <w:spacing w:before="120" w:after="120"/>
              <w:jc w:val="both"/>
            </w:pPr>
            <w:r>
              <w:lastRenderedPageBreak/>
              <w:t>D. 322-9 a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A69AF8B" w14:textId="77777777" w:rsidR="00142531" w:rsidRPr="00933EA2" w:rsidRDefault="00142531" w:rsidP="00933EA2">
            <w:pPr>
              <w:spacing w:before="120" w:after="120"/>
              <w:jc w:val="both"/>
            </w:pPr>
            <w:r>
              <w:t>Resultante del Decreto n.º XXX de XXX</w:t>
            </w:r>
          </w:p>
        </w:tc>
      </w:tr>
    </w:tbl>
    <w:p w14:paraId="7ABECD41" w14:textId="459EF0D1" w:rsidR="00142531" w:rsidRPr="00933EA2" w:rsidRDefault="00142531" w:rsidP="00933EA2">
      <w:pPr>
        <w:spacing w:before="120" w:after="120"/>
        <w:jc w:val="right"/>
      </w:pPr>
      <w:r>
        <w:t>»;</w:t>
      </w:r>
    </w:p>
    <w:p w14:paraId="04D53B77" w14:textId="17B7F537" w:rsidR="00142531" w:rsidRPr="00933EA2" w:rsidRDefault="00142531" w:rsidP="00933EA2">
      <w:pPr>
        <w:spacing w:before="120" w:after="120"/>
        <w:jc w:val="both"/>
      </w:pPr>
      <w:r>
        <w:t xml:space="preserve">3) tras el artículo R. 346-1-1, se añade el artículo D. 346-1-2 con la siguiente redacción: </w:t>
      </w:r>
    </w:p>
    <w:p w14:paraId="0356F9A9" w14:textId="36D1FF27" w:rsidR="00142531" w:rsidRPr="00933EA2" w:rsidRDefault="00142531" w:rsidP="00933EA2">
      <w:pPr>
        <w:spacing w:before="120" w:after="120"/>
        <w:jc w:val="both"/>
      </w:pPr>
      <w:r>
        <w:t>«</w:t>
      </w:r>
      <w:r>
        <w:rPr>
          <w:i/>
        </w:rPr>
        <w:t>Artículo D. 346-1-2</w:t>
      </w:r>
      <w:r>
        <w:t xml:space="preserve">. – Las disposiciones de este libro mencionadas en la columna de la izquierda del cuadro siguiente, en la redacción indicada en la columna de la derecha del mismo cuadro, se aplicarán en las Islas Wallis y Futuna: </w:t>
      </w:r>
    </w:p>
    <w:p w14:paraId="3AB46910" w14:textId="77777777" w:rsidR="00142531" w:rsidRPr="00933EA2" w:rsidRDefault="00142531" w:rsidP="00933EA2">
      <w:pPr>
        <w:spacing w:before="120" w:after="120"/>
      </w:pPr>
    </w:p>
    <w:tbl>
      <w:tblPr>
        <w:tblW w:w="0" w:type="auto"/>
        <w:tblInd w:w="-15" w:type="dxa"/>
        <w:tblLayout w:type="fixed"/>
        <w:tblLook w:val="0000" w:firstRow="0" w:lastRow="0" w:firstColumn="0" w:lastColumn="0" w:noHBand="0" w:noVBand="0"/>
      </w:tblPr>
      <w:tblGrid>
        <w:gridCol w:w="4747"/>
        <w:gridCol w:w="4777"/>
      </w:tblGrid>
      <w:tr w:rsidR="00142531" w:rsidRPr="00933EA2" w14:paraId="4D743C10"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362F6C25" w14:textId="77777777" w:rsidR="00142531" w:rsidRPr="00933EA2" w:rsidRDefault="00142531" w:rsidP="00933EA2">
            <w:pPr>
              <w:spacing w:before="120" w:after="120"/>
              <w:jc w:val="center"/>
            </w:pPr>
            <w:r>
              <w:t>DISPOSICIONES APLICABLES</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54549F68" w14:textId="77777777" w:rsidR="00142531" w:rsidRPr="00933EA2" w:rsidRDefault="00142531" w:rsidP="00933EA2">
            <w:pPr>
              <w:spacing w:before="120" w:after="120"/>
              <w:jc w:val="center"/>
            </w:pPr>
            <w:r>
              <w:t>EN SU REDACCIÓN</w:t>
            </w:r>
          </w:p>
        </w:tc>
      </w:tr>
      <w:tr w:rsidR="00142531" w:rsidRPr="00933EA2" w14:paraId="15B8CCF1"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7F30FF23" w14:textId="77777777" w:rsidR="00142531" w:rsidRPr="00933EA2" w:rsidRDefault="00142531" w:rsidP="00933EA2">
            <w:pPr>
              <w:spacing w:before="120" w:after="120"/>
              <w:jc w:val="both"/>
            </w:pPr>
            <w:r>
              <w:t>En el título II</w:t>
            </w:r>
          </w:p>
        </w:tc>
      </w:tr>
      <w:tr w:rsidR="00142531" w:rsidRPr="00933EA2" w14:paraId="3EC8EE75"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6D9AEA54" w14:textId="77777777" w:rsidR="00142531" w:rsidRPr="00933EA2" w:rsidRDefault="00142531" w:rsidP="00933EA2">
            <w:pPr>
              <w:spacing w:before="120" w:after="120"/>
              <w:jc w:val="both"/>
            </w:pPr>
            <w:r>
              <w:t>D. 320-1 a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6B1C7BDE" w14:textId="77777777" w:rsidR="00142531" w:rsidRPr="00933EA2" w:rsidRDefault="00142531" w:rsidP="00933EA2">
            <w:pPr>
              <w:spacing w:before="120" w:after="120"/>
              <w:jc w:val="both"/>
            </w:pPr>
            <w:r>
              <w:t>Resultante del Decreto n.º XXX de XXX</w:t>
            </w:r>
          </w:p>
        </w:tc>
      </w:tr>
      <w:tr w:rsidR="00142531" w:rsidRPr="00933EA2" w14:paraId="441A2A26"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3D70CD41" w14:textId="77777777" w:rsidR="00142531" w:rsidRPr="00933EA2" w:rsidRDefault="00142531" w:rsidP="00933EA2">
            <w:pPr>
              <w:spacing w:before="120" w:after="120"/>
              <w:jc w:val="both"/>
            </w:pPr>
            <w:r>
              <w:t>D. 322-9 a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2B7F0CC8" w14:textId="77777777" w:rsidR="00142531" w:rsidRPr="00933EA2" w:rsidRDefault="00142531" w:rsidP="00933EA2">
            <w:pPr>
              <w:spacing w:before="120" w:after="120"/>
              <w:jc w:val="both"/>
            </w:pPr>
            <w:r>
              <w:t>Resultante del Decreto n.º XXX de XXX</w:t>
            </w:r>
          </w:p>
        </w:tc>
      </w:tr>
    </w:tbl>
    <w:p w14:paraId="3ACFD74F" w14:textId="0DC3CFC1" w:rsidR="00142531" w:rsidRPr="00933EA2" w:rsidRDefault="00142531" w:rsidP="00933EA2">
      <w:pPr>
        <w:spacing w:before="120" w:after="120"/>
        <w:jc w:val="right"/>
      </w:pPr>
      <w:r>
        <w:t>»;</w:t>
      </w:r>
    </w:p>
    <w:p w14:paraId="5283D3EE" w14:textId="765E5D2C" w:rsidR="00142531" w:rsidRPr="00933EA2" w:rsidRDefault="00142531" w:rsidP="00933EA2">
      <w:pPr>
        <w:spacing w:before="120" w:after="120"/>
        <w:jc w:val="both"/>
      </w:pPr>
      <w:r>
        <w:t xml:space="preserve">4) el capítulo VII se complementa con un artículo D. 347-1 con la siguiente redacción: </w:t>
      </w:r>
    </w:p>
    <w:p w14:paraId="26663052" w14:textId="4598AC2D" w:rsidR="00142531" w:rsidRPr="00933EA2" w:rsidRDefault="00142531" w:rsidP="00933EA2">
      <w:pPr>
        <w:spacing w:before="120" w:after="120"/>
        <w:jc w:val="both"/>
      </w:pPr>
      <w:r>
        <w:t>«</w:t>
      </w:r>
      <w:r>
        <w:rPr>
          <w:i/>
        </w:rPr>
        <w:t>Artículo D. 347-1</w:t>
      </w:r>
      <w:r>
        <w:t xml:space="preserve">. – Las disposiciones de este libro mencionadas en la columna de la izquierda del cuadro siguiente, en la redacción indicada en la columna de la derecha del mismo cuadro, se aplicarán en los Territorios Australes Franceses: </w:t>
      </w:r>
    </w:p>
    <w:p w14:paraId="395891FB" w14:textId="77777777" w:rsidR="00142531" w:rsidRPr="00933EA2" w:rsidRDefault="00142531" w:rsidP="00933EA2">
      <w:pPr>
        <w:spacing w:before="120" w:after="120"/>
      </w:pPr>
    </w:p>
    <w:tbl>
      <w:tblPr>
        <w:tblW w:w="0" w:type="auto"/>
        <w:tblInd w:w="-15" w:type="dxa"/>
        <w:tblLayout w:type="fixed"/>
        <w:tblLook w:val="0000" w:firstRow="0" w:lastRow="0" w:firstColumn="0" w:lastColumn="0" w:noHBand="0" w:noVBand="0"/>
      </w:tblPr>
      <w:tblGrid>
        <w:gridCol w:w="4747"/>
        <w:gridCol w:w="4777"/>
      </w:tblGrid>
      <w:tr w:rsidR="00142531" w:rsidRPr="00933EA2" w14:paraId="19620149"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5E51C02" w14:textId="77777777" w:rsidR="00142531" w:rsidRPr="00933EA2" w:rsidRDefault="00142531" w:rsidP="00933EA2">
            <w:pPr>
              <w:spacing w:before="120" w:after="120"/>
              <w:jc w:val="center"/>
            </w:pPr>
            <w:r>
              <w:t>DISPOSICIONES APLICABLES</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117039B1" w14:textId="77777777" w:rsidR="00142531" w:rsidRPr="00933EA2" w:rsidRDefault="00142531" w:rsidP="00933EA2">
            <w:pPr>
              <w:spacing w:before="120" w:after="120"/>
              <w:jc w:val="center"/>
            </w:pPr>
            <w:r>
              <w:t>EN SU REDACCIÓN</w:t>
            </w:r>
          </w:p>
        </w:tc>
      </w:tr>
      <w:tr w:rsidR="00142531" w:rsidRPr="00933EA2" w14:paraId="006B1D1E"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5FD81A05" w14:textId="77777777" w:rsidR="00142531" w:rsidRPr="00933EA2" w:rsidRDefault="00142531" w:rsidP="00933EA2">
            <w:pPr>
              <w:spacing w:before="120" w:after="120"/>
              <w:jc w:val="both"/>
            </w:pPr>
            <w:r>
              <w:t>En el título II</w:t>
            </w:r>
          </w:p>
        </w:tc>
      </w:tr>
      <w:tr w:rsidR="00142531" w:rsidRPr="00933EA2" w14:paraId="754CC0A0"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2848BF92" w14:textId="77777777" w:rsidR="00142531" w:rsidRPr="00933EA2" w:rsidRDefault="00142531" w:rsidP="00933EA2">
            <w:pPr>
              <w:spacing w:before="120" w:after="120"/>
              <w:jc w:val="both"/>
            </w:pPr>
            <w:r>
              <w:t>D. 320-1 a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09EA1C4F" w14:textId="77777777" w:rsidR="00142531" w:rsidRPr="00933EA2" w:rsidRDefault="00142531" w:rsidP="00933EA2">
            <w:pPr>
              <w:spacing w:before="120" w:after="120"/>
              <w:jc w:val="both"/>
            </w:pPr>
            <w:r>
              <w:t>Resultante del Decreto n.º XXX de XXX</w:t>
            </w:r>
          </w:p>
        </w:tc>
      </w:tr>
      <w:tr w:rsidR="00142531" w:rsidRPr="00933EA2" w14:paraId="5E2E16B3"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C86ABFB" w14:textId="77777777" w:rsidR="00142531" w:rsidRPr="00933EA2" w:rsidRDefault="00142531" w:rsidP="00933EA2">
            <w:pPr>
              <w:spacing w:before="120" w:after="120"/>
              <w:jc w:val="both"/>
            </w:pPr>
            <w:r>
              <w:t>D. 322-9 a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758082FD" w14:textId="77777777" w:rsidR="00142531" w:rsidRPr="00933EA2" w:rsidRDefault="00142531" w:rsidP="00933EA2">
            <w:pPr>
              <w:spacing w:before="120" w:after="120"/>
              <w:jc w:val="both"/>
            </w:pPr>
            <w:r>
              <w:t>Resultante del Decreto n.º XXX de XXX».</w:t>
            </w:r>
          </w:p>
        </w:tc>
      </w:tr>
    </w:tbl>
    <w:p w14:paraId="2929B55C" w14:textId="77777777" w:rsidR="00142531" w:rsidRPr="00933EA2" w:rsidRDefault="00142531" w:rsidP="00933EA2">
      <w:pPr>
        <w:spacing w:after="200" w:line="276" w:lineRule="auto"/>
        <w:jc w:val="both"/>
        <w:rPr>
          <w:rFonts w:eastAsiaTheme="minorHAnsi"/>
          <w:b/>
        </w:rPr>
      </w:pPr>
    </w:p>
    <w:p w14:paraId="401F4637" w14:textId="0B71D208" w:rsidR="00834E0B" w:rsidRPr="00933EA2" w:rsidRDefault="00142531" w:rsidP="00933EA2">
      <w:pPr>
        <w:keepNext/>
        <w:keepLines/>
        <w:spacing w:after="200" w:line="276" w:lineRule="auto"/>
        <w:jc w:val="center"/>
        <w:rPr>
          <w:rFonts w:eastAsiaTheme="minorHAnsi"/>
          <w:b/>
        </w:rPr>
      </w:pPr>
      <w:r>
        <w:rPr>
          <w:rFonts w:eastAsiaTheme="minorHAnsi"/>
          <w:b/>
        </w:rPr>
        <w:t>TÍTULO XI: DISPOSICIONES TRANSITORIAS Y FINALES</w:t>
      </w:r>
    </w:p>
    <w:p w14:paraId="0AD583E0" w14:textId="279FDCC7" w:rsidR="00834E0B" w:rsidRDefault="00C342AB" w:rsidP="00933EA2">
      <w:pPr>
        <w:pStyle w:val="BodyText"/>
        <w:keepNext/>
        <w:keepLines/>
        <w:jc w:val="center"/>
        <w:rPr>
          <w:b/>
        </w:rPr>
      </w:pPr>
      <w:r>
        <w:rPr>
          <w:b/>
        </w:rPr>
        <w:t>Artículo 51</w:t>
      </w:r>
    </w:p>
    <w:p w14:paraId="537DEBBC" w14:textId="77777777" w:rsidR="00933EA2" w:rsidRPr="00933EA2" w:rsidRDefault="00933EA2" w:rsidP="00933EA2">
      <w:pPr>
        <w:keepNext/>
        <w:keepLines/>
        <w:rPr>
          <w:b/>
        </w:rPr>
      </w:pPr>
    </w:p>
    <w:p w14:paraId="3C30DE53" w14:textId="77777777" w:rsidR="00834E0B" w:rsidRPr="00933EA2" w:rsidRDefault="00834E0B" w:rsidP="00933EA2">
      <w:pPr>
        <w:spacing w:after="200" w:line="276" w:lineRule="auto"/>
        <w:jc w:val="both"/>
        <w:rPr>
          <w:rFonts w:eastAsiaTheme="minorHAnsi"/>
        </w:rPr>
      </w:pPr>
      <w:r>
        <w:t>Quedan derogados:</w:t>
      </w:r>
    </w:p>
    <w:p w14:paraId="39CDE79A" w14:textId="34743197" w:rsidR="00834E0B" w:rsidRPr="00933EA2" w:rsidRDefault="00834E0B" w:rsidP="00933EA2">
      <w:pPr>
        <w:spacing w:after="200" w:line="276" w:lineRule="auto"/>
        <w:jc w:val="both"/>
        <w:rPr>
          <w:rFonts w:eastAsiaTheme="minorHAnsi"/>
        </w:rPr>
      </w:pPr>
      <w:r>
        <w:t>- el Decreto n.º 2010-605, de 4 de junio de 2010, relativo al porcentaje máximo de las sumas pagadas por término medio a los jugadores por los operadores autorizados de apuestas hípicas y de apuestas deportivas en línea,</w:t>
      </w:r>
    </w:p>
    <w:p w14:paraId="2B3AC36E" w14:textId="3FA87F31" w:rsidR="00834E0B" w:rsidRPr="00933EA2" w:rsidRDefault="00834E0B" w:rsidP="00933EA2">
      <w:pPr>
        <w:spacing w:after="200" w:line="276" w:lineRule="auto"/>
        <w:jc w:val="both"/>
        <w:rPr>
          <w:rFonts w:eastAsiaTheme="minorHAnsi"/>
        </w:rPr>
      </w:pPr>
      <w:r>
        <w:t xml:space="preserve">- el Decreto n.º 2010-614, de 7 de junio de 2010, sobre las condiciones de los derechos de comercialización relacionados con la organización de apuestas en relación con un evento o competición deportivos, </w:t>
      </w:r>
    </w:p>
    <w:p w14:paraId="08682D8E" w14:textId="77777777" w:rsidR="00834E0B" w:rsidRPr="00933EA2" w:rsidRDefault="00834E0B" w:rsidP="00933EA2">
      <w:pPr>
        <w:spacing w:after="200" w:line="276" w:lineRule="auto"/>
        <w:jc w:val="both"/>
        <w:rPr>
          <w:rFonts w:eastAsiaTheme="minorHAnsi"/>
        </w:rPr>
      </w:pPr>
      <w:r>
        <w:lastRenderedPageBreak/>
        <w:t xml:space="preserve">- el Decreto n.º 2010-483, de 12 de mayo de 2010, relativo a las competiciones deportivas y a los tipos de resultados deportivos definidos por la Autoridad de Regulación de los Juegos en Línea. </w:t>
      </w:r>
    </w:p>
    <w:p w14:paraId="1FA844DB" w14:textId="77777777" w:rsidR="004A5445" w:rsidRPr="00933EA2" w:rsidRDefault="004A5445" w:rsidP="00933EA2">
      <w:pPr>
        <w:pStyle w:val="BodyText"/>
      </w:pPr>
    </w:p>
    <w:p w14:paraId="156635BE" w14:textId="3AE58746" w:rsidR="00045126" w:rsidRPr="00933EA2" w:rsidRDefault="004A5445" w:rsidP="00933EA2">
      <w:pPr>
        <w:pStyle w:val="BodyText"/>
        <w:keepNext/>
        <w:keepLines/>
        <w:jc w:val="center"/>
        <w:rPr>
          <w:b/>
        </w:rPr>
      </w:pPr>
      <w:r>
        <w:rPr>
          <w:b/>
        </w:rPr>
        <w:t>Artículo 52</w:t>
      </w:r>
    </w:p>
    <w:p w14:paraId="0D2865A3" w14:textId="77777777" w:rsidR="004A5445" w:rsidRPr="00933EA2" w:rsidRDefault="004A5445" w:rsidP="00933EA2">
      <w:pPr>
        <w:keepNext/>
        <w:keepLines/>
        <w:rPr>
          <w:b/>
        </w:rPr>
      </w:pPr>
    </w:p>
    <w:p w14:paraId="61CFC6C0" w14:textId="7C347B30" w:rsidR="00F77C81" w:rsidRPr="00933EA2" w:rsidRDefault="00F77C81" w:rsidP="00933EA2">
      <w:pPr>
        <w:spacing w:after="200" w:line="276" w:lineRule="auto"/>
        <w:jc w:val="both"/>
        <w:rPr>
          <w:rFonts w:eastAsiaTheme="minorHAnsi"/>
        </w:rPr>
      </w:pPr>
      <w:r>
        <w:t xml:space="preserve">El presente Decreto entrará en vigor el 15 de marzo de 2020, excepto los artículos 45 y 46, que entrarán en vigor a partir de la primera reunión del colegio de la Autoridad Nacional del Juego, y de los artículos D. 320-10 y D. 320-12 del Código de la seguridad interna, en la redacción dada por el presente Decreto, que entrarán en vigor el 1 de abril de 2020. </w:t>
      </w:r>
    </w:p>
    <w:p w14:paraId="7B0897DA" w14:textId="12835F20" w:rsidR="00F77C81" w:rsidRDefault="00C342AB" w:rsidP="00933EA2">
      <w:pPr>
        <w:pStyle w:val="BodyText"/>
        <w:keepNext/>
        <w:keepLines/>
        <w:jc w:val="center"/>
        <w:rPr>
          <w:b/>
        </w:rPr>
      </w:pPr>
      <w:r>
        <w:rPr>
          <w:b/>
        </w:rPr>
        <w:t>Artículo 53</w:t>
      </w:r>
    </w:p>
    <w:p w14:paraId="1C294652" w14:textId="77777777" w:rsidR="00933EA2" w:rsidRPr="00933EA2" w:rsidRDefault="00933EA2" w:rsidP="00933EA2">
      <w:pPr>
        <w:keepNext/>
        <w:keepLines/>
        <w:rPr>
          <w:b/>
        </w:rPr>
      </w:pPr>
    </w:p>
    <w:p w14:paraId="13B679D0" w14:textId="77777777" w:rsidR="00045126" w:rsidRPr="00933EA2" w:rsidRDefault="00E47B2C" w:rsidP="00933EA2">
      <w:pPr>
        <w:spacing w:after="200" w:line="276" w:lineRule="auto"/>
        <w:jc w:val="both"/>
        <w:rPr>
          <w:rFonts w:eastAsiaTheme="minorHAnsi"/>
        </w:rPr>
      </w:pPr>
      <w:r>
        <w:t xml:space="preserve">La Ministra de Solidaridad y Sanidad, el Ministro de Economía y Hacienda, el Ministro de Acción y Cuentas Públicas y la Ministra de Deporte serán los responsables, dentro de sus respectivas competencias, de la ejecución del presente Decreto, que se publicará en el </w:t>
      </w:r>
      <w:r>
        <w:rPr>
          <w:rFonts w:eastAsiaTheme="minorHAnsi"/>
          <w:i/>
        </w:rPr>
        <w:t>Boletín Oficial</w:t>
      </w:r>
      <w:r>
        <w:t xml:space="preserve"> de la República Francesa.</w:t>
      </w:r>
    </w:p>
    <w:p w14:paraId="5A6BDE87" w14:textId="77777777" w:rsidR="00045126" w:rsidRPr="00933EA2" w:rsidRDefault="00045126" w:rsidP="00933EA2">
      <w:pPr>
        <w:jc w:val="both"/>
      </w:pPr>
    </w:p>
    <w:p w14:paraId="7744C332" w14:textId="77777777" w:rsidR="00045126" w:rsidRPr="00933EA2" w:rsidRDefault="00045126" w:rsidP="00933EA2">
      <w:pPr>
        <w:pStyle w:val="SNDate"/>
      </w:pPr>
      <w:r>
        <w:t>A [fecha].</w:t>
      </w:r>
    </w:p>
    <w:p w14:paraId="2401536C" w14:textId="13A1BFD0" w:rsidR="00045126" w:rsidRPr="00933EA2" w:rsidRDefault="00045126" w:rsidP="00933EA2">
      <w:pPr>
        <w:pStyle w:val="SNContreseing"/>
      </w:pPr>
      <w:r>
        <w:t>Por el Primer Ministro:</w:t>
      </w:r>
    </w:p>
    <w:p w14:paraId="61EA0C42" w14:textId="77777777" w:rsidR="002639F9" w:rsidRPr="00933EA2" w:rsidRDefault="002639F9" w:rsidP="00933EA2">
      <w:pPr>
        <w:pStyle w:val="SNSignatureGauche"/>
      </w:pPr>
    </w:p>
    <w:p w14:paraId="6AE51864" w14:textId="77777777" w:rsidR="002639F9" w:rsidRPr="00933EA2" w:rsidRDefault="002639F9" w:rsidP="00933EA2">
      <w:pPr>
        <w:pStyle w:val="SNSignatureGauche"/>
      </w:pPr>
      <w:r>
        <w:t>La Ministra de Sanidad,</w:t>
      </w:r>
    </w:p>
    <w:p w14:paraId="71E59B0D" w14:textId="77777777" w:rsidR="002639F9" w:rsidRPr="00933EA2" w:rsidRDefault="002639F9" w:rsidP="00933EA2">
      <w:pPr>
        <w:pStyle w:val="SNSignatureGauche"/>
      </w:pPr>
      <w:r>
        <w:t>El Ministro de Economía y Hacienda,</w:t>
      </w:r>
    </w:p>
    <w:p w14:paraId="107A4321" w14:textId="77777777" w:rsidR="0084714D" w:rsidRPr="00933EA2" w:rsidRDefault="00045126" w:rsidP="00933EA2">
      <w:pPr>
        <w:pStyle w:val="SNSignatureGauche"/>
      </w:pPr>
      <w:r>
        <w:lastRenderedPageBreak/>
        <w:t>El Ministro de Acción y Cuentas Públicas,</w:t>
      </w:r>
    </w:p>
    <w:p w14:paraId="3D6DF0C7" w14:textId="77777777" w:rsidR="002639F9" w:rsidRPr="00933EA2" w:rsidRDefault="002639F9" w:rsidP="00933EA2">
      <w:r>
        <w:tab/>
        <w:t>El Ministro del Interior,</w:t>
      </w:r>
    </w:p>
    <w:p w14:paraId="3DBAC714" w14:textId="77777777" w:rsidR="0084714D" w:rsidRPr="00933EA2" w:rsidRDefault="0084714D" w:rsidP="00933EA2">
      <w:r>
        <w:tab/>
      </w:r>
    </w:p>
    <w:p w14:paraId="41741A5D" w14:textId="77777777" w:rsidR="0084714D" w:rsidRPr="00933EA2" w:rsidRDefault="0084714D" w:rsidP="00933EA2"/>
    <w:p w14:paraId="1E24424C" w14:textId="77777777" w:rsidR="0084714D" w:rsidRPr="00933EA2" w:rsidRDefault="0084714D" w:rsidP="00933EA2">
      <w:r>
        <w:tab/>
      </w:r>
    </w:p>
    <w:p w14:paraId="70100F49" w14:textId="77777777" w:rsidR="0084714D" w:rsidRPr="00933EA2" w:rsidRDefault="0084714D" w:rsidP="00933EA2"/>
    <w:p w14:paraId="33274DC5" w14:textId="77777777" w:rsidR="0084714D" w:rsidRPr="00933EA2" w:rsidRDefault="0084714D" w:rsidP="00933EA2"/>
    <w:p w14:paraId="05DF47ED" w14:textId="77777777" w:rsidR="0084714D" w:rsidRPr="00933EA2" w:rsidRDefault="0084714D" w:rsidP="00933EA2">
      <w:r>
        <w:tab/>
      </w:r>
    </w:p>
    <w:p w14:paraId="61D6FBE7" w14:textId="77777777" w:rsidR="0084714D" w:rsidRPr="00933EA2" w:rsidRDefault="0084714D" w:rsidP="00933EA2"/>
    <w:p w14:paraId="0F8ABE96" w14:textId="77777777" w:rsidR="0084714D" w:rsidRPr="00933EA2" w:rsidRDefault="0084714D" w:rsidP="00933EA2"/>
    <w:p w14:paraId="58BE4906" w14:textId="77777777" w:rsidR="0084714D" w:rsidRPr="00933EA2" w:rsidRDefault="0084714D" w:rsidP="00933EA2"/>
    <w:p w14:paraId="17043E6E" w14:textId="77777777" w:rsidR="0084714D" w:rsidRPr="00933EA2" w:rsidRDefault="0084714D" w:rsidP="00933EA2">
      <w:r>
        <w:tab/>
        <w:t>La Ministra de Deporte,</w:t>
      </w:r>
    </w:p>
    <w:p w14:paraId="18DBADDF" w14:textId="77777777" w:rsidR="00045126" w:rsidRPr="00933EA2" w:rsidRDefault="00045126" w:rsidP="00933EA2">
      <w:pPr>
        <w:pStyle w:val="SNSignatureprnomnomDroite"/>
      </w:pPr>
    </w:p>
    <w:p w14:paraId="3EAA086C" w14:textId="77777777" w:rsidR="00FA6DCF" w:rsidRPr="00933EA2" w:rsidRDefault="00FA6DCF" w:rsidP="00933EA2"/>
    <w:sectPr w:rsidR="00FA6DCF" w:rsidRPr="00933EA2">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3AB"/>
    <w:multiLevelType w:val="hybridMultilevel"/>
    <w:tmpl w:val="9D22A510"/>
    <w:lvl w:ilvl="0" w:tplc="7352B29C">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105388"/>
    <w:multiLevelType w:val="hybridMultilevel"/>
    <w:tmpl w:val="51688AC2"/>
    <w:lvl w:ilvl="0" w:tplc="A358F4A0">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0705FC"/>
    <w:multiLevelType w:val="hybridMultilevel"/>
    <w:tmpl w:val="62164F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DE4FB9"/>
    <w:multiLevelType w:val="hybridMultilevel"/>
    <w:tmpl w:val="5B147600"/>
    <w:lvl w:ilvl="0" w:tplc="FB9E8B52">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26"/>
    <w:rsid w:val="00045126"/>
    <w:rsid w:val="000546D5"/>
    <w:rsid w:val="000B249A"/>
    <w:rsid w:val="00116832"/>
    <w:rsid w:val="00142531"/>
    <w:rsid w:val="001441BB"/>
    <w:rsid w:val="001A3887"/>
    <w:rsid w:val="001A748C"/>
    <w:rsid w:val="001C08C5"/>
    <w:rsid w:val="001D2F2A"/>
    <w:rsid w:val="001D5634"/>
    <w:rsid w:val="00236A47"/>
    <w:rsid w:val="00240CB2"/>
    <w:rsid w:val="002639F9"/>
    <w:rsid w:val="00274506"/>
    <w:rsid w:val="0030487E"/>
    <w:rsid w:val="00342260"/>
    <w:rsid w:val="00361A86"/>
    <w:rsid w:val="003640D7"/>
    <w:rsid w:val="003A46B9"/>
    <w:rsid w:val="003A7FAA"/>
    <w:rsid w:val="003E77DA"/>
    <w:rsid w:val="00452EF3"/>
    <w:rsid w:val="004A5445"/>
    <w:rsid w:val="004A5492"/>
    <w:rsid w:val="0053784D"/>
    <w:rsid w:val="005460E9"/>
    <w:rsid w:val="00591BC1"/>
    <w:rsid w:val="00605C60"/>
    <w:rsid w:val="00631D2B"/>
    <w:rsid w:val="006E57E4"/>
    <w:rsid w:val="00757561"/>
    <w:rsid w:val="00794988"/>
    <w:rsid w:val="007A780D"/>
    <w:rsid w:val="007C0916"/>
    <w:rsid w:val="007E61D1"/>
    <w:rsid w:val="00805098"/>
    <w:rsid w:val="00813F86"/>
    <w:rsid w:val="008332C7"/>
    <w:rsid w:val="00834E0B"/>
    <w:rsid w:val="0084714D"/>
    <w:rsid w:val="008701C9"/>
    <w:rsid w:val="0087707C"/>
    <w:rsid w:val="00897E35"/>
    <w:rsid w:val="008B0867"/>
    <w:rsid w:val="0091270F"/>
    <w:rsid w:val="00933EA2"/>
    <w:rsid w:val="0096792E"/>
    <w:rsid w:val="00B148A7"/>
    <w:rsid w:val="00B267A3"/>
    <w:rsid w:val="00B705CF"/>
    <w:rsid w:val="00B84182"/>
    <w:rsid w:val="00B8530E"/>
    <w:rsid w:val="00B86A8C"/>
    <w:rsid w:val="00BC35EB"/>
    <w:rsid w:val="00BD5FA1"/>
    <w:rsid w:val="00C342AB"/>
    <w:rsid w:val="00CD4953"/>
    <w:rsid w:val="00CE7325"/>
    <w:rsid w:val="00D13FBA"/>
    <w:rsid w:val="00D546FF"/>
    <w:rsid w:val="00DC5B05"/>
    <w:rsid w:val="00DD75EA"/>
    <w:rsid w:val="00E47B2C"/>
    <w:rsid w:val="00E60B45"/>
    <w:rsid w:val="00E83532"/>
    <w:rsid w:val="00E93956"/>
    <w:rsid w:val="00EB04CB"/>
    <w:rsid w:val="00F25772"/>
    <w:rsid w:val="00F52FE4"/>
    <w:rsid w:val="00F77C81"/>
    <w:rsid w:val="00FA6DC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DC74"/>
  <w15:docId w15:val="{488261AB-A392-4990-A7B5-E6299C62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1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REPUBLIQUE">
    <w:name w:val="SNREPUBLIQUE"/>
    <w:basedOn w:val="Normal"/>
    <w:rsid w:val="00045126"/>
    <w:pPr>
      <w:jc w:val="center"/>
    </w:pPr>
    <w:rPr>
      <w:b/>
      <w:bCs/>
      <w:szCs w:val="20"/>
    </w:rPr>
  </w:style>
  <w:style w:type="paragraph" w:customStyle="1" w:styleId="SNNature">
    <w:name w:val="SNNature"/>
    <w:basedOn w:val="Normal"/>
    <w:next w:val="Normal"/>
    <w:autoRedefine/>
    <w:rsid w:val="00045126"/>
    <w:pPr>
      <w:widowControl w:val="0"/>
      <w:suppressLineNumbers/>
      <w:suppressAutoHyphens/>
      <w:spacing w:before="720" w:after="120"/>
      <w:jc w:val="center"/>
    </w:pPr>
    <w:rPr>
      <w:rFonts w:eastAsia="Lucida Sans Unicode"/>
      <w:b/>
      <w:bCs/>
    </w:rPr>
  </w:style>
  <w:style w:type="paragraph" w:customStyle="1" w:styleId="SNNORCentr">
    <w:name w:val="SNNOR+Centré"/>
    <w:next w:val="SNAutorit"/>
    <w:rsid w:val="00045126"/>
    <w:pPr>
      <w:spacing w:after="0" w:line="240" w:lineRule="auto"/>
      <w:jc w:val="center"/>
    </w:pPr>
    <w:rPr>
      <w:rFonts w:ascii="Times New Roman" w:eastAsia="Times New Roman" w:hAnsi="Times New Roman" w:cs="Times New Roman"/>
      <w:bCs/>
      <w:sz w:val="24"/>
      <w:szCs w:val="20"/>
    </w:rPr>
  </w:style>
  <w:style w:type="paragraph" w:customStyle="1" w:styleId="SNAutorit">
    <w:name w:val="SNAutorité"/>
    <w:basedOn w:val="Normal"/>
    <w:autoRedefine/>
    <w:rsid w:val="00045126"/>
    <w:pPr>
      <w:spacing w:before="720" w:after="240"/>
      <w:ind w:firstLine="720"/>
    </w:pPr>
    <w:rPr>
      <w:b/>
    </w:rPr>
  </w:style>
  <w:style w:type="paragraph" w:customStyle="1" w:styleId="SNSignatureprnomnomDroite">
    <w:name w:val="SNSignature prénom+nom Droite"/>
    <w:basedOn w:val="Normal"/>
    <w:next w:val="SNSignatureGauche"/>
    <w:rsid w:val="00045126"/>
    <w:pPr>
      <w:spacing w:before="120" w:after="120"/>
      <w:ind w:left="5041"/>
      <w:jc w:val="right"/>
    </w:pPr>
    <w:rPr>
      <w:color w:val="000000"/>
    </w:rPr>
  </w:style>
  <w:style w:type="paragraph" w:customStyle="1" w:styleId="SNSignatureGauche">
    <w:name w:val="SNSignatureGauche"/>
    <w:basedOn w:val="Normal"/>
    <w:next w:val="Normal"/>
    <w:autoRedefine/>
    <w:rsid w:val="002639F9"/>
    <w:pPr>
      <w:spacing w:before="120" w:after="1680"/>
      <w:ind w:left="720" w:right="4494"/>
      <w:jc w:val="both"/>
    </w:pPr>
  </w:style>
  <w:style w:type="paragraph" w:customStyle="1" w:styleId="SNTimbre">
    <w:name w:val="SNTimbre"/>
    <w:basedOn w:val="Normal"/>
    <w:link w:val="SNTimbreCar"/>
    <w:autoRedefine/>
    <w:rsid w:val="00045126"/>
    <w:pPr>
      <w:widowControl w:val="0"/>
      <w:suppressAutoHyphens/>
      <w:snapToGrid w:val="0"/>
      <w:spacing w:before="120"/>
      <w:jc w:val="center"/>
    </w:pPr>
    <w:rPr>
      <w:rFonts w:eastAsia="Lucida Sans Unicode"/>
    </w:rPr>
  </w:style>
  <w:style w:type="character" w:customStyle="1" w:styleId="SNTimbreCar">
    <w:name w:val="SNTimbre Car"/>
    <w:basedOn w:val="DefaultParagraphFont"/>
    <w:link w:val="SNTimbre"/>
    <w:rsid w:val="00045126"/>
    <w:rPr>
      <w:rFonts w:ascii="Times New Roman" w:eastAsia="Lucida Sans Unicode" w:hAnsi="Times New Roman" w:cs="Times New Roman"/>
      <w:sz w:val="24"/>
      <w:szCs w:val="24"/>
      <w:lang w:eastAsia="es-ES"/>
    </w:rPr>
  </w:style>
  <w:style w:type="paragraph" w:customStyle="1" w:styleId="SNRapport">
    <w:name w:val="SNRapport"/>
    <w:basedOn w:val="Normal"/>
    <w:autoRedefine/>
    <w:rsid w:val="00D13FBA"/>
    <w:pPr>
      <w:spacing w:before="240" w:after="120"/>
      <w:ind w:firstLine="720"/>
      <w:jc w:val="both"/>
    </w:pPr>
  </w:style>
  <w:style w:type="paragraph" w:customStyle="1" w:styleId="SNDate">
    <w:name w:val="SNDate"/>
    <w:basedOn w:val="Normal"/>
    <w:next w:val="SNContreseing"/>
    <w:link w:val="SNDateCar"/>
    <w:autoRedefine/>
    <w:rsid w:val="00045126"/>
    <w:pPr>
      <w:spacing w:before="480" w:after="2760"/>
      <w:ind w:firstLine="720"/>
    </w:pPr>
  </w:style>
  <w:style w:type="paragraph" w:customStyle="1" w:styleId="SNContreseing">
    <w:name w:val="SNContreseing"/>
    <w:basedOn w:val="Normal"/>
    <w:next w:val="SNSignatureGauche"/>
    <w:autoRedefine/>
    <w:rsid w:val="00045126"/>
    <w:pPr>
      <w:spacing w:before="480"/>
      <w:ind w:firstLine="720"/>
    </w:pPr>
  </w:style>
  <w:style w:type="character" w:customStyle="1" w:styleId="SNDateCar">
    <w:name w:val="SNDate Car"/>
    <w:basedOn w:val="DefaultParagraphFont"/>
    <w:link w:val="SNDate"/>
    <w:rsid w:val="00045126"/>
    <w:rPr>
      <w:rFonts w:ascii="Times New Roman" w:eastAsia="Times New Roman" w:hAnsi="Times New Roman" w:cs="Times New Roman"/>
      <w:sz w:val="24"/>
      <w:szCs w:val="24"/>
      <w:lang w:eastAsia="es-ES"/>
    </w:rPr>
  </w:style>
  <w:style w:type="paragraph" w:customStyle="1" w:styleId="SNActe">
    <w:name w:val="SNActe"/>
    <w:basedOn w:val="Normal"/>
    <w:autoRedefine/>
    <w:rsid w:val="00045126"/>
    <w:pPr>
      <w:spacing w:before="480" w:after="360"/>
      <w:jc w:val="center"/>
    </w:pPr>
    <w:rPr>
      <w:b/>
    </w:rPr>
  </w:style>
  <w:style w:type="paragraph" w:customStyle="1" w:styleId="SNArticle">
    <w:name w:val="SNArticle"/>
    <w:basedOn w:val="Normal"/>
    <w:next w:val="BodyText"/>
    <w:link w:val="SNArticleCar"/>
    <w:autoRedefine/>
    <w:rsid w:val="00045126"/>
    <w:pPr>
      <w:spacing w:before="240" w:after="240"/>
      <w:jc w:val="center"/>
    </w:pPr>
    <w:rPr>
      <w:b/>
    </w:rPr>
  </w:style>
  <w:style w:type="character" w:customStyle="1" w:styleId="SNArticleCar">
    <w:name w:val="SNArticle Car"/>
    <w:basedOn w:val="DefaultParagraphFont"/>
    <w:link w:val="SNArticle"/>
    <w:rsid w:val="00045126"/>
    <w:rPr>
      <w:rFonts w:ascii="Times New Roman" w:eastAsia="Times New Roman" w:hAnsi="Times New Roman" w:cs="Times New Roman"/>
      <w:b/>
      <w:sz w:val="24"/>
      <w:szCs w:val="24"/>
      <w:lang w:eastAsia="es-ES"/>
    </w:rPr>
  </w:style>
  <w:style w:type="paragraph" w:styleId="ListParagraph">
    <w:name w:val="List Paragraph"/>
    <w:basedOn w:val="Normal"/>
    <w:uiPriority w:val="34"/>
    <w:qFormat/>
    <w:rsid w:val="00045126"/>
    <w:pPr>
      <w:ind w:left="720"/>
      <w:contextualSpacing/>
    </w:pPr>
  </w:style>
  <w:style w:type="paragraph" w:styleId="BodyText">
    <w:name w:val="Body Text"/>
    <w:basedOn w:val="Normal"/>
    <w:link w:val="BodyTextChar"/>
    <w:uiPriority w:val="99"/>
    <w:semiHidden/>
    <w:unhideWhenUsed/>
    <w:rsid w:val="00045126"/>
    <w:pPr>
      <w:spacing w:after="120"/>
    </w:pPr>
  </w:style>
  <w:style w:type="character" w:customStyle="1" w:styleId="BodyTextChar">
    <w:name w:val="Body Text Char"/>
    <w:basedOn w:val="DefaultParagraphFont"/>
    <w:link w:val="BodyText"/>
    <w:uiPriority w:val="99"/>
    <w:semiHidden/>
    <w:rsid w:val="00045126"/>
    <w:rPr>
      <w:rFonts w:ascii="Times New Roman" w:eastAsia="Times New Roman" w:hAnsi="Times New Roman" w:cs="Times New Roman"/>
      <w:sz w:val="24"/>
      <w:szCs w:val="24"/>
      <w:lang w:eastAsia="es-ES"/>
    </w:rPr>
  </w:style>
  <w:style w:type="character" w:styleId="CommentReference">
    <w:name w:val="annotation reference"/>
    <w:basedOn w:val="DefaultParagraphFont"/>
    <w:uiPriority w:val="99"/>
    <w:semiHidden/>
    <w:unhideWhenUsed/>
    <w:rsid w:val="007E61D1"/>
    <w:rPr>
      <w:sz w:val="16"/>
      <w:szCs w:val="16"/>
    </w:rPr>
  </w:style>
  <w:style w:type="paragraph" w:styleId="CommentText">
    <w:name w:val="annotation text"/>
    <w:basedOn w:val="Normal"/>
    <w:link w:val="CommentTextChar"/>
    <w:uiPriority w:val="99"/>
    <w:semiHidden/>
    <w:unhideWhenUsed/>
    <w:rsid w:val="007E61D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E61D1"/>
    <w:rPr>
      <w:sz w:val="20"/>
      <w:szCs w:val="20"/>
    </w:rPr>
  </w:style>
  <w:style w:type="paragraph" w:styleId="BalloonText">
    <w:name w:val="Balloon Text"/>
    <w:basedOn w:val="Normal"/>
    <w:link w:val="BalloonTextChar"/>
    <w:uiPriority w:val="99"/>
    <w:semiHidden/>
    <w:unhideWhenUsed/>
    <w:rsid w:val="007E6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D1"/>
    <w:rPr>
      <w:rFonts w:ascii="Segoe UI" w:eastAsia="Times New Roman" w:hAnsi="Segoe UI" w:cs="Segoe UI"/>
      <w:sz w:val="18"/>
      <w:szCs w:val="18"/>
      <w:lang w:eastAsia="es-ES"/>
    </w:rPr>
  </w:style>
  <w:style w:type="character" w:styleId="Hyperlink">
    <w:name w:val="Hyperlink"/>
    <w:basedOn w:val="DefaultParagraphFont"/>
    <w:uiPriority w:val="99"/>
    <w:unhideWhenUsed/>
    <w:rsid w:val="0084714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36A4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36A47"/>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22204510&amp;idArticle=JORFARTI000022204556&amp;categorieLien=cid" TargetMode="External"/><Relationship Id="rId3" Type="http://schemas.openxmlformats.org/officeDocument/2006/relationships/settings" Target="settings.xml"/><Relationship Id="rId7" Type="http://schemas.openxmlformats.org/officeDocument/2006/relationships/hyperlink" Target="http://www.legifrance.gouv.fr/jopdf/common/jo_pdf.jsp?numJO=0&amp;dateJO=20151021&amp;numTexte=6&amp;pageDebut=19518&amp;pageFin=19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Article.do?cidTexte=JORFTEXT000022204510&amp;idArticle=JORFARTI000022204556&amp;categorieLien=cid" TargetMode="External"/><Relationship Id="rId5" Type="http://schemas.openxmlformats.org/officeDocument/2006/relationships/hyperlink" Target="http://www.legifrance.gouv.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24</Pages>
  <Words>8367</Words>
  <Characters>47698</Characters>
  <Application>Microsoft Office Word</Application>
  <DocSecurity>0</DocSecurity>
  <Lines>397</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LAPERDRIX Erwann</dc:creator>
  <cp:keywords/>
  <dc:description/>
  <cp:lastModifiedBy>Liu, Lei</cp:lastModifiedBy>
  <cp:revision>3</cp:revision>
  <cp:lastPrinted>2019-12-10T18:02:00Z</cp:lastPrinted>
  <dcterms:created xsi:type="dcterms:W3CDTF">2019-12-11T10:40:00Z</dcterms:created>
  <dcterms:modified xsi:type="dcterms:W3CDTF">2019-12-30T06:11:00Z</dcterms:modified>
</cp:coreProperties>
</file>