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ИКОНОМИКА И МОРСКИ ВЪПРОСИ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Служба на държавния секретар по икономическите въпроси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Наредба № 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Обобщение: Наредба за определяне на Наредба за законовия метрологичен контрол на димомерите.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Метрологичният контрол на измервателните методи и уреди в Португалия е в съответствие с общата схема, одобрена с Указ-закон № 29/2022 от 7 април, общите нормативни разпоредби, предвидени в Общия правилник за метрологичен контрол, одобрен с Наредба № 211/2022 от 23 август, както и разпоредбите, съдържащи се в специалните наредби на всеки измервателен уред.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С оглед на публикуването на тази правна позиция е необходимо да се приеме специална наредба, която да се спазва от метрологичния контрол на димомерите, за отмяна на Наредба № 797/2009 от 1 декември.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Тази Наредба е предмет на информационната процедура в областта на техническите регламенти и правилата за услугите на информационното общество, предвидена в Директива (ЕС) 2015/1535 на Европейския парламент и на Съвета от 9 септември 2015 г.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Следователно: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Съгласно член 2, буква а) и член 25, параграф 1 от Указ-закон № 29/2022 от 7 април във връзка с разпоредбите на член 1, параграф 4 от наредбата, приложена към Наредба № 211/2022 от 23 август, правителството, в лицето на Държавния секретар по икономическите въпроси, възлага следното: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Член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Предмет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С настоящото се одобрява Наредбата за законовия метрологичен контрол на димомерите, приложена към настоящата наредба, от която е неразделна част.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Клауза за отмяна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Наредба № 797/2009 от 1 декември се отменя.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Влизане в сила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Настоящата наредба влиза в сила в деня след публикуването ѝ.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хх xxxxxx 2023 г. – Държавният секретар по икономическите въпроси, </w:t>
      </w:r>
      <w:r>
        <w:rPr>
          <w:rFonts w:ascii="Garamond" w:hAnsi="Garamond"/>
          <w:i/>
          <w:sz w:val="24"/>
        </w:rPr>
        <w:t>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ПРИЛОЖЕНИЕ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НАРЕДБА ЗА ЗАКОНОВИЯ МЕТРОЛОГИЧЕН КОНТРОЛ НА ДИМОМЕРИТЕ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Обхват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Настоящата наредба се прилага за димомерите, предназначени за измерване на непрозрачността на емисиите на отработили газове от дизелови превозни средства.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Определение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За целите на настоящата наредба димомери означава измервателни уреди, предназначени за непрекъснато измерване на непрозрачността на отработилите газове, отделяни от превозните средства.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Член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Въвеждане в експлоатация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Димомерите трябва да отговарят на определените метрологични и технически изисквания </w:t>
      </w:r>
      <w:bookmarkStart w:id="2" w:name="_Hlk63409046"/>
      <w:bookmarkStart w:id="3" w:name="_Hlk63674255"/>
      <w:r>
        <w:rPr>
          <w:rFonts w:ascii="Garamond" w:hAnsi="Garamond"/>
          <w:sz w:val="24"/>
        </w:rPr>
        <w:t xml:space="preserve">в </w:t>
      </w:r>
      <w:bookmarkEnd w:id="2"/>
      <w:bookmarkEnd w:id="3"/>
      <w:r>
        <w:rPr>
          <w:rFonts w:ascii="Garamond" w:hAnsi="Garamond"/>
          <w:sz w:val="24"/>
        </w:rPr>
        <w:t>стандарта ISO 11614.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Показание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Показанието на димомерите се изразява посредством коефициента на поглъщане на светлината, представен със символа k, и в единицата m</w:t>
      </w:r>
      <w:r>
        <w:rPr>
          <w:rFonts w:ascii="Garamond" w:hAnsi="Garamond"/>
          <w:sz w:val="24"/>
          <w:vertAlign w:val="superscript"/>
        </w:rPr>
        <w:t xml:space="preserve">-1 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Стойностите на непрозрачността са проценти и се изразяват чрез символа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Когато коефициентът на преобразуване е надлежно изразен, други еквивалентни мерни единици могат да бъдат приети въз основа на мерните единици на Международната система от мерни единици (SI).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Законов метрологичен контрол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Законовият метрологичен контрол на </w:t>
      </w:r>
      <w:bookmarkStart w:id="4" w:name="_Hlk106875133"/>
      <w:r>
        <w:rPr>
          <w:rFonts w:ascii="Garamond" w:hAnsi="Garamond"/>
          <w:sz w:val="24"/>
        </w:rPr>
        <w:t xml:space="preserve">димомерите </w:t>
      </w:r>
      <w:bookmarkEnd w:id="4"/>
      <w:r>
        <w:rPr>
          <w:rFonts w:ascii="Garamond" w:hAnsi="Garamond"/>
          <w:sz w:val="24"/>
        </w:rPr>
        <w:t>е отговорност на португалския институт по качеството, I. P. (IPQ, I. P.) и включва дейностите по типово одобрение, първа проверка, периодична проверка и извънредна проверка.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Одобрение на модела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Образецът на одобрение трябва да отговаря на изискванията, предвидени в член 7 от Указ-закон № 29/2022 от 7 април и член 2 от наредбата, приложена към Наредба № 211/2022 от 23 август.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(2) По време на срока на валидност на типовото одобрение, някои или всички промени, направени в одобрения модел, чрез подмяна на компоненти, чрез добавяне на допълнително устройство, </w:t>
      </w:r>
      <w:r>
        <w:rPr>
          <w:rFonts w:ascii="Garamond" w:hAnsi="Garamond"/>
          <w:color w:val="000000"/>
          <w:sz w:val="24"/>
        </w:rPr>
        <w:t xml:space="preserve"> промяна на инсталираната компютърна програма </w:t>
      </w:r>
      <w:r>
        <w:rPr>
          <w:rFonts w:ascii="Garamond" w:hAnsi="Garamond"/>
          <w:i/>
          <w:color w:val="000000"/>
          <w:sz w:val="24"/>
        </w:rPr>
        <w:t>(софтуер)</w:t>
      </w:r>
      <w:r>
        <w:rPr>
          <w:rFonts w:ascii="Garamond" w:hAnsi="Garamond"/>
          <w:color w:val="000000"/>
          <w:sz w:val="24"/>
        </w:rPr>
        <w:t>, или чрез изменения, които могат да повлияят на резултатите от измерванията или регулаторните условия на употреба, се нуждаят от допълнително одобрение на модела.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>(3) Компютърните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color w:val="000000"/>
          <w:sz w:val="24"/>
        </w:rPr>
        <w:t>програми, използвани от</w:t>
      </w:r>
      <w:r>
        <w:t xml:space="preserve"> </w:t>
      </w:r>
      <w:bookmarkStart w:id="5" w:name="_Hlk126936097"/>
      <w:r>
        <w:rPr>
          <w:rFonts w:ascii="Garamond" w:hAnsi="Garamond"/>
          <w:sz w:val="24"/>
        </w:rPr>
        <w:t>димомерите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трябва да гарантират целостта и поверителността на получените и подадените данни и трябва да бъдат обект на уникална и недвусмислена идентификация.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Първа проверка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Първата проверка се извършва преди пускането на измервателния уред на пазара или след ремонта му и при всяко нарушение на системата за запечатване, без периодична проверка през същата година със същия срок на валидност.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Първите изпитвания за проверка се провеждат в съответствие с метрологичните и техническите изисквания, определени в член 3 от настоящата наредба.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lastRenderedPageBreak/>
        <w:t>(3)</w:t>
      </w:r>
      <w:bookmarkEnd w:id="6"/>
      <w:r>
        <w:rPr>
          <w:rFonts w:ascii="Garamond" w:hAnsi="Garamond"/>
          <w:sz w:val="24"/>
        </w:rPr>
        <w:t xml:space="preserve"> Максимално допустимите стойности на грешката за първата проверка са равни на ± 2 % непрозрачност,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Периодични проверки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(1) Периодичната проверка е с годишна честота и е валидна една година след приключването ѝ.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Изпитванията за периодична проверка са същите като тези, установени за първата проверка.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Максимално допустимите стойности на грешка при периодичната проверка трябва да са равни на максимално допустимите стойности на грешка, установени при първата проверка.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Извънредна проверка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Извънредната проверка включва периодични изпитвания за проверка.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При извънредната проверка стойностите на максимално допустимите грешки са равни на стойностите на максимално допустимите грешки, установени за периодичната проверка.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Надписи и маркировки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Димомерите показват, видимо и четливо, надписи и маркировки в съответствие с метрологичните и техническите изисквания, определени в член 3 от настоящата наредба.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Димомерите трябва също така да носят символа за одобрение на модела и други символи или означения, които са полезни за тяхната употреба.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9D5CD0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lastRenderedPageBreak/>
        <w:t>Член 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Преходна разпоредба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Измервателните уреди, които са в употреба, могат да останат в употреба, докато са в добро състояние и ако възникнат, в метрологичните изпитвания за проверка, грешки, които не надвишават максимално допустимите грешки.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Член 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Окончателна разпоредба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Разпоредбите на предходните членове не възпрепятстват пускането на пазара или по-нататъшната употреба на димомери, придружени от сертификати за оценяване на съответствието, издадени от органи, признати съгласно приложимото законодателство на Европейския съюз, в рамките на законовата метрологична дейност, въз основа на спецификации и процедури, осигуряващи метрологично качество на посоченото в настоящия регламент, като еквивалентността се оценява от 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D5CD0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customXml/itemProps2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