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A5A5" w14:textId="602FEEEB"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ECONOMIE ȘI MARE</w:t>
      </w:r>
    </w:p>
    <w:p w14:paraId="4BE6550D"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Cabinetul secretarului de stat pentru economie</w:t>
      </w:r>
    </w:p>
    <w:p w14:paraId="5E59B0B5"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lang w:eastAsia="pt-PT"/>
        </w:rPr>
      </w:pPr>
    </w:p>
    <w:p w14:paraId="31DCF98E" w14:textId="51AB327C"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Ordonanța nr. XXX/2023</w:t>
      </w:r>
    </w:p>
    <w:p w14:paraId="055E8259" w14:textId="77777777" w:rsidR="00CD6108" w:rsidRPr="00912F31" w:rsidRDefault="00CD6108" w:rsidP="00CD6108">
      <w:pPr>
        <w:shd w:val="clear" w:color="auto" w:fill="FFFFFF" w:themeFill="background1"/>
        <w:spacing w:after="225" w:line="360" w:lineRule="auto"/>
        <w:rPr>
          <w:rFonts w:ascii="Garamond" w:eastAsia="Times New Roman" w:hAnsi="Garamond" w:cs="Times New Roman"/>
          <w:bCs/>
          <w:sz w:val="24"/>
          <w:szCs w:val="24"/>
          <w:lang w:eastAsia="pt-PT"/>
        </w:rPr>
      </w:pPr>
    </w:p>
    <w:p w14:paraId="15BB47EF" w14:textId="51345528" w:rsidR="00CD6108" w:rsidRDefault="00CD6108" w:rsidP="00CD6108">
      <w:pPr>
        <w:shd w:val="clear" w:color="auto" w:fill="FFFFFF" w:themeFill="background1"/>
        <w:spacing w:after="225" w:line="360" w:lineRule="auto"/>
        <w:jc w:val="both"/>
        <w:rPr>
          <w:rFonts w:ascii="Garamond" w:eastAsia="Times New Roman" w:hAnsi="Garamond" w:cs="Times New Roman"/>
          <w:bCs/>
          <w:sz w:val="24"/>
          <w:szCs w:val="24"/>
        </w:rPr>
      </w:pPr>
      <w:r>
        <w:rPr>
          <w:rFonts w:ascii="Garamond" w:hAnsi="Garamond"/>
          <w:sz w:val="24"/>
        </w:rPr>
        <w:t>Sinteză: Ordonanța de stabilire a Regulamentului privind controlul metrologic legal al opacimetrelor</w:t>
      </w:r>
    </w:p>
    <w:p w14:paraId="4AE88BD5" w14:textId="0D92811E" w:rsidR="00501FB0" w:rsidRDefault="00752C59" w:rsidP="00501FB0">
      <w:pPr>
        <w:spacing w:after="120" w:line="360" w:lineRule="auto"/>
        <w:jc w:val="both"/>
        <w:rPr>
          <w:rFonts w:ascii="Garamond" w:hAnsi="Garamond" w:cs="Arial"/>
          <w:sz w:val="24"/>
          <w:szCs w:val="24"/>
        </w:rPr>
      </w:pPr>
      <w:r>
        <w:rPr>
          <w:rFonts w:ascii="Garamond" w:hAnsi="Garamond"/>
          <w:sz w:val="24"/>
        </w:rPr>
        <w:t>Controlul metrologic al metodelor și mijloacelor de măsurare în Portugalia respectă regimul general aprobat prin Decretul-lege nr. 29/2022 din 7 aprilie, dispozițiile generale de reglementare prevăzute de Regulamentul general privind controlul metrologic aprobat prin Ordonanța nr. 211/2022 din 23 august, precum și dispozițiile cuprinse în ordonanțele specifice ale fiecărui mijloc de măsurare.</w:t>
      </w:r>
    </w:p>
    <w:p w14:paraId="0689E6B7" w14:textId="3B86FDFE" w:rsidR="00CB623B" w:rsidRDefault="00CB623B" w:rsidP="00B86C46">
      <w:pPr>
        <w:shd w:val="clear" w:color="auto" w:fill="FFFFFF" w:themeFill="background1"/>
        <w:spacing w:after="120" w:line="360" w:lineRule="auto"/>
        <w:jc w:val="both"/>
        <w:rPr>
          <w:rFonts w:ascii="Garamond" w:hAnsi="Garamond" w:cs="Arial"/>
          <w:sz w:val="24"/>
          <w:szCs w:val="24"/>
        </w:rPr>
      </w:pPr>
      <w:bookmarkStart w:id="0" w:name="_Hlk66124405"/>
      <w:r>
        <w:rPr>
          <w:rFonts w:ascii="Garamond" w:hAnsi="Garamond"/>
          <w:sz w:val="24"/>
        </w:rPr>
        <w:t>Având în vedere publicarea acestui regim juridic, devine necesară adoptarea regulamentului specific care trebuie respectat de controlul metrologic al opacimetrelor, de abrogare a Ordonanței nr. 797/2009 din 1 decembrie.</w:t>
      </w:r>
    </w:p>
    <w:p w14:paraId="44CADCEE" w14:textId="5BD42CB3" w:rsidR="00473279" w:rsidRPr="00B86C46" w:rsidRDefault="00473279" w:rsidP="00B86C46">
      <w:pPr>
        <w:shd w:val="clear" w:color="auto" w:fill="FFFFFF" w:themeFill="background1"/>
        <w:spacing w:after="120" w:line="360" w:lineRule="auto"/>
        <w:jc w:val="both"/>
        <w:rPr>
          <w:rFonts w:ascii="Garamond" w:eastAsia="Times New Roman" w:hAnsi="Garamond" w:cs="Times New Roman"/>
          <w:bCs/>
          <w:sz w:val="24"/>
          <w:szCs w:val="24"/>
        </w:rPr>
      </w:pPr>
      <w:r>
        <w:rPr>
          <w:rFonts w:ascii="Garamond" w:hAnsi="Garamond"/>
          <w:sz w:val="24"/>
        </w:rPr>
        <w:t>Prezenta ordonanță a făcut obiectul procedurii de informare în domeniul reglementărilor tehnice și al normelor privind serviciile societății informaționale, prevăzută în Directiva (UE) 2015/1535 a Parlamentului European și a Consiliului din 9 septembrie 2015.</w:t>
      </w:r>
    </w:p>
    <w:bookmarkEnd w:id="0"/>
    <w:p w14:paraId="03472A57" w14:textId="157F5F06" w:rsidR="00752C59" w:rsidRPr="003D5AFB" w:rsidRDefault="001E2713" w:rsidP="000E7B45">
      <w:pPr>
        <w:spacing w:after="120" w:line="360" w:lineRule="auto"/>
        <w:jc w:val="both"/>
        <w:rPr>
          <w:rFonts w:ascii="Garamond" w:hAnsi="Garamond" w:cs="Arial"/>
          <w:sz w:val="24"/>
          <w:szCs w:val="24"/>
        </w:rPr>
      </w:pPr>
      <w:r>
        <w:rPr>
          <w:rFonts w:ascii="Garamond" w:hAnsi="Garamond"/>
          <w:sz w:val="24"/>
        </w:rPr>
        <w:t>Prin urmare:</w:t>
      </w:r>
    </w:p>
    <w:p w14:paraId="675622A4" w14:textId="215B8811" w:rsidR="00CB623B" w:rsidRPr="00CA3DB1" w:rsidRDefault="00CB623B" w:rsidP="00CB623B">
      <w:pPr>
        <w:spacing w:after="120" w:line="360" w:lineRule="auto"/>
        <w:jc w:val="both"/>
        <w:rPr>
          <w:rFonts w:ascii="Garamond" w:hAnsi="Garamond" w:cs="Arial"/>
          <w:sz w:val="24"/>
          <w:szCs w:val="24"/>
        </w:rPr>
      </w:pPr>
      <w:r>
        <w:rPr>
          <w:rFonts w:ascii="Garamond" w:hAnsi="Garamond"/>
          <w:sz w:val="24"/>
        </w:rPr>
        <w:t>În temeiul articolului 2 litera (a) și al articolului 25 alineatul (1) din Decretul-lege nr. 29/2022 din 7 aprilie, coroborat cu dispozițiile articolului 1 alineatul (4) din regulamentul anexat la Ordonanța nr. 211/2022 din 23 august, guvernul, prin secretarul de stat pentru economie, dispune următoarele:</w:t>
      </w:r>
    </w:p>
    <w:p w14:paraId="222F76DE" w14:textId="77777777" w:rsidR="00DB3A4E" w:rsidRPr="003D5AFB" w:rsidRDefault="00DB3A4E" w:rsidP="000E7B45">
      <w:pPr>
        <w:spacing w:after="120" w:line="360" w:lineRule="auto"/>
        <w:jc w:val="center"/>
        <w:rPr>
          <w:rFonts w:ascii="Garamond" w:hAnsi="Garamond"/>
          <w:sz w:val="24"/>
          <w:szCs w:val="24"/>
        </w:rPr>
      </w:pPr>
    </w:p>
    <w:p w14:paraId="1AA088A4" w14:textId="127C5176" w:rsidR="00503EE6" w:rsidRPr="003D5AFB" w:rsidRDefault="00503EE6" w:rsidP="000E7B45">
      <w:pPr>
        <w:spacing w:after="120" w:line="360" w:lineRule="auto"/>
        <w:jc w:val="center"/>
        <w:rPr>
          <w:rFonts w:ascii="Garamond" w:hAnsi="Garamond" w:cs="Arial"/>
          <w:b/>
          <w:bCs/>
          <w:sz w:val="24"/>
          <w:szCs w:val="24"/>
        </w:rPr>
      </w:pPr>
      <w:r>
        <w:rPr>
          <w:rFonts w:ascii="Garamond" w:hAnsi="Garamond"/>
          <w:sz w:val="24"/>
        </w:rPr>
        <w:t>Articolul 1</w:t>
      </w:r>
    </w:p>
    <w:p w14:paraId="1BA6C310"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Obiectul</w:t>
      </w:r>
    </w:p>
    <w:p w14:paraId="02F0580C" w14:textId="4858DA5D" w:rsidR="00572E2D" w:rsidRPr="003D5AFB" w:rsidRDefault="00503EE6" w:rsidP="00501FB0">
      <w:pPr>
        <w:spacing w:after="120" w:line="360" w:lineRule="auto"/>
        <w:jc w:val="both"/>
        <w:rPr>
          <w:rFonts w:ascii="Garamond" w:hAnsi="Garamond" w:cs="Arial"/>
          <w:sz w:val="24"/>
          <w:szCs w:val="24"/>
        </w:rPr>
      </w:pPr>
      <w:r>
        <w:rPr>
          <w:rFonts w:ascii="Garamond" w:hAnsi="Garamond"/>
          <w:sz w:val="24"/>
        </w:rPr>
        <w:t>Se aprobă Regulamentul privind controlul metrologic legal al opacimetrelor anexat la prezenta ordonanță, din care face parte integrantă.</w:t>
      </w:r>
    </w:p>
    <w:p w14:paraId="3265F547" w14:textId="77777777" w:rsidR="00A57A1C" w:rsidRPr="003D5AFB" w:rsidRDefault="00A57A1C" w:rsidP="00501FB0">
      <w:pPr>
        <w:spacing w:after="120" w:line="360" w:lineRule="auto"/>
        <w:jc w:val="both"/>
        <w:rPr>
          <w:rFonts w:ascii="Garamond" w:hAnsi="Garamond" w:cs="Arial"/>
          <w:sz w:val="24"/>
          <w:szCs w:val="24"/>
        </w:rPr>
      </w:pPr>
    </w:p>
    <w:p w14:paraId="198BBB32" w14:textId="65BF9CD4"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Articolul 2</w:t>
      </w:r>
    </w:p>
    <w:p w14:paraId="209921D8"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Clauză de abrogare</w:t>
      </w:r>
    </w:p>
    <w:p w14:paraId="2DB40EAF" w14:textId="1318F5B8" w:rsidR="00503EE6" w:rsidRPr="003D5AFB" w:rsidRDefault="00503EE6" w:rsidP="00501FB0">
      <w:pPr>
        <w:spacing w:after="120" w:line="360" w:lineRule="auto"/>
        <w:jc w:val="both"/>
        <w:rPr>
          <w:rFonts w:ascii="Garamond" w:hAnsi="Garamond" w:cs="Arial"/>
          <w:sz w:val="24"/>
          <w:szCs w:val="24"/>
        </w:rPr>
      </w:pPr>
      <w:r>
        <w:rPr>
          <w:rFonts w:ascii="Garamond" w:hAnsi="Garamond"/>
          <w:sz w:val="24"/>
        </w:rPr>
        <w:t>Ordonanța nr. 797/2009 din 1 decembrie se abrogă.</w:t>
      </w:r>
    </w:p>
    <w:p w14:paraId="0F60FE99" w14:textId="77777777" w:rsidR="00A57A1C" w:rsidRPr="003D5AFB" w:rsidRDefault="00A57A1C" w:rsidP="00501FB0">
      <w:pPr>
        <w:spacing w:after="120" w:line="360" w:lineRule="auto"/>
        <w:jc w:val="both"/>
        <w:rPr>
          <w:rFonts w:ascii="Garamond" w:hAnsi="Garamond" w:cs="Arial"/>
          <w:sz w:val="24"/>
          <w:szCs w:val="24"/>
        </w:rPr>
      </w:pPr>
    </w:p>
    <w:p w14:paraId="6FA41C09" w14:textId="77777777"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Articolul 3</w:t>
      </w:r>
    </w:p>
    <w:p w14:paraId="05D48045"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Intrare în vigoare</w:t>
      </w:r>
    </w:p>
    <w:p w14:paraId="06329FD8" w14:textId="0217627E" w:rsidR="000D5C89" w:rsidRPr="000E7B45" w:rsidRDefault="000D5C89" w:rsidP="000D5C89">
      <w:pPr>
        <w:spacing w:after="120" w:line="360" w:lineRule="auto"/>
        <w:jc w:val="both"/>
        <w:rPr>
          <w:rFonts w:ascii="Garamond" w:hAnsi="Garamond" w:cs="Arial"/>
          <w:sz w:val="24"/>
          <w:szCs w:val="24"/>
        </w:rPr>
      </w:pPr>
      <w:r>
        <w:rPr>
          <w:rFonts w:ascii="Garamond" w:hAnsi="Garamond"/>
          <w:sz w:val="24"/>
        </w:rPr>
        <w:t>Prezenta ordonanță intră în vigoare în ziua următoare datei publicării sale.</w:t>
      </w:r>
    </w:p>
    <w:p w14:paraId="5F2AE5CD" w14:textId="77777777" w:rsidR="000D5C89" w:rsidRDefault="000D5C89" w:rsidP="000D5C89">
      <w:pPr>
        <w:spacing w:after="120" w:line="360" w:lineRule="auto"/>
        <w:jc w:val="both"/>
        <w:rPr>
          <w:rFonts w:ascii="Garamond" w:hAnsi="Garamond" w:cs="Arial"/>
          <w:sz w:val="24"/>
          <w:szCs w:val="24"/>
        </w:rPr>
      </w:pPr>
    </w:p>
    <w:p w14:paraId="0BBEDC7E" w14:textId="77777777" w:rsidR="000D5C89" w:rsidRDefault="000D5C89" w:rsidP="000D5C89">
      <w:pPr>
        <w:spacing w:after="120" w:line="360" w:lineRule="auto"/>
        <w:jc w:val="both"/>
        <w:rPr>
          <w:rFonts w:ascii="Garamond" w:hAnsi="Garamond" w:cs="Arial"/>
          <w:sz w:val="24"/>
          <w:szCs w:val="24"/>
        </w:rPr>
      </w:pPr>
    </w:p>
    <w:p w14:paraId="341D7A48" w14:textId="652BB506" w:rsidR="000D5C89" w:rsidRPr="00BF69F3" w:rsidRDefault="000D5C89" w:rsidP="000D5C89">
      <w:pPr>
        <w:spacing w:after="120" w:line="360" w:lineRule="auto"/>
        <w:rPr>
          <w:rFonts w:ascii="Garamond" w:hAnsi="Garamond" w:cs="Arial"/>
          <w:sz w:val="24"/>
          <w:szCs w:val="24"/>
        </w:rPr>
      </w:pPr>
      <w:r>
        <w:rPr>
          <w:rFonts w:ascii="Garamond" w:hAnsi="Garamond"/>
          <w:sz w:val="24"/>
        </w:rPr>
        <w:t xml:space="preserve">xx xxxxxx 2023. – Secretarul de stat pentru economie, </w:t>
      </w:r>
      <w:r>
        <w:rPr>
          <w:rFonts w:ascii="Garamond" w:hAnsi="Garamond"/>
          <w:i/>
          <w:sz w:val="24"/>
        </w:rPr>
        <w:t>Pedro Cilínio</w:t>
      </w:r>
      <w:r>
        <w:rPr>
          <w:rFonts w:ascii="Garamond" w:hAnsi="Garamond"/>
          <w:sz w:val="24"/>
        </w:rPr>
        <w:t>.</w:t>
      </w:r>
    </w:p>
    <w:p w14:paraId="2FABC214" w14:textId="77777777" w:rsidR="00FC7BA5" w:rsidRPr="003D5AFB" w:rsidRDefault="00FC7BA5" w:rsidP="00BF69F3">
      <w:pPr>
        <w:spacing w:after="120" w:line="360" w:lineRule="auto"/>
        <w:jc w:val="both"/>
        <w:rPr>
          <w:rFonts w:ascii="Garamond" w:hAnsi="Garamond" w:cs="Arial"/>
          <w:sz w:val="24"/>
          <w:szCs w:val="24"/>
        </w:rPr>
      </w:pPr>
    </w:p>
    <w:p w14:paraId="7BDA659C" w14:textId="77777777" w:rsidR="00327929" w:rsidRPr="003D5AFB" w:rsidRDefault="00327929">
      <w:pPr>
        <w:rPr>
          <w:rFonts w:ascii="Garamond" w:hAnsi="Garamond" w:cs="Arial"/>
          <w:sz w:val="24"/>
          <w:szCs w:val="24"/>
        </w:rPr>
      </w:pPr>
      <w:r>
        <w:br w:type="page"/>
      </w:r>
    </w:p>
    <w:p w14:paraId="67F457C7" w14:textId="010A1BD5" w:rsidR="00503EE6" w:rsidRPr="003D5AFB" w:rsidRDefault="00503EE6" w:rsidP="00BF69F3">
      <w:pPr>
        <w:spacing w:after="120" w:line="360" w:lineRule="auto"/>
        <w:jc w:val="center"/>
        <w:rPr>
          <w:rFonts w:ascii="Garamond" w:hAnsi="Garamond" w:cs="Arial"/>
          <w:sz w:val="24"/>
          <w:szCs w:val="24"/>
        </w:rPr>
      </w:pPr>
      <w:r>
        <w:rPr>
          <w:rFonts w:ascii="Garamond" w:hAnsi="Garamond"/>
          <w:sz w:val="24"/>
        </w:rPr>
        <w:lastRenderedPageBreak/>
        <w:t>ANEXĂ</w:t>
      </w:r>
    </w:p>
    <w:p w14:paraId="7BBDD6D4" w14:textId="792EC905" w:rsidR="00B55531" w:rsidRPr="003D5AFB" w:rsidRDefault="00B55531" w:rsidP="000E7B45">
      <w:pPr>
        <w:spacing w:after="120" w:line="360" w:lineRule="auto"/>
        <w:jc w:val="center"/>
        <w:rPr>
          <w:rFonts w:ascii="Garamond" w:hAnsi="Garamond" w:cs="Arial"/>
          <w:b/>
          <w:bCs/>
          <w:sz w:val="24"/>
          <w:szCs w:val="24"/>
        </w:rPr>
      </w:pPr>
      <w:r>
        <w:rPr>
          <w:rFonts w:ascii="Garamond" w:hAnsi="Garamond"/>
          <w:b/>
          <w:sz w:val="24"/>
        </w:rPr>
        <w:t>REGULAMENTUL PRIVIND CONTROLUL METROLOGIC LEGAL AL OPACIMETRELOR</w:t>
      </w:r>
    </w:p>
    <w:p w14:paraId="1024B4FA" w14:textId="77777777" w:rsidR="00FC7BA5" w:rsidRPr="003D5AFB" w:rsidRDefault="00FC7BA5" w:rsidP="00501FB0">
      <w:pPr>
        <w:spacing w:after="120" w:line="360" w:lineRule="auto"/>
        <w:jc w:val="center"/>
        <w:rPr>
          <w:rFonts w:ascii="Garamond" w:hAnsi="Garamond" w:cs="Arial"/>
          <w:sz w:val="24"/>
          <w:szCs w:val="24"/>
        </w:rPr>
      </w:pPr>
    </w:p>
    <w:p w14:paraId="0E18C89E" w14:textId="0E3486D1"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Articolul 1</w:t>
      </w:r>
    </w:p>
    <w:p w14:paraId="67D520C6"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Domeniul de aplicare</w:t>
      </w:r>
    </w:p>
    <w:p w14:paraId="4356A378" w14:textId="58CC8C8E" w:rsidR="00B55531" w:rsidRPr="003D5AFB" w:rsidRDefault="00B55531" w:rsidP="000E7B45">
      <w:pPr>
        <w:spacing w:after="120" w:line="360" w:lineRule="auto"/>
        <w:jc w:val="both"/>
        <w:rPr>
          <w:rFonts w:ascii="Garamond" w:hAnsi="Garamond" w:cs="Arial"/>
          <w:sz w:val="24"/>
          <w:szCs w:val="24"/>
        </w:rPr>
      </w:pPr>
      <w:r>
        <w:rPr>
          <w:rFonts w:ascii="Garamond" w:hAnsi="Garamond"/>
          <w:sz w:val="24"/>
        </w:rPr>
        <w:t>Prezentul regulament se aplică opacimetrelor destinate măsurării opacității emisiilor de gaze de eșapament provenite de la vehiculele echipate cu motor diesel.</w:t>
      </w:r>
    </w:p>
    <w:p w14:paraId="7531927A" w14:textId="77777777" w:rsidR="00A57A1C" w:rsidRPr="003D5AFB" w:rsidRDefault="00A57A1C" w:rsidP="000E7B45">
      <w:pPr>
        <w:spacing w:after="120" w:line="360" w:lineRule="auto"/>
        <w:jc w:val="both"/>
        <w:rPr>
          <w:rFonts w:ascii="Garamond" w:hAnsi="Garamond" w:cs="Arial"/>
          <w:sz w:val="24"/>
          <w:szCs w:val="24"/>
        </w:rPr>
      </w:pPr>
    </w:p>
    <w:p w14:paraId="38FD58A9" w14:textId="0558B44D"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Articolul 2</w:t>
      </w:r>
    </w:p>
    <w:p w14:paraId="5FB19F42" w14:textId="3A391A93"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 xml:space="preserve">Definiție </w:t>
      </w:r>
    </w:p>
    <w:p w14:paraId="216E5843" w14:textId="78AA9014" w:rsidR="00A57A1C" w:rsidRDefault="00E144AF" w:rsidP="000E7B45">
      <w:pPr>
        <w:spacing w:after="120" w:line="360" w:lineRule="auto"/>
        <w:jc w:val="both"/>
        <w:rPr>
          <w:rFonts w:ascii="Garamond" w:hAnsi="Garamond" w:cs="Arial"/>
          <w:sz w:val="24"/>
          <w:szCs w:val="24"/>
        </w:rPr>
      </w:pPr>
      <w:r>
        <w:rPr>
          <w:rFonts w:ascii="Garamond" w:hAnsi="Garamond"/>
          <w:sz w:val="24"/>
        </w:rPr>
        <w:t>În sensul prezentului regulament, „opacimetre” înseamnă instrumentele concepute pentru măsurarea continuă a opacității gazelor de eșapament emise de vehicule.</w:t>
      </w:r>
    </w:p>
    <w:p w14:paraId="0EC431E1" w14:textId="77777777" w:rsidR="00C97828" w:rsidRPr="003D5AFB" w:rsidRDefault="00C97828" w:rsidP="000E7B45">
      <w:pPr>
        <w:spacing w:after="120" w:line="360" w:lineRule="auto"/>
        <w:jc w:val="both"/>
        <w:rPr>
          <w:rFonts w:ascii="Garamond" w:hAnsi="Garamond" w:cs="Arial"/>
          <w:sz w:val="24"/>
          <w:szCs w:val="24"/>
        </w:rPr>
      </w:pPr>
    </w:p>
    <w:p w14:paraId="0C24B2CF" w14:textId="65386484" w:rsidR="00503EE6" w:rsidRPr="003D5AFB" w:rsidRDefault="00503EE6" w:rsidP="000E7B45">
      <w:pPr>
        <w:spacing w:after="120" w:line="360" w:lineRule="auto"/>
        <w:jc w:val="center"/>
        <w:rPr>
          <w:rFonts w:ascii="Garamond" w:hAnsi="Garamond" w:cs="Arial"/>
          <w:sz w:val="24"/>
          <w:szCs w:val="24"/>
        </w:rPr>
      </w:pPr>
      <w:bookmarkStart w:id="1" w:name="_Hlk63432496"/>
      <w:r>
        <w:rPr>
          <w:rFonts w:ascii="Garamond" w:hAnsi="Garamond"/>
          <w:sz w:val="24"/>
        </w:rPr>
        <w:t>Articolul 3</w:t>
      </w:r>
    </w:p>
    <w:bookmarkEnd w:id="1"/>
    <w:p w14:paraId="58D3E434" w14:textId="77777777"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Punerea în funcțiune</w:t>
      </w:r>
    </w:p>
    <w:p w14:paraId="53E67223" w14:textId="39B9CF21" w:rsidR="006D605C" w:rsidRPr="003D5AFB" w:rsidRDefault="006D605C" w:rsidP="006D605C">
      <w:pPr>
        <w:spacing w:after="120" w:line="360" w:lineRule="auto"/>
        <w:jc w:val="both"/>
        <w:rPr>
          <w:rFonts w:ascii="Garamond" w:hAnsi="Garamond" w:cs="Arial"/>
          <w:sz w:val="24"/>
          <w:szCs w:val="24"/>
        </w:rPr>
      </w:pPr>
      <w:r>
        <w:rPr>
          <w:rFonts w:ascii="Garamond" w:hAnsi="Garamond"/>
          <w:sz w:val="24"/>
        </w:rPr>
        <w:t xml:space="preserve">Opacimetrele trebuie să îndeplinească cerințele metrologice și tehnice definite </w:t>
      </w:r>
      <w:bookmarkStart w:id="2" w:name="_Hlk63409046"/>
      <w:bookmarkStart w:id="3" w:name="_Hlk63674255"/>
      <w:r>
        <w:rPr>
          <w:rFonts w:ascii="Garamond" w:hAnsi="Garamond"/>
          <w:sz w:val="24"/>
        </w:rPr>
        <w:t xml:space="preserve">în </w:t>
      </w:r>
      <w:bookmarkEnd w:id="2"/>
      <w:bookmarkEnd w:id="3"/>
      <w:r>
        <w:rPr>
          <w:rFonts w:ascii="Garamond" w:hAnsi="Garamond"/>
          <w:sz w:val="24"/>
        </w:rPr>
        <w:t>standardul ISO 11614.</w:t>
      </w:r>
    </w:p>
    <w:p w14:paraId="329073A8" w14:textId="77777777" w:rsidR="00A57A1C" w:rsidRPr="003D5AFB" w:rsidRDefault="00A57A1C" w:rsidP="000E7B45">
      <w:pPr>
        <w:spacing w:after="120" w:line="360" w:lineRule="auto"/>
        <w:jc w:val="both"/>
        <w:rPr>
          <w:rFonts w:ascii="Garamond" w:hAnsi="Garamond" w:cs="Arial"/>
          <w:sz w:val="24"/>
          <w:szCs w:val="24"/>
        </w:rPr>
      </w:pPr>
    </w:p>
    <w:p w14:paraId="110D83CD" w14:textId="43F70083" w:rsidR="00533F9E" w:rsidRPr="003D5AFB" w:rsidRDefault="00533F9E" w:rsidP="000E7B45">
      <w:pPr>
        <w:spacing w:after="120" w:line="360" w:lineRule="auto"/>
        <w:jc w:val="center"/>
        <w:rPr>
          <w:rFonts w:ascii="Garamond" w:hAnsi="Garamond" w:cs="Arial"/>
          <w:sz w:val="24"/>
          <w:szCs w:val="24"/>
        </w:rPr>
      </w:pPr>
      <w:r>
        <w:rPr>
          <w:rFonts w:ascii="Garamond" w:hAnsi="Garamond"/>
          <w:sz w:val="24"/>
        </w:rPr>
        <w:t>Articolul 4</w:t>
      </w:r>
    </w:p>
    <w:p w14:paraId="75DB895D" w14:textId="58B82272" w:rsidR="00C75076" w:rsidRPr="003D5AFB" w:rsidRDefault="00597F39" w:rsidP="000E7B45">
      <w:pPr>
        <w:spacing w:after="120" w:line="360" w:lineRule="auto"/>
        <w:jc w:val="center"/>
        <w:rPr>
          <w:rFonts w:ascii="Garamond" w:hAnsi="Garamond" w:cs="Arial"/>
          <w:sz w:val="24"/>
          <w:szCs w:val="24"/>
        </w:rPr>
      </w:pPr>
      <w:r>
        <w:rPr>
          <w:rFonts w:ascii="Garamond" w:hAnsi="Garamond"/>
          <w:b/>
          <w:sz w:val="24"/>
        </w:rPr>
        <w:t>Indicație</w:t>
      </w:r>
    </w:p>
    <w:p w14:paraId="7F87933E" w14:textId="542F813F"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(1) Indicația opacimetrelor se exprimă cu ajutorul coeficientului de absorbție luminoasă, reprezentat de simbolul k, și în unitatea m</w:t>
      </w:r>
      <w:r>
        <w:rPr>
          <w:rFonts w:ascii="Garamond" w:hAnsi="Garamond"/>
          <w:sz w:val="24"/>
          <w:vertAlign w:val="superscript"/>
        </w:rPr>
        <w:t>-1</w:t>
      </w:r>
      <w:r>
        <w:rPr>
          <w:rFonts w:ascii="Garamond" w:hAnsi="Garamond"/>
          <w:sz w:val="24"/>
        </w:rPr>
        <w:t>.</w:t>
      </w:r>
    </w:p>
    <w:p w14:paraId="0F28A0DF" w14:textId="3D7E2FD2"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(2) Valorile opacității sunt procentuale și sunt exprimate prin simbolul N.</w:t>
      </w:r>
    </w:p>
    <w:p w14:paraId="7B029027" w14:textId="571AF0FE" w:rsidR="001B79B7" w:rsidRPr="003D5AFB" w:rsidRDefault="00197A36" w:rsidP="00197A36">
      <w:pPr>
        <w:spacing w:after="120" w:line="360" w:lineRule="auto"/>
        <w:jc w:val="both"/>
        <w:rPr>
          <w:rFonts w:ascii="Garamond" w:hAnsi="Garamond" w:cs="Arial"/>
          <w:sz w:val="24"/>
          <w:szCs w:val="24"/>
        </w:rPr>
      </w:pPr>
      <w:r>
        <w:rPr>
          <w:rFonts w:ascii="Garamond" w:hAnsi="Garamond"/>
          <w:sz w:val="24"/>
        </w:rPr>
        <w:t>(3) Atunci când factorul de conversie este exprimat în mod corespunzător, alte unități echivalente pot fi acceptate pe baza unităților Sistemului Internațional de Unități (SI).</w:t>
      </w:r>
    </w:p>
    <w:p w14:paraId="6978003C" w14:textId="77777777" w:rsidR="00A57A1C" w:rsidRPr="003D5AFB" w:rsidRDefault="00A57A1C" w:rsidP="000E7B45">
      <w:pPr>
        <w:spacing w:after="120" w:line="360" w:lineRule="auto"/>
        <w:jc w:val="both"/>
        <w:rPr>
          <w:rFonts w:ascii="Garamond" w:hAnsi="Garamond" w:cs="Arial"/>
          <w:sz w:val="24"/>
          <w:szCs w:val="24"/>
        </w:rPr>
      </w:pPr>
    </w:p>
    <w:p w14:paraId="3488AB2F" w14:textId="3E4CF1F1" w:rsidR="00503EE6" w:rsidRPr="003D5AFB" w:rsidRDefault="00503EE6" w:rsidP="005024E2">
      <w:pPr>
        <w:spacing w:after="120" w:line="360" w:lineRule="auto"/>
        <w:jc w:val="center"/>
        <w:rPr>
          <w:rFonts w:ascii="Garamond" w:hAnsi="Garamond" w:cs="Arial"/>
          <w:sz w:val="24"/>
          <w:szCs w:val="24"/>
        </w:rPr>
      </w:pPr>
      <w:r>
        <w:rPr>
          <w:rFonts w:ascii="Garamond" w:hAnsi="Garamond"/>
          <w:sz w:val="24"/>
        </w:rPr>
        <w:lastRenderedPageBreak/>
        <w:t>Articolul 5</w:t>
      </w:r>
    </w:p>
    <w:p w14:paraId="7A1BEF1E" w14:textId="77777777" w:rsidR="00503EE6" w:rsidRPr="003D5AFB" w:rsidRDefault="00503EE6" w:rsidP="005024E2">
      <w:pPr>
        <w:spacing w:after="120" w:line="360" w:lineRule="auto"/>
        <w:jc w:val="center"/>
        <w:rPr>
          <w:rFonts w:ascii="Garamond" w:hAnsi="Garamond" w:cs="Arial"/>
          <w:b/>
          <w:bCs/>
          <w:sz w:val="24"/>
          <w:szCs w:val="24"/>
        </w:rPr>
      </w:pPr>
      <w:r>
        <w:rPr>
          <w:rFonts w:ascii="Garamond" w:hAnsi="Garamond"/>
          <w:b/>
          <w:sz w:val="24"/>
        </w:rPr>
        <w:t>Controlul metrologic legal</w:t>
      </w:r>
    </w:p>
    <w:p w14:paraId="1A8C137B" w14:textId="3F9C24C1" w:rsidR="00A57A1C" w:rsidRPr="003D5AFB" w:rsidRDefault="00503EE6" w:rsidP="005024E2">
      <w:pPr>
        <w:spacing w:after="120" w:line="360" w:lineRule="auto"/>
        <w:jc w:val="both"/>
        <w:rPr>
          <w:rFonts w:ascii="Garamond" w:hAnsi="Garamond" w:cs="Arial"/>
          <w:sz w:val="24"/>
          <w:szCs w:val="24"/>
        </w:rPr>
      </w:pPr>
      <w:r>
        <w:rPr>
          <w:rFonts w:ascii="Garamond" w:hAnsi="Garamond"/>
          <w:sz w:val="24"/>
        </w:rPr>
        <w:t xml:space="preserve">Controlul metrologic legal al </w:t>
      </w:r>
      <w:bookmarkStart w:id="4" w:name="_Hlk106875133"/>
      <w:r>
        <w:rPr>
          <w:rFonts w:ascii="Garamond" w:hAnsi="Garamond"/>
          <w:sz w:val="24"/>
        </w:rPr>
        <w:t xml:space="preserve">opacimetrelor </w:t>
      </w:r>
      <w:bookmarkEnd w:id="4"/>
      <w:r>
        <w:rPr>
          <w:rFonts w:ascii="Garamond" w:hAnsi="Garamond"/>
          <w:sz w:val="24"/>
        </w:rPr>
        <w:t>este responsabilitatea Institutului portughez de calitate, I. P. (IPQ, I. P.) și cuprinde operațiunile de aprobare a modelului, prima verificare, verificare periodică și verificare extraordinară.</w:t>
      </w:r>
    </w:p>
    <w:p w14:paraId="70D6A65A" w14:textId="77777777" w:rsidR="00FC7BA5" w:rsidRPr="003D5AFB" w:rsidRDefault="00FC7BA5" w:rsidP="00093EAB">
      <w:pPr>
        <w:spacing w:after="120" w:line="360" w:lineRule="auto"/>
        <w:jc w:val="both"/>
        <w:rPr>
          <w:rFonts w:ascii="Garamond" w:hAnsi="Garamond" w:cs="Arial"/>
          <w:sz w:val="24"/>
          <w:szCs w:val="24"/>
        </w:rPr>
      </w:pPr>
    </w:p>
    <w:p w14:paraId="7B45623B" w14:textId="732021EA" w:rsidR="00503EE6" w:rsidRPr="003D5AFB" w:rsidRDefault="00503EE6" w:rsidP="00104E49">
      <w:pPr>
        <w:spacing w:after="120" w:line="360" w:lineRule="auto"/>
        <w:jc w:val="center"/>
        <w:rPr>
          <w:rFonts w:ascii="Garamond" w:hAnsi="Garamond" w:cs="Arial"/>
          <w:sz w:val="24"/>
          <w:szCs w:val="24"/>
        </w:rPr>
      </w:pPr>
      <w:r>
        <w:rPr>
          <w:rFonts w:ascii="Garamond" w:hAnsi="Garamond"/>
          <w:sz w:val="24"/>
        </w:rPr>
        <w:t>Articolul 6</w:t>
      </w:r>
    </w:p>
    <w:p w14:paraId="2FD67190" w14:textId="19023FF4" w:rsidR="00503EE6" w:rsidRPr="003D5AFB" w:rsidRDefault="00727801" w:rsidP="00104E49">
      <w:pPr>
        <w:spacing w:after="120" w:line="360" w:lineRule="auto"/>
        <w:jc w:val="center"/>
        <w:rPr>
          <w:rFonts w:ascii="Garamond" w:hAnsi="Garamond" w:cs="Arial"/>
          <w:b/>
          <w:bCs/>
          <w:sz w:val="24"/>
          <w:szCs w:val="24"/>
        </w:rPr>
      </w:pPr>
      <w:r>
        <w:rPr>
          <w:rFonts w:ascii="Garamond" w:hAnsi="Garamond"/>
          <w:b/>
          <w:sz w:val="24"/>
        </w:rPr>
        <w:t>Aprobarea modelului</w:t>
      </w:r>
    </w:p>
    <w:p w14:paraId="07DF1D43" w14:textId="149EC1C6" w:rsidR="00BF3396" w:rsidRDefault="00BF3396" w:rsidP="00BF3396">
      <w:pPr>
        <w:spacing w:after="120" w:line="360" w:lineRule="auto"/>
        <w:jc w:val="both"/>
        <w:rPr>
          <w:rFonts w:ascii="Garamond" w:hAnsi="Garamond"/>
          <w:sz w:val="24"/>
          <w:szCs w:val="24"/>
        </w:rPr>
      </w:pPr>
      <w:r>
        <w:rPr>
          <w:rFonts w:ascii="Garamond" w:hAnsi="Garamond"/>
          <w:sz w:val="24"/>
        </w:rPr>
        <w:t>(1) Aprobarea modelului trebuie să respecte cerințele prevăzute la articolul 7 din Decretul-lege nr. 29/2022 din 7 aprilie și la articolul 2 din regulamentul anexat la Ordonanța nr. 211/2022 din 23 august.</w:t>
      </w:r>
    </w:p>
    <w:p w14:paraId="157246D2" w14:textId="297C8A92" w:rsidR="00BF3396" w:rsidRDefault="00BF3396" w:rsidP="00BF3396">
      <w:pPr>
        <w:spacing w:after="120" w:line="360" w:lineRule="auto"/>
        <w:jc w:val="both"/>
        <w:rPr>
          <w:rFonts w:ascii="Garamond" w:hAnsi="Garamond"/>
          <w:color w:val="000000"/>
          <w:sz w:val="24"/>
          <w:szCs w:val="24"/>
        </w:rPr>
      </w:pPr>
      <w:r>
        <w:rPr>
          <w:rFonts w:ascii="Garamond" w:hAnsi="Garamond"/>
          <w:sz w:val="24"/>
        </w:rPr>
        <w:t xml:space="preserve">(2) În timpul perioadei de valabilitate a aprobării modelului, oricare sau toate modificările aduse modelului aprobat, prin înlocuirea componentelor, </w:t>
      </w:r>
      <w:r>
        <w:rPr>
          <w:rFonts w:ascii="Garamond" w:hAnsi="Garamond"/>
          <w:color w:val="000000"/>
          <w:sz w:val="24"/>
        </w:rPr>
        <w:t xml:space="preserve">prin adăugarea unui dispozitiv suplimentar, schimbarea programului informatic </w:t>
      </w:r>
      <w:r>
        <w:rPr>
          <w:rFonts w:ascii="Garamond" w:hAnsi="Garamond"/>
          <w:i/>
          <w:color w:val="000000"/>
          <w:sz w:val="24"/>
        </w:rPr>
        <w:t>(software)</w:t>
      </w:r>
      <w:r>
        <w:rPr>
          <w:rFonts w:ascii="Garamond" w:hAnsi="Garamond"/>
          <w:color w:val="000000"/>
          <w:sz w:val="24"/>
        </w:rPr>
        <w:t xml:space="preserve"> instalat sau prin modificări care pot influența rezultatele măsurătorilor sau condițiile reglementare de utilizare, necesită o aprobare suplimentară a modelului.</w:t>
      </w:r>
    </w:p>
    <w:p w14:paraId="5C139199" w14:textId="0E76FCE2" w:rsidR="00BF3396" w:rsidRDefault="00BF3396" w:rsidP="00BF3396">
      <w:pPr>
        <w:spacing w:after="120" w:line="360" w:lineRule="auto"/>
        <w:jc w:val="both"/>
        <w:rPr>
          <w:rFonts w:ascii="Garamond" w:hAnsi="Garamond"/>
          <w:color w:val="000000"/>
          <w:sz w:val="24"/>
          <w:szCs w:val="24"/>
        </w:rPr>
      </w:pPr>
      <w:r>
        <w:rPr>
          <w:rFonts w:ascii="Garamond" w:hAnsi="Garamond"/>
          <w:color w:val="000000"/>
          <w:sz w:val="24"/>
        </w:rPr>
        <w:t xml:space="preserve">(3) Programele </w:t>
      </w:r>
      <w:r>
        <w:rPr>
          <w:rFonts w:ascii="Garamond" w:hAnsi="Garamond"/>
          <w:sz w:val="24"/>
        </w:rPr>
        <w:t xml:space="preserve">informatice </w:t>
      </w:r>
      <w:r>
        <w:rPr>
          <w:rFonts w:ascii="Garamond" w:hAnsi="Garamond"/>
          <w:color w:val="000000"/>
          <w:sz w:val="24"/>
        </w:rPr>
        <w:t xml:space="preserve">utilizate de </w:t>
      </w:r>
      <w:bookmarkStart w:id="5" w:name="_Hlk126936097"/>
      <w:r>
        <w:rPr>
          <w:rFonts w:ascii="Garamond" w:hAnsi="Garamond"/>
          <w:sz w:val="24"/>
        </w:rPr>
        <w:t>opacimetre</w:t>
      </w:r>
      <w:r>
        <w:rPr>
          <w:rFonts w:ascii="Garamond" w:hAnsi="Garamond"/>
          <w:color w:val="000000"/>
          <w:sz w:val="24"/>
        </w:rPr>
        <w:t xml:space="preserve"> </w:t>
      </w:r>
      <w:bookmarkEnd w:id="5"/>
      <w:r>
        <w:rPr>
          <w:rFonts w:ascii="Garamond" w:hAnsi="Garamond"/>
          <w:color w:val="000000"/>
          <w:sz w:val="24"/>
        </w:rPr>
        <w:t>să asigure integritatea și confidențialitatea datelor obținute și prezentate, și trebuie să facă obiectul unei identificări unice și lipsite de ambiguitate.</w:t>
      </w:r>
    </w:p>
    <w:p w14:paraId="2FCFDA57" w14:textId="59631F94" w:rsidR="007204A7" w:rsidRPr="003D5AFB" w:rsidRDefault="007204A7" w:rsidP="002C68EA">
      <w:pPr>
        <w:pStyle w:val="ListParagraph"/>
        <w:spacing w:after="120" w:line="360" w:lineRule="auto"/>
        <w:ind w:left="0"/>
        <w:contextualSpacing w:val="0"/>
        <w:jc w:val="both"/>
        <w:rPr>
          <w:rFonts w:ascii="Garamond" w:hAnsi="Garamond" w:cs="Arial"/>
          <w:sz w:val="24"/>
          <w:szCs w:val="24"/>
        </w:rPr>
      </w:pPr>
    </w:p>
    <w:p w14:paraId="7C0C899C" w14:textId="006A9304" w:rsidR="00F60431" w:rsidRPr="003D5AFB" w:rsidRDefault="00F60431" w:rsidP="002C68EA">
      <w:pPr>
        <w:spacing w:after="120" w:line="360" w:lineRule="auto"/>
        <w:jc w:val="center"/>
        <w:rPr>
          <w:rFonts w:ascii="Garamond" w:hAnsi="Garamond" w:cs="Arial"/>
          <w:sz w:val="24"/>
          <w:szCs w:val="24"/>
        </w:rPr>
      </w:pPr>
      <w:r>
        <w:rPr>
          <w:rFonts w:ascii="Garamond" w:hAnsi="Garamond"/>
          <w:sz w:val="24"/>
        </w:rPr>
        <w:t>Articolul 7</w:t>
      </w:r>
    </w:p>
    <w:p w14:paraId="34626D98" w14:textId="7B508073" w:rsidR="00F97B29" w:rsidRPr="003D5AFB" w:rsidRDefault="00570BD9" w:rsidP="002C68EA">
      <w:pPr>
        <w:spacing w:after="120" w:line="360" w:lineRule="auto"/>
        <w:jc w:val="center"/>
        <w:rPr>
          <w:rFonts w:ascii="Garamond" w:hAnsi="Garamond" w:cs="Arial"/>
          <w:b/>
          <w:bCs/>
          <w:sz w:val="24"/>
          <w:szCs w:val="24"/>
        </w:rPr>
      </w:pPr>
      <w:r>
        <w:rPr>
          <w:rFonts w:ascii="Garamond" w:hAnsi="Garamond"/>
          <w:b/>
          <w:sz w:val="24"/>
        </w:rPr>
        <w:t>Prima verificare</w:t>
      </w:r>
    </w:p>
    <w:p w14:paraId="43E5DF15" w14:textId="05439965" w:rsidR="0087542F" w:rsidRPr="003D5AFB" w:rsidRDefault="0087542F" w:rsidP="002C68EA">
      <w:pPr>
        <w:spacing w:after="120" w:line="360" w:lineRule="auto"/>
        <w:jc w:val="both"/>
        <w:rPr>
          <w:rFonts w:ascii="Garamond" w:hAnsi="Garamond" w:cs="Arial"/>
          <w:sz w:val="24"/>
          <w:szCs w:val="24"/>
        </w:rPr>
      </w:pPr>
      <w:r>
        <w:rPr>
          <w:rFonts w:ascii="Garamond" w:hAnsi="Garamond"/>
          <w:sz w:val="24"/>
        </w:rPr>
        <w:t>(1) Prima verificare se efectuează înainte ca instrumentul să fie introdus pe piață sau după ce a fost reparat și ori de câte ori are loc o rupere a sigiliului, fără o verificare periodică în anul respectiv, având aceeași perioadă de valabilitate.</w:t>
      </w:r>
    </w:p>
    <w:p w14:paraId="5A2368F9" w14:textId="167DAACC" w:rsidR="003842F2" w:rsidRPr="003D5AFB" w:rsidRDefault="003842F2" w:rsidP="002C68EA">
      <w:pPr>
        <w:spacing w:after="120" w:line="360" w:lineRule="auto"/>
        <w:jc w:val="both"/>
        <w:rPr>
          <w:rFonts w:ascii="Garamond" w:hAnsi="Garamond" w:cs="Arial"/>
          <w:sz w:val="24"/>
          <w:szCs w:val="24"/>
        </w:rPr>
      </w:pPr>
      <w:r>
        <w:rPr>
          <w:rFonts w:ascii="Garamond" w:hAnsi="Garamond"/>
          <w:sz w:val="24"/>
        </w:rPr>
        <w:t>(2) Primele încercări de verificare se efectuează în conformitate cu cerințele metrologice și tehnice prevăzute la articolul 3 din prezentul regulament.</w:t>
      </w:r>
    </w:p>
    <w:p w14:paraId="320CE689" w14:textId="6E0E1DB0" w:rsidR="00A17F17" w:rsidRDefault="003842F2" w:rsidP="00A17F17">
      <w:pPr>
        <w:jc w:val="both"/>
        <w:rPr>
          <w:rFonts w:ascii="Garamond" w:hAnsi="Garamond" w:cs="Arial"/>
          <w:sz w:val="24"/>
          <w:szCs w:val="24"/>
        </w:rPr>
      </w:pPr>
      <w:bookmarkStart w:id="6" w:name="_Hlk63414812"/>
      <w:r>
        <w:rPr>
          <w:rFonts w:ascii="Garamond" w:hAnsi="Garamond"/>
          <w:sz w:val="24"/>
        </w:rPr>
        <w:t>(3)</w:t>
      </w:r>
      <w:bookmarkEnd w:id="6"/>
      <w:r>
        <w:rPr>
          <w:rFonts w:ascii="Garamond" w:hAnsi="Garamond"/>
          <w:sz w:val="24"/>
        </w:rPr>
        <w:t xml:space="preserve"> Valorile erorilor maxime admisibile pentru prima verificare sunt egale cu ± 2 % opacitate, N.  </w:t>
      </w:r>
    </w:p>
    <w:p w14:paraId="03EBD602" w14:textId="77777777" w:rsidR="00A57A1C" w:rsidRPr="003D5AFB" w:rsidRDefault="00A57A1C" w:rsidP="002C68EA">
      <w:pPr>
        <w:spacing w:after="120" w:line="360" w:lineRule="auto"/>
        <w:jc w:val="both"/>
        <w:rPr>
          <w:rFonts w:ascii="Garamond" w:hAnsi="Garamond" w:cs="Arial"/>
          <w:sz w:val="24"/>
          <w:szCs w:val="24"/>
        </w:rPr>
      </w:pPr>
    </w:p>
    <w:p w14:paraId="06FC48BE" w14:textId="1622D2EA"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lastRenderedPageBreak/>
        <w:t>Articolul 8</w:t>
      </w:r>
    </w:p>
    <w:p w14:paraId="177F56D3"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Verificarea periodică</w:t>
      </w:r>
    </w:p>
    <w:p w14:paraId="62D7103A" w14:textId="3D028C7A" w:rsidR="005E797A" w:rsidRDefault="005E797A" w:rsidP="005E797A">
      <w:pPr>
        <w:spacing w:after="120" w:line="360" w:lineRule="auto"/>
        <w:jc w:val="both"/>
        <w:rPr>
          <w:rFonts w:ascii="Garamond" w:hAnsi="Garamond" w:cs="Arial"/>
          <w:sz w:val="24"/>
          <w:szCs w:val="24"/>
        </w:rPr>
      </w:pPr>
      <w:bookmarkStart w:id="7" w:name="_Hlk107869984"/>
      <w:bookmarkStart w:id="8" w:name="_Hlk107936171"/>
      <w:r>
        <w:rPr>
          <w:rFonts w:ascii="Garamond" w:hAnsi="Garamond"/>
          <w:sz w:val="24"/>
        </w:rPr>
        <w:t>(1) Verificarea periodică are o frecvență anuală și este valabilă timp de un an de la finalizarea acesteia.</w:t>
      </w:r>
    </w:p>
    <w:bookmarkEnd w:id="7"/>
    <w:bookmarkEnd w:id="8"/>
    <w:p w14:paraId="583B7830" w14:textId="4D5C067E" w:rsidR="002B5F8C" w:rsidRPr="003D5AFB" w:rsidRDefault="002B5F8C" w:rsidP="002B5F8C">
      <w:pPr>
        <w:spacing w:after="120" w:line="360" w:lineRule="auto"/>
        <w:jc w:val="both"/>
        <w:rPr>
          <w:rFonts w:ascii="Garamond" w:hAnsi="Garamond" w:cs="Arial"/>
          <w:sz w:val="24"/>
          <w:szCs w:val="24"/>
        </w:rPr>
      </w:pPr>
      <w:r>
        <w:rPr>
          <w:rFonts w:ascii="Garamond" w:hAnsi="Garamond"/>
          <w:sz w:val="24"/>
        </w:rPr>
        <w:t>(2) Încercările de verificare periodică sunt aceleași cu cele stabilite pentru prima verificare.</w:t>
      </w:r>
    </w:p>
    <w:p w14:paraId="6E7C93C7" w14:textId="5E71EEB5" w:rsidR="0073637C" w:rsidRPr="003D5AFB" w:rsidRDefault="002B5F8C">
      <w:pPr>
        <w:spacing w:after="120" w:line="360" w:lineRule="auto"/>
        <w:jc w:val="both"/>
        <w:rPr>
          <w:rFonts w:ascii="Garamond" w:hAnsi="Garamond" w:cs="Arial"/>
          <w:sz w:val="24"/>
          <w:szCs w:val="24"/>
        </w:rPr>
      </w:pPr>
      <w:r>
        <w:rPr>
          <w:rFonts w:ascii="Garamond" w:hAnsi="Garamond"/>
          <w:sz w:val="24"/>
        </w:rPr>
        <w:t>(3) Valorile erorilor maxime admisibile în verificarea periodică sunt egale cu valorile erorilor maxime admisibile stabilite pentru prima verificare.</w:t>
      </w:r>
    </w:p>
    <w:p w14:paraId="3A15EA1F" w14:textId="77777777" w:rsidR="00A57A1C" w:rsidRPr="003D5AFB" w:rsidRDefault="00A57A1C">
      <w:pPr>
        <w:spacing w:after="120" w:line="360" w:lineRule="auto"/>
        <w:jc w:val="both"/>
        <w:rPr>
          <w:rFonts w:ascii="Garamond" w:hAnsi="Garamond" w:cs="Arial"/>
          <w:sz w:val="24"/>
          <w:szCs w:val="24"/>
        </w:rPr>
      </w:pPr>
    </w:p>
    <w:p w14:paraId="484A3A9A" w14:textId="243DF155"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t>Articolul 9</w:t>
      </w:r>
    </w:p>
    <w:p w14:paraId="62B7028E"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Verificarea extraordinară</w:t>
      </w:r>
    </w:p>
    <w:p w14:paraId="21E9EEE9" w14:textId="5CC7507F" w:rsidR="00503EE6" w:rsidRPr="003D5AFB" w:rsidRDefault="00944E05" w:rsidP="002C68EA">
      <w:pPr>
        <w:spacing w:after="120" w:line="360" w:lineRule="auto"/>
        <w:jc w:val="both"/>
        <w:rPr>
          <w:rFonts w:ascii="Garamond" w:hAnsi="Garamond" w:cs="Arial"/>
          <w:sz w:val="24"/>
          <w:szCs w:val="24"/>
        </w:rPr>
      </w:pPr>
      <w:r>
        <w:rPr>
          <w:rFonts w:ascii="Garamond" w:hAnsi="Garamond"/>
          <w:sz w:val="24"/>
        </w:rPr>
        <w:t>(1) Verificarea extraordinară include încercările de verificare periodică.</w:t>
      </w:r>
    </w:p>
    <w:p w14:paraId="7447DA07" w14:textId="6567F499" w:rsidR="00503EE6" w:rsidRPr="003D5AFB" w:rsidRDefault="00503EE6">
      <w:pPr>
        <w:spacing w:after="120" w:line="360" w:lineRule="auto"/>
        <w:jc w:val="both"/>
        <w:rPr>
          <w:rFonts w:ascii="Garamond" w:hAnsi="Garamond" w:cs="Arial"/>
          <w:sz w:val="24"/>
          <w:szCs w:val="24"/>
        </w:rPr>
      </w:pPr>
      <w:r>
        <w:rPr>
          <w:rFonts w:ascii="Garamond" w:hAnsi="Garamond"/>
          <w:sz w:val="24"/>
        </w:rPr>
        <w:t>(2) În cadrul verificării extraordinare, valorile erorilor maxime admisibile sunt egale cu valorile erorilor maxime admisibile stabilite pentru verificarea periodică.</w:t>
      </w:r>
    </w:p>
    <w:p w14:paraId="0BE4205E" w14:textId="77777777" w:rsidR="0073637C" w:rsidRPr="003D5AFB" w:rsidRDefault="0073637C" w:rsidP="002C68EA">
      <w:pPr>
        <w:spacing w:after="120" w:line="360" w:lineRule="auto"/>
        <w:jc w:val="both"/>
        <w:rPr>
          <w:rFonts w:ascii="Garamond" w:hAnsi="Garamond" w:cs="Arial"/>
          <w:sz w:val="24"/>
          <w:szCs w:val="24"/>
        </w:rPr>
      </w:pPr>
    </w:p>
    <w:p w14:paraId="7C617DDA" w14:textId="72BADA5C" w:rsidR="000A231E" w:rsidRPr="003D5AFB" w:rsidRDefault="000A231E" w:rsidP="007366C9">
      <w:pPr>
        <w:spacing w:after="120" w:line="360" w:lineRule="auto"/>
        <w:jc w:val="center"/>
        <w:rPr>
          <w:rFonts w:ascii="Garamond" w:hAnsi="Garamond" w:cs="Arial"/>
          <w:sz w:val="24"/>
          <w:szCs w:val="24"/>
        </w:rPr>
      </w:pPr>
      <w:r>
        <w:rPr>
          <w:rFonts w:ascii="Garamond" w:hAnsi="Garamond"/>
          <w:sz w:val="24"/>
        </w:rPr>
        <w:t>Articolul 10</w:t>
      </w:r>
    </w:p>
    <w:p w14:paraId="39298155" w14:textId="53987728" w:rsidR="000A231E" w:rsidRPr="003D5AFB" w:rsidRDefault="000A231E" w:rsidP="007366C9">
      <w:pPr>
        <w:spacing w:after="120" w:line="360" w:lineRule="auto"/>
        <w:jc w:val="center"/>
        <w:rPr>
          <w:rFonts w:ascii="Garamond" w:hAnsi="Garamond" w:cs="Arial"/>
          <w:b/>
          <w:bCs/>
          <w:sz w:val="24"/>
          <w:szCs w:val="24"/>
        </w:rPr>
      </w:pPr>
      <w:r>
        <w:rPr>
          <w:rFonts w:ascii="Garamond" w:hAnsi="Garamond"/>
          <w:b/>
          <w:sz w:val="24"/>
        </w:rPr>
        <w:t>Inscripții și marcaje</w:t>
      </w:r>
    </w:p>
    <w:p w14:paraId="7A96B35F" w14:textId="514B3BE3" w:rsidR="004A5897" w:rsidRPr="003D5AFB" w:rsidRDefault="004A5897" w:rsidP="00BF69F3">
      <w:pPr>
        <w:spacing w:after="120" w:line="360" w:lineRule="auto"/>
        <w:jc w:val="both"/>
        <w:rPr>
          <w:rFonts w:ascii="Garamond" w:hAnsi="Garamond" w:cs="Arial"/>
          <w:sz w:val="24"/>
          <w:szCs w:val="24"/>
        </w:rPr>
      </w:pPr>
      <w:bookmarkStart w:id="9" w:name="_Hlk82391725"/>
      <w:bookmarkStart w:id="10" w:name="_Hlk82391591"/>
      <w:r>
        <w:rPr>
          <w:rFonts w:ascii="Garamond" w:hAnsi="Garamond"/>
          <w:sz w:val="24"/>
        </w:rPr>
        <w:t>(1) Opacimetrele trebuie să afișeze, în mod vizibil și lizibil, inscripții și marcaje în conformitate cu cerințele metrologice prevăzute la articolul 3 din prezentul regulament.</w:t>
      </w:r>
    </w:p>
    <w:p w14:paraId="28620774" w14:textId="7685BCFA" w:rsidR="004A5897" w:rsidRPr="003D5AFB" w:rsidRDefault="004A5897" w:rsidP="00BF69F3">
      <w:pPr>
        <w:spacing w:after="120" w:line="360" w:lineRule="auto"/>
        <w:jc w:val="both"/>
        <w:rPr>
          <w:rFonts w:ascii="Garamond" w:hAnsi="Garamond" w:cs="Arial"/>
          <w:sz w:val="24"/>
          <w:szCs w:val="24"/>
        </w:rPr>
      </w:pPr>
      <w:r>
        <w:rPr>
          <w:rFonts w:ascii="Garamond" w:hAnsi="Garamond"/>
          <w:sz w:val="24"/>
        </w:rPr>
        <w:t>(2)</w:t>
      </w:r>
      <w:bookmarkEnd w:id="9"/>
      <w:r>
        <w:rPr>
          <w:rFonts w:ascii="Garamond" w:hAnsi="Garamond"/>
          <w:sz w:val="24"/>
        </w:rPr>
        <w:t xml:space="preserve"> Opacimetrele trebuie să conțină, de asemenea, simbolul de aprobare a modelului și alte simboluri sau referințe utile pentru utilizarea lor.</w:t>
      </w:r>
    </w:p>
    <w:bookmarkEnd w:id="10"/>
    <w:p w14:paraId="7ACAD7AE" w14:textId="6B227A09" w:rsidR="00FC57F5" w:rsidRPr="003D5AFB" w:rsidRDefault="00FC57F5" w:rsidP="00BF69F3">
      <w:pPr>
        <w:autoSpaceDE w:val="0"/>
        <w:autoSpaceDN w:val="0"/>
        <w:adjustRightInd w:val="0"/>
        <w:spacing w:after="120" w:line="360" w:lineRule="auto"/>
        <w:jc w:val="both"/>
        <w:rPr>
          <w:rFonts w:ascii="Garamond" w:hAnsi="Garamond" w:cs="Arial"/>
          <w:sz w:val="24"/>
          <w:szCs w:val="24"/>
        </w:rPr>
      </w:pPr>
    </w:p>
    <w:p w14:paraId="03842174" w14:textId="79CCA1CF" w:rsidR="00503EE6" w:rsidRPr="003D5AFB" w:rsidRDefault="00503EE6" w:rsidP="00BF69F3">
      <w:pPr>
        <w:spacing w:after="120" w:line="360" w:lineRule="auto"/>
        <w:jc w:val="center"/>
        <w:rPr>
          <w:rFonts w:ascii="Garamond" w:hAnsi="Garamond" w:cs="Arial"/>
          <w:sz w:val="24"/>
          <w:szCs w:val="24"/>
        </w:rPr>
      </w:pPr>
      <w:bookmarkStart w:id="11" w:name="_Hlk63417111"/>
      <w:r>
        <w:rPr>
          <w:rFonts w:ascii="Garamond" w:hAnsi="Garamond"/>
          <w:sz w:val="24"/>
        </w:rPr>
        <w:t>Articolul 11</w:t>
      </w:r>
    </w:p>
    <w:p w14:paraId="7F04099F" w14:textId="77777777" w:rsidR="00503EE6" w:rsidRPr="003D5AFB" w:rsidRDefault="00503EE6" w:rsidP="00BF69F3">
      <w:pPr>
        <w:spacing w:after="120" w:line="360" w:lineRule="auto"/>
        <w:jc w:val="center"/>
        <w:rPr>
          <w:rFonts w:ascii="Garamond" w:hAnsi="Garamond" w:cs="Arial"/>
          <w:b/>
          <w:bCs/>
          <w:sz w:val="24"/>
          <w:szCs w:val="24"/>
        </w:rPr>
      </w:pPr>
      <w:r>
        <w:rPr>
          <w:rFonts w:ascii="Garamond" w:hAnsi="Garamond"/>
          <w:b/>
          <w:sz w:val="24"/>
        </w:rPr>
        <w:t>Dispoziție tranzitorie</w:t>
      </w:r>
    </w:p>
    <w:bookmarkEnd w:id="11"/>
    <w:p w14:paraId="441DDFF2" w14:textId="48C08D7A" w:rsidR="00D24055" w:rsidRPr="003D5AFB" w:rsidRDefault="00D24055" w:rsidP="00BF69F3">
      <w:pPr>
        <w:spacing w:after="120" w:line="360" w:lineRule="auto"/>
        <w:jc w:val="both"/>
        <w:rPr>
          <w:rFonts w:ascii="Garamond" w:hAnsi="Garamond" w:cs="Arial"/>
          <w:sz w:val="24"/>
          <w:szCs w:val="24"/>
        </w:rPr>
      </w:pPr>
      <w:r>
        <w:rPr>
          <w:rFonts w:ascii="Garamond" w:hAnsi="Garamond"/>
          <w:sz w:val="24"/>
        </w:rPr>
        <w:t>Instrumentele în uz pot rămâne în uz atât timp cât sunt în stare bună și în cazul în care, în încercările de verificare metrologică, apar erori care nu depășesc erorile maxime admisibile.</w:t>
      </w:r>
    </w:p>
    <w:p w14:paraId="12DE1FBE" w14:textId="77777777" w:rsidR="00BF69F3" w:rsidRPr="003D5AFB" w:rsidRDefault="00BF69F3" w:rsidP="00BF69F3">
      <w:pPr>
        <w:spacing w:after="120" w:line="360" w:lineRule="auto"/>
        <w:jc w:val="center"/>
        <w:rPr>
          <w:rFonts w:ascii="Garamond" w:hAnsi="Garamond" w:cs="Arial"/>
          <w:sz w:val="24"/>
          <w:szCs w:val="24"/>
        </w:rPr>
      </w:pPr>
    </w:p>
    <w:p w14:paraId="1F4559B5" w14:textId="100C162E" w:rsidR="00336A88" w:rsidRPr="003D5AFB" w:rsidRDefault="00336A88" w:rsidP="0088186C">
      <w:pPr>
        <w:keepNext/>
        <w:spacing w:after="120" w:line="360" w:lineRule="auto"/>
        <w:jc w:val="center"/>
        <w:rPr>
          <w:rFonts w:ascii="Garamond" w:hAnsi="Garamond" w:cs="Arial"/>
          <w:sz w:val="24"/>
          <w:szCs w:val="24"/>
        </w:rPr>
      </w:pPr>
      <w:r>
        <w:rPr>
          <w:rFonts w:ascii="Garamond" w:hAnsi="Garamond"/>
          <w:sz w:val="24"/>
        </w:rPr>
        <w:lastRenderedPageBreak/>
        <w:t>Articolul 12</w:t>
      </w:r>
    </w:p>
    <w:p w14:paraId="00AFCFB4" w14:textId="2D0E9E49" w:rsidR="0014394D" w:rsidRPr="003D5AFB" w:rsidRDefault="00336A88" w:rsidP="00BF69F3">
      <w:pPr>
        <w:spacing w:after="120" w:line="360" w:lineRule="auto"/>
        <w:jc w:val="center"/>
        <w:rPr>
          <w:rFonts w:ascii="Garamond" w:hAnsi="Garamond" w:cs="Arial"/>
          <w:b/>
          <w:bCs/>
          <w:sz w:val="24"/>
          <w:szCs w:val="24"/>
        </w:rPr>
      </w:pPr>
      <w:r>
        <w:rPr>
          <w:rFonts w:ascii="Garamond" w:hAnsi="Garamond"/>
          <w:b/>
          <w:sz w:val="24"/>
        </w:rPr>
        <w:t xml:space="preserve">Dispoziție finală </w:t>
      </w:r>
    </w:p>
    <w:p w14:paraId="745D5232" w14:textId="79E15894" w:rsidR="00181C8E" w:rsidRPr="003D5AFB" w:rsidRDefault="00181C8E" w:rsidP="00BF69F3">
      <w:pPr>
        <w:spacing w:after="120" w:line="360" w:lineRule="auto"/>
        <w:jc w:val="both"/>
        <w:rPr>
          <w:rFonts w:ascii="Garamond" w:hAnsi="Garamond" w:cs="Arial"/>
          <w:sz w:val="24"/>
          <w:szCs w:val="24"/>
        </w:rPr>
      </w:pPr>
      <w:r>
        <w:rPr>
          <w:rFonts w:ascii="Garamond" w:hAnsi="Garamond"/>
          <w:sz w:val="24"/>
        </w:rPr>
        <w:t>Dispozițiile articolelor anterioare nu împiedică comercializarea sau utilizarea ulterioară a opacimetrelor, însoțite de certificate de evaluare a conformității eliberate de organisme recunoscute în temeiul legislației aplicabile a Uniunii Europene, în cadrul activității de metrologie legală, pe baza specificațiilor și a procedurilor care asigură o calitate metrologică echivalentă cu cea menționată în prezentul regulament, echivalența fiind evaluată de IPQ, I.P.</w:t>
      </w:r>
    </w:p>
    <w:sectPr w:rsidR="00181C8E" w:rsidRPr="003D5A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060" w14:textId="77777777" w:rsidR="008A7813" w:rsidRDefault="008A7813" w:rsidP="00344923">
      <w:pPr>
        <w:spacing w:after="0" w:line="240" w:lineRule="auto"/>
      </w:pPr>
      <w:r>
        <w:separator/>
      </w:r>
    </w:p>
  </w:endnote>
  <w:endnote w:type="continuationSeparator" w:id="0">
    <w:p w14:paraId="1FBDF394" w14:textId="77777777" w:rsidR="008A7813" w:rsidRDefault="008A7813" w:rsidP="003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418B" w14:textId="77777777" w:rsidR="008A7813" w:rsidRDefault="008A7813" w:rsidP="00344923">
      <w:pPr>
        <w:spacing w:after="0" w:line="240" w:lineRule="auto"/>
      </w:pPr>
      <w:r>
        <w:separator/>
      </w:r>
    </w:p>
  </w:footnote>
  <w:footnote w:type="continuationSeparator" w:id="0">
    <w:p w14:paraId="5E8F1505" w14:textId="77777777" w:rsidR="008A7813" w:rsidRDefault="008A7813" w:rsidP="0034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1B24"/>
    <w:multiLevelType w:val="hybridMultilevel"/>
    <w:tmpl w:val="EC52C694"/>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 w15:restartNumberingAfterBreak="0">
    <w:nsid w:val="5C19704B"/>
    <w:multiLevelType w:val="hybridMultilevel"/>
    <w:tmpl w:val="600AF8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EB2209D"/>
    <w:multiLevelType w:val="hybridMultilevel"/>
    <w:tmpl w:val="DC60F11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E30405"/>
    <w:multiLevelType w:val="hybridMultilevel"/>
    <w:tmpl w:val="CAEC66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72118954">
    <w:abstractNumId w:val="0"/>
  </w:num>
  <w:num w:numId="2" w16cid:durableId="2119715062">
    <w:abstractNumId w:val="2"/>
  </w:num>
  <w:num w:numId="3" w16cid:durableId="1937520543">
    <w:abstractNumId w:val="3"/>
  </w:num>
  <w:num w:numId="4" w16cid:durableId="27749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D"/>
    <w:rsid w:val="00000BDE"/>
    <w:rsid w:val="0001190B"/>
    <w:rsid w:val="00013DAB"/>
    <w:rsid w:val="00032B15"/>
    <w:rsid w:val="00073EEC"/>
    <w:rsid w:val="0008627E"/>
    <w:rsid w:val="00093EAB"/>
    <w:rsid w:val="000A115E"/>
    <w:rsid w:val="000A231E"/>
    <w:rsid w:val="000D5C89"/>
    <w:rsid w:val="000E0638"/>
    <w:rsid w:val="000E597C"/>
    <w:rsid w:val="000E7B45"/>
    <w:rsid w:val="00104E49"/>
    <w:rsid w:val="00120B97"/>
    <w:rsid w:val="001248EE"/>
    <w:rsid w:val="0014090F"/>
    <w:rsid w:val="0014394D"/>
    <w:rsid w:val="00150079"/>
    <w:rsid w:val="00157B9F"/>
    <w:rsid w:val="00167FC3"/>
    <w:rsid w:val="00172C89"/>
    <w:rsid w:val="00181C8E"/>
    <w:rsid w:val="00187C7C"/>
    <w:rsid w:val="00191916"/>
    <w:rsid w:val="00197A36"/>
    <w:rsid w:val="001B79B7"/>
    <w:rsid w:val="001D20BF"/>
    <w:rsid w:val="001D7B24"/>
    <w:rsid w:val="001E2713"/>
    <w:rsid w:val="002008BE"/>
    <w:rsid w:val="00206996"/>
    <w:rsid w:val="002129E8"/>
    <w:rsid w:val="00213547"/>
    <w:rsid w:val="002207D6"/>
    <w:rsid w:val="002208C1"/>
    <w:rsid w:val="00221DEC"/>
    <w:rsid w:val="002261C4"/>
    <w:rsid w:val="00233473"/>
    <w:rsid w:val="00257208"/>
    <w:rsid w:val="002635B9"/>
    <w:rsid w:val="00272BB1"/>
    <w:rsid w:val="00291C0B"/>
    <w:rsid w:val="002A55E9"/>
    <w:rsid w:val="002B4130"/>
    <w:rsid w:val="002B5F8C"/>
    <w:rsid w:val="002C3FD8"/>
    <w:rsid w:val="002C51F6"/>
    <w:rsid w:val="002C68EA"/>
    <w:rsid w:val="002F11E4"/>
    <w:rsid w:val="003027CF"/>
    <w:rsid w:val="0031578E"/>
    <w:rsid w:val="0032043E"/>
    <w:rsid w:val="00327929"/>
    <w:rsid w:val="00336A88"/>
    <w:rsid w:val="00344923"/>
    <w:rsid w:val="00355D97"/>
    <w:rsid w:val="003602EC"/>
    <w:rsid w:val="00383640"/>
    <w:rsid w:val="003842F2"/>
    <w:rsid w:val="00392067"/>
    <w:rsid w:val="00394E9F"/>
    <w:rsid w:val="003D5AFB"/>
    <w:rsid w:val="003E427B"/>
    <w:rsid w:val="003E6488"/>
    <w:rsid w:val="003F0878"/>
    <w:rsid w:val="0043441C"/>
    <w:rsid w:val="00437F7F"/>
    <w:rsid w:val="004629AB"/>
    <w:rsid w:val="0047061A"/>
    <w:rsid w:val="00473279"/>
    <w:rsid w:val="004A5897"/>
    <w:rsid w:val="004D2E9B"/>
    <w:rsid w:val="004D6DB6"/>
    <w:rsid w:val="004E5050"/>
    <w:rsid w:val="004F3F34"/>
    <w:rsid w:val="004F6C7F"/>
    <w:rsid w:val="004F7424"/>
    <w:rsid w:val="00501FB0"/>
    <w:rsid w:val="005024E2"/>
    <w:rsid w:val="00503EE6"/>
    <w:rsid w:val="0050525F"/>
    <w:rsid w:val="00525093"/>
    <w:rsid w:val="00533F9E"/>
    <w:rsid w:val="00550D71"/>
    <w:rsid w:val="00552B46"/>
    <w:rsid w:val="00556EE6"/>
    <w:rsid w:val="00561A2D"/>
    <w:rsid w:val="0056458D"/>
    <w:rsid w:val="00570BD9"/>
    <w:rsid w:val="00572E2D"/>
    <w:rsid w:val="00584418"/>
    <w:rsid w:val="00584675"/>
    <w:rsid w:val="0058561B"/>
    <w:rsid w:val="005935A3"/>
    <w:rsid w:val="00593E38"/>
    <w:rsid w:val="0059504B"/>
    <w:rsid w:val="00597F39"/>
    <w:rsid w:val="005B3B89"/>
    <w:rsid w:val="005D6074"/>
    <w:rsid w:val="005E017D"/>
    <w:rsid w:val="005E797A"/>
    <w:rsid w:val="005F1A28"/>
    <w:rsid w:val="006116CE"/>
    <w:rsid w:val="00617915"/>
    <w:rsid w:val="00624047"/>
    <w:rsid w:val="006246CC"/>
    <w:rsid w:val="00624B50"/>
    <w:rsid w:val="00643D18"/>
    <w:rsid w:val="00644DCE"/>
    <w:rsid w:val="00645700"/>
    <w:rsid w:val="0064792A"/>
    <w:rsid w:val="00664687"/>
    <w:rsid w:val="00664E24"/>
    <w:rsid w:val="00676C90"/>
    <w:rsid w:val="00690D4A"/>
    <w:rsid w:val="00694D01"/>
    <w:rsid w:val="00695633"/>
    <w:rsid w:val="006D605C"/>
    <w:rsid w:val="006E2787"/>
    <w:rsid w:val="00713821"/>
    <w:rsid w:val="007204A7"/>
    <w:rsid w:val="00727801"/>
    <w:rsid w:val="00727A58"/>
    <w:rsid w:val="0073637C"/>
    <w:rsid w:val="007366C9"/>
    <w:rsid w:val="00752C59"/>
    <w:rsid w:val="00754149"/>
    <w:rsid w:val="007600B5"/>
    <w:rsid w:val="007728C9"/>
    <w:rsid w:val="0078610F"/>
    <w:rsid w:val="007A512B"/>
    <w:rsid w:val="007C0464"/>
    <w:rsid w:val="007C6DD2"/>
    <w:rsid w:val="007E5832"/>
    <w:rsid w:val="007E5C60"/>
    <w:rsid w:val="008100B7"/>
    <w:rsid w:val="00814D47"/>
    <w:rsid w:val="0081718A"/>
    <w:rsid w:val="008218A2"/>
    <w:rsid w:val="00826185"/>
    <w:rsid w:val="00826762"/>
    <w:rsid w:val="008317C9"/>
    <w:rsid w:val="00834A86"/>
    <w:rsid w:val="0084050B"/>
    <w:rsid w:val="00841515"/>
    <w:rsid w:val="008552E9"/>
    <w:rsid w:val="00862940"/>
    <w:rsid w:val="0087542F"/>
    <w:rsid w:val="0088186C"/>
    <w:rsid w:val="00897C78"/>
    <w:rsid w:val="008A7813"/>
    <w:rsid w:val="008D118F"/>
    <w:rsid w:val="008D4310"/>
    <w:rsid w:val="008E740B"/>
    <w:rsid w:val="008E76A4"/>
    <w:rsid w:val="00921B47"/>
    <w:rsid w:val="00921FB3"/>
    <w:rsid w:val="00933FA6"/>
    <w:rsid w:val="0093713E"/>
    <w:rsid w:val="00944E05"/>
    <w:rsid w:val="0095516A"/>
    <w:rsid w:val="00956E26"/>
    <w:rsid w:val="00960D0F"/>
    <w:rsid w:val="0096781D"/>
    <w:rsid w:val="00974B6D"/>
    <w:rsid w:val="00991E2E"/>
    <w:rsid w:val="009A06F9"/>
    <w:rsid w:val="009B2CD5"/>
    <w:rsid w:val="009B3585"/>
    <w:rsid w:val="009C3031"/>
    <w:rsid w:val="009E4A31"/>
    <w:rsid w:val="00A06037"/>
    <w:rsid w:val="00A11D7E"/>
    <w:rsid w:val="00A137F1"/>
    <w:rsid w:val="00A17F17"/>
    <w:rsid w:val="00A264B0"/>
    <w:rsid w:val="00A271F7"/>
    <w:rsid w:val="00A31292"/>
    <w:rsid w:val="00A36AE0"/>
    <w:rsid w:val="00A55ED6"/>
    <w:rsid w:val="00A57A1C"/>
    <w:rsid w:val="00A653AF"/>
    <w:rsid w:val="00A67E46"/>
    <w:rsid w:val="00A77330"/>
    <w:rsid w:val="00A86454"/>
    <w:rsid w:val="00A87329"/>
    <w:rsid w:val="00A94101"/>
    <w:rsid w:val="00AD15A5"/>
    <w:rsid w:val="00AE1812"/>
    <w:rsid w:val="00AE5805"/>
    <w:rsid w:val="00AF2A91"/>
    <w:rsid w:val="00B42A12"/>
    <w:rsid w:val="00B438A7"/>
    <w:rsid w:val="00B45C40"/>
    <w:rsid w:val="00B55531"/>
    <w:rsid w:val="00B85EFB"/>
    <w:rsid w:val="00B86C46"/>
    <w:rsid w:val="00BB424A"/>
    <w:rsid w:val="00BC41EE"/>
    <w:rsid w:val="00BE0BC3"/>
    <w:rsid w:val="00BF3396"/>
    <w:rsid w:val="00BF69F3"/>
    <w:rsid w:val="00BF701A"/>
    <w:rsid w:val="00BF7C4A"/>
    <w:rsid w:val="00C01D7B"/>
    <w:rsid w:val="00C110C9"/>
    <w:rsid w:val="00C116B9"/>
    <w:rsid w:val="00C32240"/>
    <w:rsid w:val="00C342DF"/>
    <w:rsid w:val="00C37AFB"/>
    <w:rsid w:val="00C40024"/>
    <w:rsid w:val="00C62C54"/>
    <w:rsid w:val="00C65889"/>
    <w:rsid w:val="00C75076"/>
    <w:rsid w:val="00C87710"/>
    <w:rsid w:val="00C96A98"/>
    <w:rsid w:val="00C97828"/>
    <w:rsid w:val="00CA3DB1"/>
    <w:rsid w:val="00CB4532"/>
    <w:rsid w:val="00CB479D"/>
    <w:rsid w:val="00CB623B"/>
    <w:rsid w:val="00CC6BCA"/>
    <w:rsid w:val="00CD6108"/>
    <w:rsid w:val="00CD6DFD"/>
    <w:rsid w:val="00CE4CC9"/>
    <w:rsid w:val="00CF41B0"/>
    <w:rsid w:val="00CF57EB"/>
    <w:rsid w:val="00D10CD1"/>
    <w:rsid w:val="00D24055"/>
    <w:rsid w:val="00D25AFC"/>
    <w:rsid w:val="00D32597"/>
    <w:rsid w:val="00D3733D"/>
    <w:rsid w:val="00D44515"/>
    <w:rsid w:val="00D4592B"/>
    <w:rsid w:val="00D61662"/>
    <w:rsid w:val="00D62496"/>
    <w:rsid w:val="00D629C3"/>
    <w:rsid w:val="00D749D5"/>
    <w:rsid w:val="00D7502D"/>
    <w:rsid w:val="00D82562"/>
    <w:rsid w:val="00DA1DE2"/>
    <w:rsid w:val="00DA4432"/>
    <w:rsid w:val="00DB0ED2"/>
    <w:rsid w:val="00DB3A4E"/>
    <w:rsid w:val="00DB5B5F"/>
    <w:rsid w:val="00DB710D"/>
    <w:rsid w:val="00DC17F8"/>
    <w:rsid w:val="00DD5624"/>
    <w:rsid w:val="00DE6AEC"/>
    <w:rsid w:val="00DE7ABD"/>
    <w:rsid w:val="00E0501D"/>
    <w:rsid w:val="00E0652D"/>
    <w:rsid w:val="00E144AF"/>
    <w:rsid w:val="00E257B2"/>
    <w:rsid w:val="00E37926"/>
    <w:rsid w:val="00E51F0B"/>
    <w:rsid w:val="00E60B65"/>
    <w:rsid w:val="00E73797"/>
    <w:rsid w:val="00E77C9F"/>
    <w:rsid w:val="00E9606F"/>
    <w:rsid w:val="00EA7E19"/>
    <w:rsid w:val="00EB3C2E"/>
    <w:rsid w:val="00EC1B91"/>
    <w:rsid w:val="00EF7D48"/>
    <w:rsid w:val="00F02FF6"/>
    <w:rsid w:val="00F071F7"/>
    <w:rsid w:val="00F220CE"/>
    <w:rsid w:val="00F31C27"/>
    <w:rsid w:val="00F359E3"/>
    <w:rsid w:val="00F376A5"/>
    <w:rsid w:val="00F5051C"/>
    <w:rsid w:val="00F60431"/>
    <w:rsid w:val="00F721C3"/>
    <w:rsid w:val="00F97B29"/>
    <w:rsid w:val="00FC57F5"/>
    <w:rsid w:val="00FC7BA5"/>
    <w:rsid w:val="00FD3C18"/>
    <w:rsid w:val="00FD5141"/>
    <w:rsid w:val="00FE18CA"/>
    <w:rsid w:val="00FE2F77"/>
    <w:rsid w:val="00FE5AA9"/>
    <w:rsid w:val="00FF0061"/>
    <w:rsid w:val="00FF6905"/>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2D4C"/>
  <w15:chartTrackingRefBased/>
  <w15:docId w15:val="{209064F1-3177-49F8-BAE4-0A4F8AC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4923"/>
  </w:style>
  <w:style w:type="paragraph" w:styleId="Footer">
    <w:name w:val="footer"/>
    <w:basedOn w:val="Normal"/>
    <w:link w:val="FooterChar"/>
    <w:uiPriority w:val="99"/>
    <w:unhideWhenUsed/>
    <w:rsid w:val="003449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4923"/>
  </w:style>
  <w:style w:type="paragraph" w:styleId="ListParagraph">
    <w:name w:val="List Paragraph"/>
    <w:basedOn w:val="Normal"/>
    <w:uiPriority w:val="34"/>
    <w:qFormat/>
    <w:rsid w:val="00355D97"/>
    <w:pPr>
      <w:ind w:left="720"/>
      <w:contextualSpacing/>
    </w:pPr>
  </w:style>
  <w:style w:type="character" w:styleId="CommentReference">
    <w:name w:val="annotation reference"/>
    <w:basedOn w:val="DefaultParagraphFont"/>
    <w:uiPriority w:val="99"/>
    <w:semiHidden/>
    <w:unhideWhenUsed/>
    <w:rsid w:val="00533F9E"/>
    <w:rPr>
      <w:sz w:val="16"/>
      <w:szCs w:val="16"/>
    </w:rPr>
  </w:style>
  <w:style w:type="paragraph" w:styleId="CommentText">
    <w:name w:val="annotation text"/>
    <w:basedOn w:val="Normal"/>
    <w:link w:val="CommentTextChar"/>
    <w:uiPriority w:val="99"/>
    <w:unhideWhenUsed/>
    <w:rsid w:val="00533F9E"/>
    <w:pPr>
      <w:spacing w:line="240" w:lineRule="auto"/>
    </w:pPr>
    <w:rPr>
      <w:sz w:val="20"/>
      <w:szCs w:val="20"/>
    </w:rPr>
  </w:style>
  <w:style w:type="character" w:customStyle="1" w:styleId="CommentTextChar">
    <w:name w:val="Comment Text Char"/>
    <w:basedOn w:val="DefaultParagraphFont"/>
    <w:link w:val="CommentText"/>
    <w:uiPriority w:val="99"/>
    <w:rsid w:val="00533F9E"/>
    <w:rPr>
      <w:sz w:val="20"/>
      <w:szCs w:val="20"/>
    </w:rPr>
  </w:style>
  <w:style w:type="paragraph" w:styleId="CommentSubject">
    <w:name w:val="annotation subject"/>
    <w:basedOn w:val="CommentText"/>
    <w:next w:val="CommentText"/>
    <w:link w:val="CommentSubjectChar"/>
    <w:uiPriority w:val="99"/>
    <w:semiHidden/>
    <w:unhideWhenUsed/>
    <w:rsid w:val="00533F9E"/>
    <w:rPr>
      <w:b/>
      <w:bCs/>
    </w:rPr>
  </w:style>
  <w:style w:type="character" w:customStyle="1" w:styleId="CommentSubjectChar">
    <w:name w:val="Comment Subject Char"/>
    <w:basedOn w:val="CommentTextChar"/>
    <w:link w:val="CommentSubject"/>
    <w:uiPriority w:val="99"/>
    <w:semiHidden/>
    <w:rsid w:val="00533F9E"/>
    <w:rPr>
      <w:b/>
      <w:bCs/>
      <w:sz w:val="20"/>
      <w:szCs w:val="20"/>
    </w:rPr>
  </w:style>
  <w:style w:type="paragraph" w:styleId="BalloonText">
    <w:name w:val="Balloon Text"/>
    <w:basedOn w:val="Normal"/>
    <w:link w:val="BalloonTextChar"/>
    <w:uiPriority w:val="99"/>
    <w:semiHidden/>
    <w:unhideWhenUsed/>
    <w:rsid w:val="0053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E"/>
    <w:rPr>
      <w:rFonts w:ascii="Segoe UI" w:hAnsi="Segoe UI" w:cs="Segoe UI"/>
      <w:sz w:val="18"/>
      <w:szCs w:val="18"/>
    </w:rPr>
  </w:style>
  <w:style w:type="paragraph" w:styleId="Revision">
    <w:name w:val="Revision"/>
    <w:hidden/>
    <w:uiPriority w:val="99"/>
    <w:semiHidden/>
    <w:rsid w:val="00A17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6b16a7-de2f-47cc-9eaa-991bdb9199e1">IPQDOC-224-38341</_dlc_DocId>
    <_dlc_DocIdUrl xmlns="716b16a7-de2f-47cc-9eaa-991bdb9199e1">
      <Url>http://ipq1sapp01:9999/DMET/_layouts/DocIdRedir.aspx?ID=IPQDOC-224-38341</Url>
      <Description>IPQDOC-224-38341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0B068D4DB638D4D83CFEF74C12CB670" ma:contentTypeVersion="4" ma:contentTypeDescription="Create a new document." ma:contentTypeScope="" ma:versionID="29f85d568f2483290e2dfc2f2d882393">
  <xsd:schema xmlns:xsd="http://www.w3.org/2001/XMLSchema" xmlns:xs="http://www.w3.org/2001/XMLSchema" xmlns:p="http://schemas.microsoft.com/office/2006/metadata/properties" xmlns:ns2="716b16a7-de2f-47cc-9eaa-991bdb9199e1" targetNamespace="http://schemas.microsoft.com/office/2006/metadata/properties" ma:root="true" ma:fieldsID="8e9f0b2ccab4fb9ae99fd794bcfb2110" ns2:_="">
    <xsd:import namespace="716b16a7-de2f-47cc-9eaa-991bdb9199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16a7-de2f-47cc-9eaa-991bdb919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54567-45D1-4A3C-88CC-5B9388739A6A}">
  <ds:schemaRefs>
    <ds:schemaRef ds:uri="http://schemas.microsoft.com/office/2006/metadata/properties"/>
    <ds:schemaRef ds:uri="http://schemas.microsoft.com/office/infopath/2007/PartnerControls"/>
    <ds:schemaRef ds:uri="716b16a7-de2f-47cc-9eaa-991bdb9199e1"/>
  </ds:schemaRefs>
</ds:datastoreItem>
</file>

<file path=customXml/itemProps2.xml><?xml version="1.0" encoding="utf-8"?>
<ds:datastoreItem xmlns:ds="http://schemas.openxmlformats.org/officeDocument/2006/customXml" ds:itemID="{3D0F512B-875A-4B06-8BC4-34DF7F15D44F}">
  <ds:schemaRefs>
    <ds:schemaRef ds:uri="http://schemas.microsoft.com/sharepoint/v3/contenttype/forms"/>
  </ds:schemaRefs>
</ds:datastoreItem>
</file>

<file path=customXml/itemProps3.xml><?xml version="1.0" encoding="utf-8"?>
<ds:datastoreItem xmlns:ds="http://schemas.openxmlformats.org/officeDocument/2006/customXml" ds:itemID="{EEE6EA6A-55BD-4596-87D2-826D3BE138BD}">
  <ds:schemaRefs>
    <ds:schemaRef ds:uri="http://schemas.microsoft.com/sharepoint/events"/>
  </ds:schemaRefs>
</ds:datastoreItem>
</file>

<file path=customXml/itemProps4.xml><?xml version="1.0" encoding="utf-8"?>
<ds:datastoreItem xmlns:ds="http://schemas.openxmlformats.org/officeDocument/2006/customXml" ds:itemID="{5F014FB8-1673-4D40-ADD5-EBE5856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16a7-de2f-47cc-9eaa-991bdb91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928</Words>
  <Characters>5294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MCFerreira@ipq.pt</dc:creator>
  <cp:keywords/>
  <dc:description/>
  <cp:lastModifiedBy>Liana Brili</cp:lastModifiedBy>
  <cp:revision>4</cp:revision>
  <dcterms:created xsi:type="dcterms:W3CDTF">2023-04-03T15:23:00Z</dcterms:created>
  <dcterms:modified xsi:type="dcterms:W3CDTF">2023-04-18T13:48:00Z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4600ee9b-d3c1-4d72-9efa-04b38c3a2de3</vt:lpwstr>
  </property>
  <property fmtid="{D5CDD505-2E9C-101B-9397-08002B2CF9AE}" pid="3" name="ContentTypeId">
    <vt:lpwstr>0x01010090B068D4DB638D4D83CFEF74C12CB670</vt:lpwstr>
  </property>
</Properties>
</file>