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POGLAVJE 4:</w:t>
      </w:r>
      <w:r>
        <w:rPr>
          <w:sz w:val="22"/>
        </w:rPr>
        <w:t xml:space="preserve"> </w:t>
      </w:r>
      <w:r>
        <w:rPr>
          <w:sz w:val="22"/>
        </w:rPr>
        <w:t xml:space="preserve">Dostopnost do prevoznih sredstev</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Kadar se taksi storitev ponuja prek telefonskih rezervacij, je treba pri tej storitvi razširiti sredstva za zahtevo z uporabo novih tehnologij, aplikacij, interneta, besedilnih sporočil, faksov ali podobnih sredstev, tako da lahko vsi uporabniki, vključno s tistimi, ki imajo težave s sluhom, samostojno zaprosijo za storitev.</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Kadar za storitev „taksi na zahtevo“ obstaja spletno mesto, mora biti dostopno vsaj na ravni AA iz smernic za dostopnost spletnih vsebin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Za najem taksija, ki je dostopen osebam z zmanjšano mobilnostjo, prek telefona, interneta ali mobilne aplikacije se ne zaračuna dodatek za vnaprejšnje povpraševanje.</w:t>
      </w:r>
      <w:r>
        <w:rPr>
          <w:sz w:val="22"/>
        </w:rPr>
        <w:t xml:space="preserve"> </w:t>
      </w:r>
      <w:r>
        <w:rPr>
          <w:sz w:val="22"/>
        </w:rPr>
        <w:t xml:space="preserve">Kartica ugodnosti za invalide služi kot dokaz, če se zahteva.</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POGLAVJE 5:</w:t>
      </w:r>
      <w:r>
        <w:rPr>
          <w:sz w:val="22"/>
        </w:rPr>
        <w:t xml:space="preserve"> </w:t>
      </w:r>
      <w:r>
        <w:rPr>
          <w:sz w:val="22"/>
        </w:rPr>
        <w:t xml:space="preserve">Dostopnost izdelkov</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Člen 116.</w:t>
      </w:r>
      <w:r>
        <w:rPr>
          <w:sz w:val="22"/>
        </w:rPr>
        <w:tab/>
      </w:r>
      <w:r>
        <w:rPr>
          <w:sz w:val="22"/>
        </w:rPr>
        <w:t xml:space="preserve">Potrošniški izdelki</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Izdelek je dostopen, če izpolnjuje naslednje pogoje:</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ima dostopno oznako, ki ustreza značilnostim izdelka in omogoča njegovo identifikacijo, z imenom in najpomembnejšimi informacijami;</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njegova zasnova sledi univerzalnim merilom oblikovanja, z ustreznimi pogoji uporabe in varnostnimi pogoji za vsakega uporabnika;</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dodatne informacije, navodila ali prospekti so na voljo prek interneta, aplikacij v napravah in z uporabo novih tehnologij, pri čemer dostopna vsebina izpolnjuje pogoje iz odstavkov 25 in 26 Priloge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Podjetja, ki tržijo izdelek, so odgovorna za zagotavljanje izpolnjevanja pogojev dostopnosti, ki veljajo za izdelek.</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Farmacevtski izdelki in nevarni izdelki morajo vključevati podatkovne elemente in sisteme, tako da imajo slepe ali gluho-slepe osebe dostop do naslednjih informacij:</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identifikacije imena izdelka na embalaži z uporabo Braillove pisave in ikonografije;</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datuma izteka roka uporabnosti na embalaži z uporabo Braillove pisave in ikonografije ali drugih alternativnih virov, ki imajo enake lastnosti;</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glavnih značilnosti izdelka, kot sta njegova sestava in hramba, med drugim z glasovnim iskanjem, prek interneta ali na druge načine, ki omogočajo nove tehnologije z enako učinkovitostjo, in sicer na zahtevo združenj slepih in slabovidnih oseb.</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Verige supermarketov in podjetja z živilskimi ali mešanimi obrati morajo na vseh lokacijah, kjer imajo prostore z več kot 250 m² uporabne površine za javno uporabo, na zahtevo slepe osebe ali njenega sorodnika zagotoviti naslednje pogoje:</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v vsaj enem od obratov na lokaciji se izvaja označevanje imen in datumov izteka roka uporabnosti v Braillovi pisavi na pokvarljivih izdelkih ali izdelkih, ki bi lahko povzročili zmedo, s tiskalniki ali sistemi, ki omogočajo tovrstno označevanje v Braillovi pisavi, v samem obratu;</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izdelki, ki se prodajajo prek spleta in dostavijo na dom, so prav tako označeni v Braillovi pisavi, kot je navedeno v zgornji točki;</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pri komercialnem razširjanju, ki se izvaja prek interneta ali na kakšen drug način, se v dostopni obliki zagotovijo informacije o tem, na katerih lokacijah je na voljo možnost označevanja izdelkov v Braillovi pisavi.</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V občinah z več kot 50 000 prebivalci se vsaka soseska šteje za drugo ozemeljsko območje in je za namene uporabe prejšnjega odstavka izenačena z lokacijo.</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Uprava generalitata mora postopoma razviti tehnična navodila, ki vključujejo nove tehnološke dosežke, ter določiti specifikacije, roke, značilnosti in merila za dostopno označevanje ter univerzalne smernice za oblikovanje, ki se uporabljajo za izdelke v različnih komercialnih sektorjih.</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Slepi ali slabovidni potrošniki in gluho-slepi imajo pravico do dostopa do enakih informacij o izdelku, kot ga imajo vsi potrošniki in uporabniki pri označevanju, in sicer neodvisno, običajno, enostavno, takoj in pod enakimi pogoji.</w:t>
      </w:r>
      <w:r>
        <w:rPr>
          <w:sz w:val="22"/>
        </w:rPr>
        <w:t xml:space="preserve"> </w:t>
      </w:r>
      <w:r>
        <w:rPr>
          <w:sz w:val="22"/>
        </w:rPr>
        <w:t xml:space="preserve">V ta namen mora biti dostopno označevanje v skladu z naslednjimi pogoji:</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zagotoviti je treba čim več informacij in poskrbeti, da imajo invalidni potrošniki enake pogoje kot drugi potrošniki;</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omogočati mora neodvisno, hitro, priročno, neposredno in standardizirano pridobivanje informacij, brez veliko tehničnega znanja ali uporabe tehnoloških sredstev;</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invalidni potrošniki zaradi tega ne smejo imeti nobenih dodatnih stroškov;</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ni nujno, da je to nedosegljiv strošek za podjetja;</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zavezana podjetja, ki ponujajo elektronske prodajne storitve, morajo na ustreznem spletnem mestu vključiti možnost, da se izdelki, kupljeni na ta način, dostavijo z dostopnim označevanjem.</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Arbitražni sistem za potrošnike ter njegovi postopki in procesi morajo biti dostopni invalidom.</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Javni in zasebni uradi za potrošniške storitve morajo sprejeti ukrepe za olajšanje dostopnosti sporazumevanja za gluhe osebe, ki se sporazumevajo v znakovnem jeziku in ustno, z zadostno podporo.</w:t>
      </w:r>
      <w:r>
        <w:rPr>
          <w:sz w:val="22"/>
        </w:rPr>
        <w:t xml:space="preserve"> </w:t>
      </w:r>
      <w:r>
        <w:rPr>
          <w:sz w:val="22"/>
        </w:rPr>
        <w:t xml:space="preserve">Poleg tega je treba v največ treh letih od začetka veljavnosti tega kodeksa v 20 % pisarn za javne storitve namestiti indukcijsko zanko, osebje pa mora biti pripravljeno, da informacije zagotovi osebam s kakršno koli obliko invalidnosti.</w:t>
      </w:r>
    </w:p>
    <w:p w14:paraId="178D066A" w14:textId="77777777" w:rsidR="00CC0ADF" w:rsidRDefault="00CC0ADF">
      <w:pPr>
        <w:rPr>
          <w:lang w:val="es-ES"/>
        </w:rPr>
      </w:pPr>
    </w:p>
    <w:p w14:paraId="3EF53236" w14:textId="476D7F11" w:rsidR="00E526B5" w:rsidRDefault="00B670F2">
      <w:r>
        <w:rPr>
          <w:sz w:val="22"/>
        </w:rPr>
        <w:t xml:space="preserve">POGLAVJE 6:</w:t>
      </w:r>
      <w:r>
        <w:rPr>
          <w:sz w:val="22"/>
        </w:rPr>
        <w:t xml:space="preserve"> </w:t>
      </w:r>
      <w:r>
        <w:rPr>
          <w:sz w:val="22"/>
        </w:rPr>
        <w:t xml:space="preserve">Dostopnost storitev</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Javne službe, katerih spletna mesta so odprta za javnost, morajo zagotoviti informacije o dostopnosti teh storitev ter o njihovih odvisnostih, zmogljivostih in postopkih.</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Spletna mesta, aplikacije za mobilne naprave ter drugi izdelki in storitve informacijske in komunikacijske tehnologije, ki jih ponujajo javne službe, morajo izpolnjevati pogoje iz Priloge 5a k temu kodeksu in standarda UNE-EN 301549:2022 ali standarda, ki ga nadomešča, v skladu z Direktivo (EU) 2016/2102 Evropskega parlamenta in Sveta ter prenosom s Kraljevim odlokom 112/2018 z dne 7. septembra 2018 o dostopnosti spletnih mest in aplikacij za mobilne naprave v javnem sektorju, brez poseganja v ureditev te zadeve s stani pristojnega organa v Kataloniji.</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Spletne strani in mobilne aplikacije verig supermarketov in živilskih ali mešanih obratov, ki imajo več kot 500 m² uporabne površine za javno rabo, prek katerih je možno spletno nakupovati in prejemati izdelke z dostavo na dom, morajo biti dostopne v skladu s pogoji iz odstavkov 25 in 26 Priloge 5a ter dosegati vsaj raven skladnosti „dvojni A“ (AA) dostopnosti v skladu s smernicami WCAG 2.1, in sicer v naslednjih primerih:</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ko gre za novo ustvarjene strani ali aplikacije;</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ko se obstoječe strani ali aplikacije spremenijo;</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kadar so roki iz odstavka 4 Priloge 6b izpolnjeni s prilagoditvijo obstoječih strani in aplikacij.</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Spletne strani in aplikacije za mobilne naprave, ki omogočajo bančništvo, sklepanje pogodb ali kakršno koli drugo vrsto upravljanja ali svetovanja v zvezi z izdelki, za katere se pogodba sklene v fizični pisarni, morajo biti dostopne v skladu s pogoji iz odstavkov 25 in 26 Priloge 5a ter dosegati vsaj raven skladnosti „dvojni A“ (AA) dostopnosti v skladu s smernicami WCAG 2.1, in sicer v naslednjih primerih:</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ko gre za novo ustvarjene strani ali aplikacije;</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ko se obstoječe strani ali aplikacije spremenijo;</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kadar so roki iz odstavka 5 Priloge 6b izpolnjeni s prilagoditvijo obstoječih strani in aplikacij.</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Spletne strani in mobilne aplikacije hotelskih verig in obratov z zmogljivostjo več kot 100 mest, ki omogočajo najemanje nastanitev in spletne storitve, morajo biti dostopne v skladu s pogoji iz odstavkov 25 in 26 Priloge 5a ter dosegati vsaj raven skladnosti „dvojni A“ (AA) dostopnosti v skladu s smernicami WCAG 2.1, in sicer v naslednjih primerih:</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ko gre za novo ustvarjene strani ali aplikacije;</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ko se obstoječe strani ali aplikacije spremenijo;</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ko so izpolnjeni roki iz odstavka 7 Priloge 6b za prilagoditev obstoječih strani in aplikacij.</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Spletne strani in mobilne aplikacije obratov ali skupin obratov morajo biti dostopne v skladu s pogoji iz odstavkov 25 in 26 Priloge 5a;</w:t>
      </w:r>
      <w:r>
        <w:rPr>
          <w:sz w:val="22"/>
        </w:rPr>
        <w:t xml:space="preserve"> </w:t>
      </w:r>
      <w:r>
        <w:rPr>
          <w:sz w:val="22"/>
        </w:rPr>
        <w:t xml:space="preserve">pri tem morajo dosegati vsaj raven skladnosti „dvojni A“ (AA) dostopnosti v skladu s smernicami WCAG 2.1 ter zagotavljati informacije, navedene v prejšnjih odstavkih, in sicer v naslednjih primerih:</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ko gre za novo ustvarjene strani ali aplikacije;</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ko se obstoječe strani ali aplikacije spremenijo;</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ko so izpolnjeni roki iz odstavka 3 Priloge 6b za prilagoditev obstoječih strani in aplikacij.</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Spletne strani in mobilne aplikacije športnih ustanov in klubov, ki ponujajo prodajo vstopnic za prireditve na svojem prizorišču, morajo biti dostopne in zagotavljati potrebne informacije pod enakimi pogoji, kot so določeni v členu 133 za storitve, povezane z uprizoritvenimi umetnostmi.</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Spletne strani in mobilne aplikacije izobraževalnih ustanov, ki zagotavljajo formalno izobraževanje, morajo biti dostopne v skladu s pogoji iz odstavkov 25 in 26 Priloge 5a ter dosegati vsaj raven skladnosti „dvojni A“ (AA) dostopnosti v skladu s smernicami WCAG 2.1, in sicer v naslednjih primerih:</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ko gre za novo ustvarjene strani ali aplikacije;</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ko se obstoječe strani ali aplikacije spremenijo;</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kadar so roki iz odstavka 8 Priloge 6b izpolnjeni s prilagoditvijo obstoječih strani in aplikacij.</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Člen 138.</w:t>
      </w:r>
      <w:r>
        <w:rPr>
          <w:sz w:val="22"/>
        </w:rPr>
        <w:tab/>
      </w:r>
      <w:r>
        <w:rPr>
          <w:sz w:val="22"/>
        </w:rPr>
        <w:t xml:space="preserve">Bistvene storitve, storitve splošnega pomena ali javno financirane storitve</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Spletna mesta katalonskega javnega sektorja in družb javnega prava ter vsa spletna mesta, ki jih financira javna uprava, in spletna mesta subjektov ali podjetij, ki opravljajo javne storitve s koncesijo ali na pogodbeni podlagi z javno upravo, morajo izpolnjevati zahteve iz odstavka 25 Priloge 5a in dosegati raven skladnosti „dvojni A“ (AA) dostopnosti v skladu s smernicami WCAG 2.1, brez poseganja v ureditev te zadeve s stani pristojnega organa v Kataloniji v skladu s Kraljevim odlokom 1112/2018 z dne 7. septembra 2018 o dostopnosti spletnih mest in aplikacij za mobilne naprave v javnem sektorju.</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Spletna mesta zasebnih subjektov, ki zagotavljajo bistvene storitve ali storitve splošnega pomena, vključno z električno energijo, vodo ali plinom in telekomunikacijami, ter zdravstvene, poštne in bančne storitve, morajo prav tako izpolnjevati zahteve iz odstavka 25 Priloge 5a in dosegati raven skladnosti „dvojni A“ (AA) dostopnosti v skladu s smernicami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Aplikacije za mobilne naprave javnega sektorja in subjektov iz zgornjih odstavkov 138.1 in 138.2 morajo biti v skladu z zahtevami glede dostopnosti iz odstavka 26 Priloge 5a, brez poseganja v ureditev te zadeve s stani pristojnega organa v Kataloniji.</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Zahteve glede dostopnosti spletnih mest in mobilnih aplikacij iz tega člena se uporabljajo, če ne nalagajo nesorazmernega bremena subjektu, ki jih mora uporabljati, v skladu z naslednjimi okoliščinami:</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razsežnosti, viri in narava posameznega subjekta;</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stroški in koristi subjekta ter ocenjene koristi za uporabnike, ob upoštevanju pogostosti in trajanja uporabe tega spletnega mesta ali aplikacije;</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diskriminatorni učinki za invalide, če spletno mesto ali aplikacija ni dostopna v primeru, da na trgu obstajajo alternativna spletna mesta ali aplikacije, ki ponujajo enake funkcije in pogoje.</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Javni sektor ali subjekt, ki uporablja izjemo iz zgornjega odstavka 138.4, mora v izjavi o dostopnosti spletnega mesta ali aplikacije pojasniti, katere zahteve glede dostopnosti ni bilo možno izpolniti, in v okviru možnosti ponuditi dostopne alternative.</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Spletna mesta in mobilne aplikacije morajo pred končnimi roki iz odstavka 2 Priloge 6b izpolnjevati pogoje glede dostopnosti iz prejšnjih odstavkov.</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Ponudniki storitev in proizvajalci, ki katalonskemu javnemu sektorju in subjektom iz odstavka 138.1 dobavljajo informacijsko in programsko opremo, morajo vključiti dodatne elemente in funkcije za dostopnost, ki so potrebni, da se invalidom omogoči dostop do digitalnih vsebin.</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Javna in zasebna televizijska omrežja v Kataloniji morajo pripraviti načrte za dostopnost vsebin, da bi njihovi programi postopno postali dostopni osebam s senzorično in intelektualno oviranostjo.</w:t>
      </w:r>
      <w:r>
        <w:rPr>
          <w:sz w:val="22"/>
        </w:rPr>
        <w:t xml:space="preserve"> </w:t>
      </w:r>
      <w:r>
        <w:rPr>
          <w:sz w:val="22"/>
        </w:rPr>
        <w:t xml:space="preserve">Ti načrti morajo omogočati, da se v največ treh letih od začetka veljavnosti tega kodeksa dosežejo naslednji cilji:</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javna televizijska omrežja:</w:t>
      </w:r>
      <w:r>
        <w:rPr>
          <w:sz w:val="22"/>
        </w:rPr>
        <w:t xml:space="preserve"> </w:t>
      </w:r>
      <w:r>
        <w:rPr>
          <w:sz w:val="22"/>
        </w:rPr>
        <w:t xml:space="preserve">100 % programov mora biti podnaslovljenih, zagotoviti pa morajo najmanj 15 tedenskih ur vsebine z zvočnim opisom in 10 tedenskih ur v katalonskem znakovnem jeziku;</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zasebna televizijska omrežja:</w:t>
      </w:r>
      <w:r>
        <w:rPr>
          <w:sz w:val="22"/>
        </w:rPr>
        <w:t xml:space="preserve"> </w:t>
      </w:r>
      <w:r>
        <w:rPr>
          <w:sz w:val="22"/>
        </w:rPr>
        <w:t xml:space="preserve">75 % programov mora biti podnaslovljenih, zagotoviti pa morajo najmanj 10 tedenskih ur vsebine z zvočnim opisom in 7 tedenskih ur v katalonskem znakovnem jeziku.</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Programi v katalonskem znakovnem jeziku morajo vključevati informativne in otroške programe, ki so na voljo v ponudbi ogleda z zamikom, ko je ta storitev na voljo.</w:t>
      </w:r>
      <w:r>
        <w:rPr>
          <w:sz w:val="22"/>
        </w:rPr>
        <w:t xml:space="preserve"> </w:t>
      </w:r>
      <w:r>
        <w:rPr>
          <w:sz w:val="22"/>
        </w:rPr>
        <w:t xml:space="preserve">Ti programi morajo biti na voljo vsak dan v tednu.</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Podjetja, ki distribuirajo kinematografska in avdiovizualna dela, morajo vključiti sisteme za podnaslavljanje, zvočno opisovanje in zvočno navigacijo, po možnosti v tujih in domačih filmih, ki so komercialno uspešnejši ali so prejeli nacionalne ali mednarodne nagrade, da jih lahko dajo na voljo prek podpornih DVD-jev ali podobnih sistemov s temi funkcijami.</w:t>
      </w:r>
    </w:p>
    <w:p w14:paraId="0F3986EB" w14:textId="77777777" w:rsidR="003920DF" w:rsidRDefault="003920DF">
      <w:pPr>
        <w:rPr>
          <w:lang w:val="es-ES"/>
        </w:rPr>
      </w:pPr>
    </w:p>
    <w:p w14:paraId="44244122" w14:textId="3BAB5CCF" w:rsidR="00E526B5" w:rsidRDefault="00B670F2">
      <w:r>
        <w:rPr>
          <w:sz w:val="22"/>
        </w:rPr>
        <w:t xml:space="preserve">POGLAVJE 11:</w:t>
      </w:r>
      <w:r>
        <w:rPr>
          <w:sz w:val="22"/>
        </w:rPr>
        <w:t xml:space="preserve"> </w:t>
      </w:r>
      <w:r>
        <w:rPr>
          <w:sz w:val="22"/>
        </w:rPr>
        <w:t xml:space="preserve">Oznaka kakovosti dostopnosti</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Javno posvetovanje glede obratov, stavb in javnih subjektov z oznako kakovosti mora biti omogočeno vsaj prek interneta, brez poseganja v druga sredstva, ki se lahko štejejo za ustrezna.</w:t>
      </w:r>
    </w:p>
    <w:p w14:paraId="6CBE5DDA" w14:textId="77777777" w:rsidR="00E526B5" w:rsidRDefault="00E526B5">
      <w:pPr>
        <w:rPr>
          <w:lang w:val="es-ES"/>
        </w:rPr>
      </w:pPr>
    </w:p>
    <w:p w14:paraId="3BFAD248" w14:textId="66A7955A" w:rsidR="00E526B5" w:rsidRDefault="00CF1E0D">
      <w:r>
        <w:rPr>
          <w:sz w:val="22"/>
        </w:rPr>
        <w:t xml:space="preserve">Priloga 5a:</w:t>
      </w:r>
      <w:r>
        <w:rPr>
          <w:sz w:val="22"/>
        </w:rPr>
        <w:t xml:space="preserve"> </w:t>
      </w:r>
      <w:r>
        <w:rPr>
          <w:sz w:val="22"/>
        </w:rPr>
        <w:t xml:space="preserve">Standardi dostopnosti izdelkov</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Dostopna spletna mesta</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Smernice, ki jih je treba upoštevati pri snovanju in oblikovanju spletnega mesta, ter pogoji za njegovo dostopnost so naslednji:</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konfigurirajte vsebino tako, da jo je mogoče prilagoditi različni programski opremi, napravam in podpornim izdelkom, ne da bi pri tem izgubili informacije ali strukturo;</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zagotovite besedilne alternative ali opisno identifikacijo za nebesedilne vsebine (slike, grafike, večpredstavnostne vsebine);</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vključite podnapise in zvočni opis za večpredstavnostne vsebine, kadar je to potrebno za pravilno razumevanje sporočila;</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zagotovite mehanizme, ki omogočajo utišanje in regulacijo glasnosti zvoka;</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ne uporabljajte barve kot edinega sredstva za posredovanje informacij, označevanje dejanja ali razločevanje elementa;</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besedilo in slike morajo imeti zadosten kontrast glede na ozadje in velikost, ki omogoča udobno branje;</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velikost besedila mora biti mogoče prilagoditi s same strani brez pomoči podpornih izdelkov in brez izgube vsebine ali funkcionalnosti;</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zagotovite dostop s tipkovnico do vseh funkcij strani z rešitvijo, ki ni v nasprotju z bralniki zaslona in povečevalniki;</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uporabniku omogočite, da nadzoruje informacije ali predmete, ki se samodejno premikajo ali posodabljajo, tako da jih lahko ustavi, skrije ali nadzoruje pogostost;</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olajšajte navigacijo s strukturiranjem vsebine v smiselni vrstni red in zagotavljanjem jasnih navigacijskih mehanizmov;</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vključite informacije s smernicami, ki bodo uporabnikom pomagale razumeti zapletene elemente, in zagotovite mehanizme za odkrivanje in preprečevanje napak pri vnosu podatkov s strani uporabnikov;</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določite jezik, ki se uporablja v vsakem odstavku ali dokumentu spletnega mesta, tako da lahko bralniki zaslona in sintetizatorji glasu samodejno zaznajo in spremenijo jezik;</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uporabljajte jasen in razumljiv jezik, da bo vsebina lahko razumljiva, in vključite definicijo najbolj nenavadnih besed ter pomen akronimov in okrajšav;</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povečajte združljivost z aplikacijami, programsko opremo in napravami, ki bi jih lahko imeli uporabniki, vključno s podpornimi izdelki;</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zagotovite, da so dokumenti, objavljeni na spletu, dostopni in berljivi tudi za bralnike zaslona;</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zagotovite dostopne komunikacijske kanale, ki so alternativa telefonu, prek e-pošte, SMS-ov ali obrazcev, s časom uporabe, ki ni diskriminatoren glede na telefonski klic;</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izpolnite merila v skladu s smernicami WCAG 2.1 na eni od ravni, in pogoji, določenimi v standardu UNE 139803:2012 ali standardu, ki ga nadomešča, razen v primerih, v katerih ta kodeks zahteva višjo raven.</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Dostopne aplikacije</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Aplikacije, dostopne z mobilnimi napravami, morajo izpolnjevati pogoje, določene v standardu UNE 139803:2012 ali standardu, ki ga nadomešča, in upoštevati naslednja splošna merila:</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vsa sporočila, sistemi pomoči in besedila morajo biti napisani v jasnem in preprostem jeziku;</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besedilo mora biti razumljivo, z velikostjo in pisavo, ki olajšata branje;</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barvni kontrast elementov z ozadjem mora biti zadosten;</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kontrolniki, predmeti, ikone in slike morajo biti prepoznavni in enostavni za uporabo ter imeti povezano alternativno besedilo, ki označuje njihovo funkcijo ali pomen;</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opozorilni zvoki morajo imeti vizualne ali vibracijske alternative;</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postopek dostopa do storitve mora biti nemoten in hiter;</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aplikacija mora biti združljiva s podpornimi izdelki, kot so bralniki zaslona, povečevalniki in glasovni ukazi;</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aplikacija mora biti združljiva z orodji za dostopnost operacijskega sistema.</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Priloga 6b:</w:t>
      </w:r>
      <w:r>
        <w:rPr>
          <w:sz w:val="22"/>
        </w:rPr>
        <w:t xml:space="preserve"> </w:t>
      </w:r>
      <w:r>
        <w:rPr>
          <w:sz w:val="22"/>
        </w:rPr>
        <w:t xml:space="preserve">Roki za prilagoditev obstoječih storitev določenim pogojem</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Združljivost z drugimi zahtevanimi pogoji</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Pogoji iz te Priloge 6b ne posegajo v obveznost glede skladnosti pred navedenimi roki za zahtevane pogoje glede dostopnosti v primeru spremembe obstoječih elementov ali virov.</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Katalonski javni sektor, družbe javnega prava in subjekti, ki so ponudniki javnih storitev</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Za dostopnost in skladnost spletnih strani in aplikacij za mobilne naprave katalonskega javnega sektorja, družb javnega prava in subjektov ali podjetij, ki opravljajo javne storitve s koncesijo ali na pogodbeni podlagi z javno upravo, s pogoji iz člena 138 so določeni naslednji končni roki:</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eno leto od začetka veljavnosti tega kodeksa:</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spletna mesta katalonskega javnega sektorja in družb javnega prava;</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dve leti od začetka veljavnosti tega kodeksa:</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aplikacije za mobilne naprave v katalonskem javnem sektorju in družbah javnega prava;</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tri leta od začetka veljavnosti tega kodeksa:</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spletna mesta in aplikacije za mobilne naprave subjektov ali podjetij, ki opravljajo javne storitve s koncesijo ali na pogodbeni podlagi z javno upravo.</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Navedeni roki se določijo brez poseganja v skladnost najzahtevnejših rokov, ki so potrebni zaradi značilnosti storitve, v skladu s preostalimi odstavki te priloge ali drugimi predpisi, ki to urejajo.</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Storitve, povezane z uprizoritveno umetnostjo, kinematografijo in športnimi dogodki</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Za dostopnost in skladnost spletnih strani in kanalov za elektronsko prodajo vstopnic ustanove s pogoji iz člena 133 so določeni naslednji končni roki:</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dve leti od začetka veljavnosti tega kodeksa:</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spletna mesta in aplikacije za mobilne naprave ustanov z zmogljivostjo 2 000 sedežev ali več na celotnem območju,</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spletna mesta in aplikacije za mobilne naprave spletnih platform za izdajanje vstopnic, ki upravljajo več kot eno ustanovo s skupno zmogljivostjo 2 000 sedežev ali več;</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tri leta od začetka veljavnosti tega kodeksa:</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spletna mesta in aplikacije za mobilne naprave spletnih platform za izdajanje vstopnic, ki upravljajo več kot eno ustanovo s skupno zmogljivostjo manj kot 2 000 sedežev;</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štiri leta od začetka veljavnosti tega kodeksa:</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spletna mesta in aplikacije za mobilne naprave ustanov z zmogljivostjo manj kot 2 000 sedežev na celotnem območju.</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Komercialne storitve</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Za dostopnost in skladnost spletnih strani in aplikacij za mobilne naprave, ki ponujajo možnost spletnega nakupovanja, ter spletnih strani in aplikacij za mobilne naprave verig supermarketov ter podjetij z živilskimi ali mešanimi obrati s pogoji iz člena 126 so določeni naslednji končni roki:</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dve leti od začetka veljavnosti tega kodeksa:</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spletna mesta in aplikacije za mobilne naprave verig supermarketov, ki imajo 10 ali več obratov in prostorov z več kot 500 m² uporabne površine za javno uporabo;</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tri leta od začetka veljavnosti tega kodeksa:</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spletna mesta in aplikacije za mobilne naprave verig supermarketov, ki imajo 5 do 9 obratov in prostorov z več kot 500 m² uporabne površine za javno uporabo;</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štiri leta od začetka veljavnosti tega kodeksa:</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spletna mesta in aplikacije za mobilne naprave verig supermarketov in živilskih ali mešanih obratov, ki imajo prostore z več kot 500 m² uporabne površine za javno uporabo.</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Finančne in zavarovalniške storitve</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Za dostopnost in skladnost spletnih strani in aplikacij za mobilne naprave, ki omogočajo izvajanje bančnih poslov, sklepanje pogodb, posvetovanje z zdravstvenimi odbori ali katero koli drugo vrsto upravljanja ali posvetovanja v zvezi z izdelki, za katere je bila sklenjena pogodba s subjektom, s pogoji iz člena 127 so določeni naslednji končni roki:</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eno leto od začetka veljavnosti tega kodeksa:</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spletna mesta;</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dve leti od začetka veljavnosti tega kodeksa:</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aplikacije za mobilne naprave.</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Storitve, povezane z zasebnim prevozom</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Za skladnost podjetij, ki ponujajo storitev najema avtomobilov brez voznika in katerih vozni park ima več kot 100 vozil, in podjetij, ki ponujajo storitev najema avtomobilov z voznikom in katerih vozni park ima več kot 50 vozil, s pogoji iz člena 128 so določeni naslednji končni roki:</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eno leto od začetka veljavnosti tega kodeksa:</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imeti morajo vozila, ki lahko prevažajo nevoznike na invalidskih vozičkih, obsegati pa morajo 1 % ali več voznega parka, ki ga upravljajo,</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imeti morajo prilagojena vozila za voznike z zmanjšano mobilnostjo, obsegati pa morajo 0,5 % ali več voznega parka, ki ga upravljajo,</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zaloga vozil, navedena v prejšnjih točkah, se lahko zagotovi z lastnimi vozili ali sporazumi z drugimi ponudniki, ki zagotavljajo zadostno razpoložljivost;</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tri leta od začetka veljavnosti tega kodeksa:</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vsaj 0,5 % vozil v njihovem voznem parku mora imeti zmogljivost za prevoz nevoznikov na invalidskih vozičkih;</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šest let od začetka veljavnosti tega kodeksa:</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vsaj 2 % vozil v njihovem voznem parku mora imeti zmogljivost za prevoz nevoznikov na invalidskih vozičkih;</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vsaj 0,5 % vozil v njihovem voznem parku mora biti prilagojenih voznikom z zmanjšano mobilnostjo.</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Storitve, povezane s turističnimi nastanitvami</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Za dostopnost in skladnost spletnih strani in aplikacij za mobilne naprave hotelskih verig in obratov z zmogljivostjo več kot 100 sob, ki omogočajo rezervacijo nastanitve in spletne storitve, s pogoji iz člena 130 so določeni naslednji končni roki:</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dve leti od začetka veljavnosti tega kodeksa:</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spletna mesta in aplikacije za mobilne naprave hotelskih verig, ki imajo 5 ali več obratov in skupno na voljo več kot 500 sob;</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tri leta od začetka veljavnosti tega kodeksa:</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spletna mesta in aplikacije za mobilne naprave hotelskih verig, ki imajo do 4 obrate in skupno na voljo več kot 500 sob,</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spletna mesta in aplikacije za mobilne naprave obratov s 500 sobami ali več;</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štiri leta od začetka veljavnosti tega kodeksa:</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spletna mesta in aplikacije za mobilne naprave hotelskih verig, ki imajo skupno na voljo 100 do 500 sob,</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spletna mesta in aplikacije za mobilne naprave obratov, ki imajo od 50 do 500 sob.</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Izobraževalne storitve</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Za dostopnost in skladnost spletnih strani in aplikacij za mobilne naprave izobraževalnih ustanov, ki izvajajo formalno izobraževanje, s pogoji iz člena 135 so določeni naslednji končni roki:</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dve leti od začetka veljavnosti tega kodeksa:</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spletna mesta in aplikacije za mobilne naprave, ki omogočajo vpogled v akademske evidence, upravljanje računov ali druge spletne procese;</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tri leta od začetka veljavnosti tega kodeksa:</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spletna mesta in aplikacije za mobilne naprave, ki zagotavljajo informacije o šoli, objektih in izobraževalnih ponudbah.</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Zdravstvene storitve</w:t>
      </w:r>
    </w:p>
    <w:p w14:paraId="62E28D59" w14:textId="77777777" w:rsidR="00E526B5" w:rsidRPr="000F0A63" w:rsidRDefault="00E526B5" w:rsidP="00E526B5">
      <w:pPr>
        <w:tabs>
          <w:tab w:val="left" w:pos="284"/>
        </w:tabs>
        <w:jc w:val="both"/>
        <w:rPr>
          <w:bCs/>
          <w:sz w:val="22"/>
          <w:szCs w:val="22"/>
          <w:rFonts w:cs="Arial"/>
        </w:rPr>
      </w:pPr>
      <w:r>
        <w:rPr>
          <w:sz w:val="22"/>
        </w:rPr>
        <w:t xml:space="preserve">Zdravstvene ustanove, ki imajo 50 postelj ali več, morajo upoštevati naslednje roke in pogoje:</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tri leta od začetka veljavnosti tega kodeksa:</w:t>
      </w:r>
    </w:p>
    <w:p w14:paraId="727C4E74" w14:textId="77777777" w:rsidR="00E526B5" w:rsidRPr="000F0A63" w:rsidRDefault="00E526B5" w:rsidP="00E526B5">
      <w:pPr>
        <w:tabs>
          <w:tab w:val="left" w:pos="284"/>
        </w:tabs>
        <w:jc w:val="both"/>
        <w:rPr>
          <w:sz w:val="22"/>
          <w:szCs w:val="22"/>
          <w:rFonts w:cs="Arial"/>
        </w:rPr>
      </w:pPr>
      <w:r>
        <w:rPr>
          <w:sz w:val="22"/>
        </w:rPr>
        <w:t xml:space="preserve">imeti morajo infrastrukturo, mobilne naprave in protokole, s katerimi lahko gluhe osebe oskrbijo v katalonskem znakovnem jeziku s tehnologijo za tolmačenje na daljavo, z zmogljivostjo najmanj 2 % postelj.</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