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Ν Ο Μ Ο Σ</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ΓΙΑ ΤΗΝ ΤΡΟΠΟΠΟΙΗΣΗ ΤΟΥ ΝΟΜΟΥ ΣΧΕΤΙΚΑ ΜΕ ΤΟΝ ΠΕΡΙΟΡΙΣΜΟ ΤΗΣ ΧΡΗΣΗΣ ΚΑΠΝΟΥ ΚΑΙ ΣΥΝΑΦΩΝ ΠΡΟΪΟΝΤΩΝ</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1 του νόμου για τους περιορισμούς της χρήσης καπνού και συναφών προϊόντων (Επίσημη Εφημερίδα της Δημοκρατίας της Σλοβενίας, αριθ. 9/17 και 29/17), η φράση «</w:t>
      </w:r>
      <w:hyperlink r:id="rId4" w:tgtFrame="_blank" w:tooltip="to EUR-Lex" w:history="1">
        <w:r>
          <w:rPr>
            <w:rFonts w:ascii="Arial" w:hAnsi="Arial"/>
            <w:color w:val="0000EE"/>
            <w:sz w:val="21"/>
            <w:u w:val="single" w:color="0000EE"/>
          </w:rPr>
          <w:t>κατ’ εξουσιοδότηση οδηγία 2014/109/ΕΕ της Επιτροπής</w:t>
        </w:r>
      </w:hyperlink>
      <w:r>
        <w:rPr>
          <w:rFonts w:ascii="Arial" w:hAnsi="Arial"/>
          <w:sz w:val="21"/>
        </w:rPr>
        <w:t>, της 10ης Οκτωβρίου 2014, για την τροποποίηση</w:t>
      </w:r>
      <w:r>
        <w:t xml:space="preserve"> </w:t>
      </w:r>
      <w:hyperlink r:id="rId5" w:tgtFrame="_blank" w:tooltip="to EUR-Lex" w:history="1">
        <w:r>
          <w:rPr>
            <w:rFonts w:ascii="Arial" w:hAnsi="Arial"/>
            <w:color w:val="0000EE"/>
            <w:sz w:val="21"/>
            <w:u w:val="single" w:color="0000EE"/>
          </w:rPr>
          <w:t>του παραρτήματος II της οδηγίας 2014/40/ΕΕ</w:t>
        </w:r>
      </w:hyperlink>
      <w:r>
        <w:rPr>
          <w:rFonts w:ascii="Arial" w:hAnsi="Arial"/>
          <w:sz w:val="21"/>
        </w:rPr>
        <w:t xml:space="preserve">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(ΕΕ L 360 της 17. 12. 2014, σ. 22)» αντικαθίσταται από τη φράση «</w:t>
      </w:r>
      <w:hyperlink r:id="rId6" w:tgtFrame="_blank" w:tooltip="to EUR-Lex" w:history="1">
        <w:r>
          <w:rPr>
            <w:rFonts w:ascii="Arial" w:hAnsi="Arial"/>
            <w:color w:val="0000EE"/>
            <w:sz w:val="21"/>
            <w:u w:val="single" w:color="0000EE"/>
          </w:rPr>
          <w:t>κατ’ εξουσιοδότηση οδηγία (ΕΕ) 2022/2100 της Επιτροπής</w:t>
        </w:r>
      </w:hyperlink>
      <w:r>
        <w:rPr>
          <w:rFonts w:ascii="Arial" w:hAnsi="Arial"/>
          <w:sz w:val="21"/>
        </w:rPr>
        <w:t xml:space="preserve"> της 29ης Ιουνίου 2022 για την τροποποίηση</w:t>
      </w:r>
      <w:hyperlink r:id="rId7" w:tgtFrame="_blank" w:tooltip="to EUR-Lex" w:history="1">
        <w:r>
          <w:rPr>
            <w:rFonts w:ascii="Arial" w:hAnsi="Arial"/>
            <w:color w:val="0000EE"/>
            <w:sz w:val="21"/>
            <w:u w:val="single" w:color="0000EE"/>
          </w:rPr>
          <w:t xml:space="preserve"> της οδηγίας 2014/40/ΕΕ</w:t>
        </w:r>
      </w:hyperlink>
      <w:r>
        <w:rPr>
          <w:rFonts w:ascii="Arial" w:hAnsi="Arial"/>
          <w:sz w:val="21"/>
        </w:rPr>
        <w:t xml:space="preserve"> του Ευρωπαϊκού Κοινοβουλίου και του Συμβουλίου σχετικά με την απόσυρση ορισμένων εξαιρέσεων όσον αφορά τα θερμαινόμενα προϊόντα καπνού (ΕΕ L 283 της 3. 11. 2022, σ.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3, το σημείο 12 τροποποιείται ως εξής:</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Ένα ηλεκτρονικό τσιγάρο είναι ένα προϊόν που μπορεί να χρησιμοποιηθεί για την εισπνοή ατμών που περιέχουν νικοτίνη μέσω ενός επιστομίου ή οποιουδήποτε συστατικού μέρους του προϊόντος αυτού, συμπεριλαμβανομένου φυσιγγίου, δοχείου και συσκευής χωρίς φυσίγγιο ή δοχείο. Τα ηλεκτρονικά τσιγάρα μπορούν να είναι μίας χρήσης μετά τη χρήση ή επαναπληρώσιμα με περιέκτη και δοχείο επαναπλήρωσης ή μπορούν να ξαναγεμίζουν με φυσίγγιο μίας χρήσης.». Ένα ηλεκτρονικό τσιγάρο θεωρείται επίσης ηλεκτρονικό τσιγάρο εάν επαναπληρώνεται με τη χρήση περιέκτη και δοχείου επαναπλήρωσης χωρίς νικοτίνη ή περιέκτη επαναπλήρωσης μίας χρήσης χωρίς νικοτίνη για εισπνοή ατμών χωρίς νικοτίνη.».</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το σημείο 12 προστίθεται νέο σημείο 12.α, το οποίο διατυπώνεται ως εξής:</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«12.α Ηλεκτρονικό τσιγάρο χωρίς νικοτίνη είναι ένα προϊόν μίας χρήσης που αποτελείται από ένα δοχείο με υγρό χωρίς νικοτίνη και χρησιμοποιείται για την εισπνοή ατμών που δεν περιέχουν νικοτίνη μέσω του επιστομίου ή οποιουδήποτε συστατικού μέρους του εν λόγω προϊόντος.».</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Το σημείο 17 διαγράφεται.</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το σημείο 19 προστίθεται νέο σημείο 19.α, το οποίο διατυπώνεται ως εξής:</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«19.α. Ένα νέο προϊόν νικοτίνης είναι ένα προϊόν που δεν ανήκει σε καμία από τις ακόλουθες κατηγορίες προϊόντων που περιέχουν νικοτίνη αλλά δεν περιέχουν καπνό: ηλεκτρονικά τσιγάρα, περιέκτες επαναπλήρωσης και καταχωρισμένα προϊόντα υποκατάστασης νικοτίνης.».</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Προστίθεται νέο σημείο 22.α μετά το σημείο 22, το οποίο διατυπώνεται ως εξής:</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«22.α. Ένα θερμαινόμενο προϊόν καπνού είναι ένα νέο προϊόν καπνού που θερμαίνεται για να παράγει εκπομπή που περιέχει νικοτίνη και άλλες χημικές ουσίες, η οποία στη συνέχεια εισπνέεται από τους χρήστες και το οποίο, ανάλογα με τα χαρακτηριστικά του, είναι ένα μη καπνιζόμενο προϊόν καπνού ή ένα προϊόν καπνού για κάπνισμα.».</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Προστίθεται νέο σημείο 23.α μετά το σημείο 23, το οποίο διατυπώνεται ως εξής:</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«23.α Περιέκτης επαναπλήρωσης χωρίς νικοτίνη είναι ένα δοχείο που περιέχει ένα μη νικοτινούχο υγρό, το οποίο μπορεί να χρησιμοποιηθεί για την επαναπλήρωση ηλεκτρονικού τσιγάρου.».</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Το σημείο 25 τροποποιείται ως εξής:</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Συναφή προϊόντα βάσει </w:t>
      </w:r>
      <w:hyperlink r:id="rId8" w:tgtFrame="_blank" w:tooltip="to EUR-Lex" w:history="1">
        <w:r>
          <w:rPr>
            <w:rFonts w:ascii="Arial" w:hAnsi="Arial"/>
            <w:color w:val="0000EE"/>
            <w:sz w:val="21"/>
            <w:u w:val="single" w:color="0000EE"/>
          </w:rPr>
          <w:t>της οδηγίας 2014/40/ΕΕ</w:t>
        </w:r>
      </w:hyperlink>
      <w:r>
        <w:rPr>
          <w:rFonts w:ascii="Arial" w:hAnsi="Arial"/>
          <w:sz w:val="21"/>
        </w:rPr>
        <w:t xml:space="preserve"> είναι ηλεκτρονικά τσιγάρα και περιέκτες επαναπλήρωσης, καθώς και φυτικά προϊόντα για κάπνισμα. Σύμφωνα με τον παρόντα νόμο, στα συναφή προϊόντα συμπεριλαμβάνονται επίσης ηλεκτρονικά τσιγάρα χωρίς νικοτίνη και περιέκτες επαναπλήρωσης χωρίς νικοτίνη, θερμαινόμενα φυτικά προϊόντα, νέα προϊόντα καπνού, νέα προϊόντα νικοτίνης. Σύμφωνα με τον παρόντα νόμο, συναφή προϊόντα είναι επίσης τα εξαρτήματα ή συσκευές για τη χρήση των συναφών προϊόντων που αναφέρονται στην πρώτη περίοδο και την προηγούμενη περίοδο του παρόντος άρθρου, χωρίς τα οποία τα συναφή προϊόντα δεν μπορούν να χρησιμοποιηθούν.».</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Το σημείο 40 τροποποιείται ως εξής:</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Ο καπνός για στριφτά τσιγάρα είναι ο καπνός που μπορεί να χρησιμοποιηθεί για την παρασκευή τσιγάρων από τους καταναλωτές ή από καταστήματα λιανικής πώλησης.».</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το σημείο 50 προστίθεται νέο σημείο 50.α, το οποίο διατυπώνεται ως εξής:</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«50.α Θερμαινόμενο φυτικό προϊόν είναι ένα προϊόν που βασίζεται σε φυτά, βότανα ή καρπούς, το οποίο δεν περιέχει καπνό, κατά τη διάρκεια της χρήσης του οποίου πραγματοποιείται η διαδικασία θέρμανσης.».</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11, η παράγραφος 1 τροποποιείται ως εξής:</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Απαγορεύεται η διάθεση στην αγορά τσιγάρων, καπνού για στριφτά τσιγάρα και θερμαινόμενων προϊόντων καπνού με χαρακτηριστικό άρωμα/γεύση.». </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12, η παράγραφος 2 τροποποιείται ως εξής:</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Απαγορεύεται η διάθεση στην αγορά τσιγάρων, καπνού για στριφτά τσιγάρα και θερμαινόμενων προϊόντων καπνού που περιέχουν αρωματικές ουσίες σε οποιοδήποτε από τα </w:t>
      </w:r>
      <w:r>
        <w:rPr>
          <w:rFonts w:ascii="Arial" w:hAnsi="Arial"/>
          <w:sz w:val="21"/>
        </w:rPr>
        <w:lastRenderedPageBreak/>
        <w:t>συστατικά, όπως φίλτρα, χαρτί, περιτυλίγματα και κάψουλες, ή που έχουν τεχνικά χαρακτηριστικά που καθιστούν δυνατή τη μεταβολή της οσμής ή της γεύσης του προϊόντος καπνού ή της έντασης του καπνού.  Τα φίλτρα, τα χαρτιά και οι κάψουλες δεν περιέχουν καπνό ή νικοτίνη.».</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13 προστίθεται νέα παράγραφος 7 μετά την παράγραφο 6 η οποία διατυπώνεται ως εξής:</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Οι εικόνες των μονάδων συσκευασίας και κάθε εξωτερικής συσκευασίας προϊόντων καπνού που προορίζονται για τους καταναλωτές συμμορφώνονται με τις διατάξεις του άρθρου 2 (Επισήμανση και συσκευασία) του κεφαλαίου ΙΙ του παρόντος νόμου.».</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14 παράγραφος 1, η εισαγωγική φράση τροποποιείται ως εξής: «Κάθε μονάδα συσκευασίας και εξωτερική συσκευασία προϊόντων καπνού για κάπνισμα, συμπεριλαμβανομένων των θερμαινόμενων προϊόντων καπνού στην περίπτωση των προϊόντων καπνού για κάπνισμα, φέρει την ακόλουθη γενική προειδοποίηση:».</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Στην παράγραφο 2, η εισαγωγική φράση τροποποιείται ως εξής: «Κάθε μονάδα συσκευασίας και εξωτερική συσκευασία προϊόντων καπνού για κάπνισμα, συμπεριλαμβανομένων των θερμαινόμενων προϊόντων καπνού στην περίπτωση των προϊόντων καπνού που προορίζονται για κάπνισμα, φέρουν το ακόλουθο ενημερωτικό μήνυμα:».</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Στην παράγραφο 3, η πρώτη πρόταση τροποποιείται ως εξής: «Στην περίπτωση μονάδων συσκευασίας που περιέχουν τσιγάρα, μονάδων συσκευασίας με θερμαινόμενα προϊόντα καπνού στην περίπτωση προϊόντων καπνού για κάπνισμα και τετράγωνων μονάδων συσκευασίας με καπνό για στριφτά τσιγάρα, η γενική προειδοποίηση εμφανίζεται στο κάτω μέρος της μίας πλευράς της μονάδας συσκευασίας, ενώ το ενημερωτικό μήνυμα εμφανίζεται στο κάτω μέρος της άλλης πλευράς.».</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15 παράγραφος 1, η πρώτη πρόταση τροποποιείται ως εξής: «Κάθε μονάδα συσκευασίας και εξωτερική συσκευασία προϊόντων καπνού για κάπνισμα, συμπεριλαμβανομένων των θερμαινόμενων προϊόντων καπνού στην περίπτωση των προϊόντων καπνού για κάπνισμα, φέρει συνδυασμένες προειδοποιήσεις για την υγεία.».</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22, η παράγραφος 9 τροποποιείται ως εξής:</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 xml:space="preserve">«(9) Η οικονομική οντότητα που συμμετέχει στο εμπόριο προϊόντων καπνού δεν τροποποιεί ούτε διαγράφει τα καταγεγραμμένα δεδομένα.». </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25 παράγραφος 2 πρώτη πρόταση, μετά τη λέξη «παράγραφος», το κόμμα και το κείμενο «όταν η NLZOH το κρίνει αναγκαίο λόγω μεταβολής των συνθηκών» διαγράφονται.</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την παράγραφο 2 παρεμβάλλεται νέα παράγραφος 3, η οποία διατυπώνεται ως εξής:</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Η NLZOH επιβάλλει στους κατασκευαστές και τους εισαγωγείς τέλη για την παραλαβή, την αποθήκευση, τον χειρισμό και την ανάλυση των δεδομένων που υποβάλλονται σύμφωνα με το παρόν άρθρο.». </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Η υφιστάμενη παράγραφος 3, η οποία μετατρέπεται σε παράγραφο 4, τροποποιείται ως εξής:</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Ο υπουργός καθορίζει τη μορφή και τον τρόπο κοινοποίησης καθώς και το ύψος των τελών που αναφέρονται στο παρόν άρθρο.» </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26 παράγραφος 3, η εισαγωγική φράση στην τρίτη περίοδο τροποποιείται ως εξής: «Τα ηλεκτρονικά τσιγάρα, τα ηλεκτρονικά τσιγάρα χωρίς νικοτίνη, οι περιέκτες επαναπλήρωσης και οι περιέκτες επαναπλήρωσης χωρίς νικοτίνη πληρούν τις ακόλουθες προϋποθέσεις:».</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το σημείο 1 τροποποιείται ως εξής:</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ένα νικοτινούχο ή μη νικοτινούχο υγρό διατίθεται στην αγορά σε ειδικούς περιέκτες επαναπλήρωσης με όγκο που δεν υπερβαίνει τα 10 ml, σε ηλεκτρονικά τσιγάρα μίας χρήσης, ηλεκτρονικά τσιγάρα χωρίς νικοτίνη ή σε φυσίγγια μίας χρήσης με ή χωρίς νικοτίνη, όπου ο όγκος ενός φυσιγγίου ή ενός δοχείου δεν υπερβαίνει τα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το σημείο 3 τροποποιείται ως εξής:</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ένα νικοτινούχο ή μη νικοτινούχο υγρό δεν περιέχει τα πρόσθετα που αναφέρονται στο άρθρο 12 παράγραφος 1 του παρόντος νόμου·».</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το σημείο 4 τροποποιείται ως εξής:</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«4. Μόνο καθαρά συστατικά χρησιμοποιούνται για την παραγωγή νικοτινούχου ή μη νικοτινούχου υγρού. Στο υγρό, ουσίες, εκτός από τα συστατικά που αναφέρονται στο σημείο 2 της παραγράφου </w:t>
      </w:r>
      <w:r>
        <w:rPr>
          <w:rFonts w:ascii="Arial" w:hAnsi="Arial"/>
          <w:sz w:val="21"/>
        </w:rPr>
        <w:lastRenderedPageBreak/>
        <w:t>2 του παρόντος άρθρου, περιέχονται μόνο σε ιχνοστοιχεία, εφόσον οι εν λόγω ποσότητες ιχνών είναι αναπόφευκτες από τεχνική άποψη κατά την παραγωγή·».</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Το σημείο 7 τροποποιείται ως εξής:</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δεν πρέπει να χρησιμοποιούνται από παιδιά, προστατεύονται από παραποίηση, θραύση και διαρροή και διαθέτουν μηχανισμό που εξασφαλίζει την επαναπλήρωση χωρίς διαρροή·».</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το σημείο 7 προστίθεται νέο σημείο 8, το οποίο διατυπώνεται ως εξής:</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ένα νικοτινούχο ή μη νικοτινούχο υγρό δεν πρέπει να περιέχει άλλες αρωματικές ύλες εκτός από τη γεύση ή την οσμή του καπνού.».</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Στην παράγραφο 5, η εισαγωγική φράση τροποποιείται ως εξής: «Συσκευασίες και εξωτερική συσκευασία ηλεκτρονικών τσιγάρων, ηλεκτρονικών τσιγάρων χωρίς νικοτίνη, περιεκτών επαναπλήρωσης και περιεκτών επαναπλήρωσης χωρίς νικοτίνη:».</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Το σημείο 2 τροποποιείται ως εξής:</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ανεξάρτητα από το προηγούμενο σημείο, δεν περιέχουν στοιχεία ή χαρακτηριστικά που αναφέρονται στο άρθρο 17 του παρόντος νόμου, εκτός από την πρώτη περίπτωση της παραγράφου 1 σχετικά με τις πληροφορίες για την περιεκτικότητα σε νικοτίνη και τις πληροφορίες σχετικά με τη γεύση ή την οσμή του καπνού και, με εξαίρεση τα ηλεκτρονικά τσιγάρα χωρίς νικοτίνη και τους περιέκτες επαναπλήρωσης χωρίς νικοτίνη, αναφέρουν την ακόλουθη προειδοποίηση για την υγεία που πληροί τις απαιτήσεις του άρθρου 16 παράγραφοι 2 και 3 του παρόντος νόμου: «Αυτό το προϊόν περιέχει νικοτίνη, η οποία είναι μια εξαιρετικά εθιστική ουσία». Η χρήση του δεν συνιστάται σε μη καπνιστές.»</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Στην παράγραφο 8, στο τέλος προστίθενται οι ακόλουθες λέξεις: «Η NLZOH και η Επιθεώρηση Υγείας της Δημοκρατίας της Σλοβενίας θέτουν στη διάθεση της Ευρωπαϊκής Επιτροπής και των άλλων κρατών μελών της ΕΕ όλες τις πληροφορίες που λαμβάνουν σύμφωνα με το παρόν άρθρο, διασφαλίζοντας την εμπιστευτική μεταχείριση των εμπορικών απορρήτων και άλλων εμπιστευτικών πληροφοριών.».</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την παράγραφο 14 προστίθεται νέα παράγραφος 15 η οποία διατυπώνεται ως εξής:</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Διατάξεις σχετικά με την υποβολή της επίσημης κοινοποίησης που αναφέρεται στην παράγραφο 1, το περιεχόμενό της που αναφέρεται στην παράγραφο 2, τη συμπερίληψη οδηγιών χρήσης με τα δεδομένα που αναφέρονται στην παράγραφο 4, την υποβολή των δεδομένων που αναφέρονται στην παράγραφο 6, την παρακολούθηση της εξέλιξης της αγοράς που αναφέρεται στην παράγραφο 7, τη δημοσίευση στο διαδίκτυο, τη διάθεση δεδομένων στο κοινό και την παροχή των πληροφοριών που αναφέρονται στην παράγραφο 8, τη δημιουργία και συντήρηση του συστήματος συλλογής δεδομένων και τη διαβίβαση των συλλεγόμενων δεδομένων που αναφέρεται στην παράγραφο 9, τη θέσπιση μέτρων και την κοινοποίηση των αρχών που αναφέρονται στην παράγραφο 10, τη διαβίβαση των πρόσθετων δεδομένων που αναφέρονται στην παράγραφο 11, την κοινοποίηση που αναφέρεται στην παράγραφο 12, το δικαίωμα επιβολής τελών που αναφέρεται στην παράγραφο 13 και τον καθορισμό λεπτομερέστερων όρων που αναφέρονται στην παράγραφο 14 του παρόντος άρθρου, ισχύουν επίσης για τα ηλεκτρονικά τσιγάρα χωρίς νικοτίνη και τους περιέκτες επαναπλήρωσης χωρίς νικοτίνη.».</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Άρθρο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Ο τίτλος του άρθρου 28 τροποποιείται ως εξής: «(αναφορά των συστατικών των φυτικών προϊόντων για κάπνισμα και των θερμαινόμενων φυτικών προϊόντων)».</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Η παράγραφος 1 τροποποιείται ως εξής:</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Οι παρασκευαστές και οι εισαγωγείς φυτικών προϊόντων για κάπνισμα και θερμαινόμενων φυτικών προϊόντων υποβάλλουν στη NLZOH κατάλογο όλων των συστατικών και των ποσοτήτων τους που χρησιμοποιούνται για την παρασκευή των εν λόγω προϊόντων, χωριστά για κάθε εμπορικό σήμα και για κάθε τύπο. Η επίσημη κοινοποίηση υποβάλλεται ηλεκτρονικά έξι μήνες πριν από την προβλεπόμενη διάθεση στην αγορά νέου ή τροποποιημένου φυτικού προϊόντος για κάπνισμα ή θερμαινόμενου φυτικού προϊόντος. Οι παρασκευαστές ή εισαγωγείς φυτικών προϊόντων για κάπνισμα και θερμαινόμενων φυτικών προϊόντων ενημερώνουν τη NLZOH εάν η σύνθεση του προϊόντος μεταβληθεί κατά τρόπο που να επηρεάζει τα στοιχεία που υποβάλλονται σύμφωνα με το παρόν άρθρο.».</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την παράγραφο 2, προστίθεται νέα παράγραφος 3, η οποία διατυπώνεται ως εξής:</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Η NLZOH επιβάλλει στους κατασκευαστές και τους εισαγωγείς τέλη για την παραλαβή, την αποθήκευση, τον χειρισμό, την ανάλυση και τη δημοσίευση των δεδομένων που υποβάλλονται σύμφωνα με το παρόν άρθρο.». </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Η υφιστάμενη παράγραφος 3, η οποία μετατρέπεται σε παράγραφο 4, τροποποιείται ως εξής:</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Ο υπουργός καθορίζει λεπτομερέστερες προϋποθέσεις για την υποβολή εκθέσεων σχετικά με τα συστατικά των φυτικών προϊόντων για κάπνισμα και των θερμαινόμενων φυτικών προϊόντων και το ύψος των τελών που αναφέρονται στο παρόν άρθρο.».</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Ο τίτλος του κεφαλαίου V τροποποιείται ως εξής: «V. ΔΙΑΦΗΜΙΣΗ, ΠΡΟΩΘΗΣΗ, ΧΟΡΗΓΙΑ, ΠΩΛΗΣΗ ΚΑΙ ΕΙΣΑΓΩΓΗ».</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Ο τίτλος του άρθρου 30 τροποποιείται ως εξής: «(απαγόρευση πώλησης και απόκτησης)».</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την παράγραφο 6, προστίθενται νέες παράγραφοι 7 και 8, οι οποίες διατυπώνονται ως εξής:</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«(7) Ένα άτομο δεν μπορεί να πωλεί ή να διαθέτει στην αγορά καπνό, προϊόντα καπνού ή συναφή προϊόντα. </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(8) Ένα άτομο δεν μπορεί να αγοράσει καπνό, προϊόντα καπνού ή συναφή προϊόντα κατά παράβαση του παρόντος άρθρου.».</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το άρθρο 30 προστίθεται νέο άρθρο 30.α το οποίο διατυπώνεται ως εξής:</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30.α</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(Απαγόρευση εισαγωγής)</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Απαγορεύεται η εισαγωγή των προϊόντων που αναφέρονται στο άρθρο 11 παράγραφος 1, στο άρθρο 12 παράγραφοι 1, 2 και 3 και στο άρθρο 24 του παρόντος νόμου.</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Ένα άτομο δεν μπορεί να εισάγει καπνό, προϊόντα καπνού ή συναφή προϊόντα, με εξαίρεση τα προϊόντα που απαλλάσσονται από την καταβολή εισαγωγικών δασμών σε αποστολές ή προσωπικές αποσκευές του επιβάτη σύμφωνα με τον κανονισμό που διέπει το σύστημα τελωνειακών απαλλαγών στην ΕΕ.». </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Ο τίτλος του κεφαλαίου VII τροποποιείται ως εξής: «VII. ΑΠΑΓΟΡΕΥΣΗ ΚΑΠΝΙΣΜΑΤΟΣ».</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39 παράγραφος 3, στο τέλος της τρίτης περίπτωσης, η άνω τελεία αντικαθίσταται από τελεία και η τέταρτη περίπτωση διαγράφεται.</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Η παράγραφος 4 διαγράφεται.</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Η παράγραφος 5 μετατρέπεται σε παράγραφο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Το άρθρο 40 διαγράφεται.</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Η διατύπωση του άρθρου 41 τροποποιείται ως εξής:</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Η εποπτεία της εφαρμογής του παρόντος νόμου ασκείται από την Επιθεώρηση Υγείας της Δημοκρατίας της Σλοβενίας, την Επιθεώρηση Εργασίας της Δημοκρατίας της Σλοβενίας, την Επιθεώρηση Αγοράς της Δημοκρατίας της Σλοβενίας, την Οικονομική Διοίκηση της Δημοκρατίας της Σλοβενίας και τις αστυνομικές και δημοτικές υπηρεσίες. </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Η Επιθεώρηση Υγείας της Δημοκρατίας της Σλοβενίας εποπτεύει: </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εκπομπές πίσσας, νικοτίνης και μονοξειδίου του άνθρακα από τα τσιγάρα που αναφέρονται στο άρθρο 7 του παρόντος νόμου·</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την απαγόρευση διάθεσης στην αγορά προϊόντων καπνού με χαρακτηριστικό άρωμα/γεύση, η οποία αναφέρεται στο άρθρο 11 του παρόντος νόμου·</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την απαγόρευση διάθεσης στην αγορά προϊόντων καπνού που περιέχουν πρόσθετα, η οποία αναφέρεται στο άρθρο 12 του παρόντος νόμου·</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την υποβολή εκθέσεων και την ενημέρωση των παραγωγών και των εισαγωγέων σχετικά με τα συστατικά και τις εκπομπές των προϊόντων καπνού και των συναφών προϊόντων σύμφωνα με το άρθρο 9, το άρθρο 10, το άρθρο 25, το άρθρο 26 παράγραφοι 1, 2 και 6 και το άρθρο 28 του παρόντος νόμου·</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τις υποχρεώσεις που πρέπει να εκπληρώνουν οι παραγωγοί, εισαγωγείς και διανομείς ηλεκτρονικών τσιγάρων, ηλεκτρονικών τσιγάρων χωρίς νικοτίνη, περιεκτών επαναπλήρωσης και περιεκτών επαναπλήρωσης χωρίς νικοτίνη που αναφέρονται στο άρθρο 26 παράγραφοι 9, 10 και 11 του παρόντος νόμου και τις προϋποθέσεις που πρέπει να πληρούν τα ηλεκτρονικά τσιγάρα, τα ηλεκτρονικά τσιγάρα χωρίς νικοτίνη, οι περιέκτες επαναπλήρωσης και οι περιέκτες επαναπλήρωσης χωρίς νικοτίνη που αναφέρονται στο άρθρο 26 παράγραφος 3 του παρόντος νόμου·</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την απαγόρευση του καπνίσματος ή της χρήσης καπνού, προϊόντων καπνού και συναφών προϊόντων, εκτός από τον καπνό μάσησης και τον καπνό που λαμβάνεται από τη μύτη, σε δημόσιους χώρους που αναφέρονται στο άρθρο 39 του παρόντος νόμου·</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άτομα που δεν συμμορφώνονται με την απαγόρευση του καπνίσματος ή της χρήσης καπνού, προϊόντων καπνού και συναφών προϊόντων, εκτός από τον καπνό μάσησης και τον καπνό που λαμβάνεται από τη μύτη, σε δημόσιους χώρους που αναφέρονται στο άρθρο 39 του παρόντος νόμου.</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Η Επιθεώρηση Υγείας της Δημοκρατίας της Σλοβενίας, βάσει των δικών της πορισμάτων ή των πορισμάτων της NLZOH, σύμφωνα με τα οποία ο καπνός, τα προϊόντα καπνού και τα συναφή προϊόντα παράγονται, πωλούνται ή διατίθενται στην αγορά κατά παράβαση των άρθρων 7, 8, 11, 12 και 26 του παρόντος νόμου, με απόφαση απαγορεύει την παραγωγή και την πώληση των προϊόντων αυτών και διατάσσει την απομάκρυνσή τους από την παραγωγή και την πώληση. </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Η Επιθεώρηση Υγείας της Δημοκρατίας της Σλοβενίας, με βάση τις διαπιστώσεις της NLZOH ότι για ένα συγκεκριμένο εμπορικό σήμα και τύπο καπνού, προϊόντων καπνού και συναφών προϊόντων οι παραγωγοί και οι εισαγωγείς τους δεν εκπληρώνουν την υποχρέωση να αναφέρουν ή να ενημερώνουν σχετικά με τα προϊόντα που αναφέρονται στα άρθρα 9, 10, 25, 26 και 28 του παρόντος νόμου, απαγορεύει με απόφαση την πώληση των προϊόντων αυτών και διατάσσει την απομάκρυνσή τους από την πώληση. </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(5) Κατόπιν αιτήματος της Επιθεώρησης Υγείας της Δημοκρατίας της Σλοβενίας ή της Οικονομικής Διοίκησης της Δημοκρατίας της Σλοβενίας, η NLZOH μπορεί να διενεργεί εργαστηριακές δοκιμές καπνού, προϊόντων καπνού και συναφών προϊόντων.  Τα νομικά και φυσικά πρόσωπα που διαθέτουν καπνό, προϊόντα καπνού και συναφή προϊόντα στην αγορά πρέπει να διαθέτουν δωρεάν δείγμα του εν λόγω προϊόντος στον αρμόδιο επιθεωρητή (στο εξής: επιθεωρητής). Εάν, μέσω εργαστηριακών δοκιμών, διαπιστωθεί ότι το δείγμα που ελήφθη κατά τη διαδικασία ελέγχου δεν είναι σύμφωνο με τις διατάξεις του παρόντος νόμου, το κόστος των εργαστηριακών δοκιμών βαρύνει το νομικό ή φυσικό πρόσωπο από το οποίο ελήφθη το δείγμα.</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(6) Η Επιθεώρηση Εργασίας της Δημοκρατίας της Σλοβενίας εποπτεύει: </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την απαγόρευση του καπνίσματος ή της χρήσης καπνού, προϊόντων καπνού και συναφών προϊόντων, εκτός από τον καπνό μάσησης και τον καπνό που λαμβάνεται από τη μύτη, στους χώρους εργασίας που αναφέρονται στο άρθρο 39 του παρόντος νόμου·</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άτομα που δεν συμμορφώνονται με την απαγόρευση του καπνίσματος ή της χρήσης καπνού, προϊόντων καπνού και συναφών προϊόντων, εκτός από τον καπνό μάσησης και τον καπνό που λαμβάνεται από τη μύτη, στους χώρους εργασίας που αναφέρονται στο άρθρο 39 του παρόντος νόμου.</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(7) Η Επιθεώρηση Αγοράς της Δημοκρατίας της Σλοβενίας εποπτεύει τις επιχειρηματικές οντότητες και συγκεκριμένα: </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τους όρους που πρέπει να πληρούν ο καπνός και τα προϊόντα καπνού που αναφέρονται στα άρθρα 13 έως 20 του παρόντος νόμου·</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την απαγόρευση διάθεσης στην αγορά καπνού που λαμβάνεται από το στόμα, η οποία αναφέρεται στο άρθρο 24 του παρόντος νόμου·</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τους όρους που πρέπει να πληρούν τα ηλεκτρονικά τσιγάρα, τα ηλεκτρονικά τσιγάρα χωρίς νικοτίνη, οι περιέκτες επαναπλήρωσης και οι περιέκτες επαναπλήρωσης χωρίς νικοτίνη που αναφέρονται στο άρθρο 26 παράγραφοι 4 και 5 του παρόντος νόμου·</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τους όρους που πρέπει να πληρούν τα φυτικά προϊόντα για κάπνισμα που αναφέρονται στο άρθρο 27 του παρόντος νόμου·</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την απαγόρευση χορηγίας και διαφήμισης καπνού, προϊόντων καπνού και συναφών προϊόντων που αναφέρονται στο άρθρο 29 του παρόντος νόμου·</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την απαγόρευση πωλήσεων που αναφέρεται στα άρθρα 30 και 31 του παρόντος νόμου·</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την πώληση καπνού, προϊόντων καπνού και συναφών προϊόντων χωρίς την άδεια που αναφέρεται στο άρθρο 32 του παρόντος νόμου και την προβολή της άδειας στους επαγγελματικούς χώρους που αναφέρονται στο άρθρο 34 παράγραφος 3 του παρόντος νόμου.</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(8) Η Οικονομική Διοίκηση της Δημοκρατίας της Σλοβενίας εποπτεύει: </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τις προϋποθέσεις που προβλέπονται στα άρθρα 22 και 23 του παρόντος νόμου, οι οποίες πρέπει να πληρούνται από τον καπνό και τα προϊόντα καπνού·</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xml:space="preserve">— τους όρους που πρέπει να πληρούν τα ηλεκτρονικά τσιγάρα, τα ηλεκτρονικά τσιγάρα χωρίς νικοτίνη, οι περιέκτες επαναπλήρωσης και οι περιέκτες επαναπλήρωσης χωρίς νικοτίνη που αναφέρονται </w:t>
      </w:r>
      <w:r>
        <w:rPr>
          <w:rFonts w:ascii="Arial" w:hAnsi="Arial"/>
          <w:sz w:val="21"/>
        </w:rPr>
        <w:lastRenderedPageBreak/>
        <w:t>στο άρθρο 26 παράγραφος 3 του παρόντος νόμου όταν εισάγονται από τρίτες χώρες, με την υποστήριξη που παρέχεται από την Επιθεώρηση Υγείας της Δημοκρατίας της Σλοβενίας·</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πρόσωπα που πωλούν, διαθέτουν στην αγορά ή αγοράζουν καπνό, καπνό ή συναφή προϊόντα κατά παράβαση του άρθρου 30 παράγραφοι 7 και 8 του παρόντος νόμου·</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την απαγόρευση εισαγωγής που αναφέρεται στο άρθρο 30.α του παρόντος νόμου·</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πώληση καπνού, προϊόντων καπνού και συναφών προϊόντων χωρίς άδεια που αναφέρεται στο άρθρο 32 του παρόντος νόμου.</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(9) Εάν η Επιθεώρηση Αγοράς της Δημοκρατίας της Σλοβενίας διαπιστώσει ότι ο καπνός και τα προϊόντα καπνού παράγονται, πωλούνται ή διατίθενται στην αγορά κατά παράβαση των άρθρων 13 έως 20 του παρόντος νόμου ή πωλούνται χωρίς την άδεια που αναφέρεται στο άρθρο 32 του παρόντος νόμου, εκδίδει απόφαση με την οποία απαγορεύει την παραγωγή, την πώληση ή τη διάθεσή τους στην αγορά και διατάσσει την απομάκρυνσή τους από την παραγωγή ή την πώληση. </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(10) Εάν η Οικονομική Διοίκηση της Δημοκρατίας της Σλοβενίας διαπιστώσει ότι ο καπνός, τα προϊόντα καπνού και τα συνδεόμενα με τον καπνό προϊόντα πωλούνται χωρίς την άδεια που αναφέρεται στο άρθρο 32 του παρόντος νόμου, εκδίδει απόφαση με την οποία απαγορεύει την πώληση τους και διατάσσει την απομάκρυνσή τους από την παραγωγή ή την πώληση. </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Η Επιθεώρηση Υγείας της Δημοκρατίας της Σλοβενίας θεσπίζει, βάσει της κοινοποίησης που αναφέρεται στο άρθρο 26 παράγραφος 12 του παρόντος νόμου, κατάλληλα προσωρινά μέτρα για την προστασία της ανθρώπινης υγείας, τα οποία περιλαμβάνουν απαγόρευση της πώλησης συγκεκριμένου προϊόντος ή απόσυρση συγκεκριμένου προϊόντος από την αγορά.</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(12) Εάν ο αρμόδιος φορέας ελέγχου διαπιστώσει ότι ο καπνός ή τα συναφή προϊόντα παράγονται, πωλούνται ή διατίθενται στην αγορά κατά παράβαση των άρθρων 26 και 27 του παρόντος νόμου ή χωρίς την άδεια που αναφέρεται στο άρθρο 32 του παρόντος νόμου, εκδίδει απόφαση απαγόρευσης της πώλησης, της διάθεσης στην αγορά ή της παραγωγής των προϊόντων αυτών και διατάζει την απομάκρυνση τους από την παραγωγή ή την πώληση. </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Εάν η Επιθεώρηση Αγοράς της Δημοκρατίας της Σλοβενίας διαπιστώσει ότι ο καπνός, τα προϊόντα καπνού ή τα συνδεόμενα με τον καπνό προϊόντα χορηγούνται ή διαφημίζονται κατά παράβαση του άρθρου 29 του παρόντος νόμου, η εν λόγω χορηγία ή διαφήμιση απαγορεύεται με απόφαση.  Προκειμένου να εκτελέσει την απόφαση, διατάσσει την άμεση αφαίρεση διαφημιστικού υλικού σε βάρος της επιχειρηματικής οντότητας.</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Ο αρμόδιος επιθεωρητής μπορεί να συνεργάζεται με πρόσωπο ηλικίας κάτω των 18 ετών για την εποπτεία της απαγόρευσης πώλησης καπνού, προϊόντων καπνού και συναφών προϊόντων καπνού σε πρόσωπα ηλικίας κάτω των 18 ετών που αναφέρονται στο άρθρο 30 παράγραφος 1 του παρόντος νόμου. Για τη συμμετοχή ανηλίκων απαιτείται η προηγούμενη γραπτή συγκατάθεση των γονέων ή των κηδεμόνων τους.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Οι αστυνομικές και δημοτικές υπηρεσίες ελέγχουν την απαγόρευση του καπνίσματος σε όλα τα οχήματα παρουσία προσώπων ηλικίας κάτω των 18 ετών, όπως αναφέρεται στο άρθρο 39 παράγραφος 1 του παρόντος νόμου.».</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Στο άρθρο 42, η παράγραφος 1 τροποποιείται ως εξής:</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Σε νομική οντότητα επιβάλλεται πρόστιμο μεταξύ 4 000 και 33 000 EUR για παράβαση: </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εάν παράγει, πωλεί ή διαθέτει στην αγορά τσιγάρα που περιέχουν υψηλότερη περιεκτικότητα σε πίσσα, νικοτίνη και μονοξείδιο του άνθρακα, όπως ορίζεται στο άρθρο 7 του παρόντος νόμου·</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εάν πωλεί ή διαθέτει στην αγορά προϊόντα καπνού για τα οποία δεν έχει εκπληρωθεί η υποχρέωση υποβολής εκθέσεων σχετικά με τα συστατικά και τις εκπομπές των προϊόντων αυτών (άρθρα 9 και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εάν παράγει, διαθέτει στην αγορά ή πωλεί προϊόντα καπνού με χαρακτηριστικό άρωμα (άρθρο 11) ή με πρόσθετα που αναφέρονται στο άρθρο 12 παράγραφοι 1 και 3 του παρόντος νόμου, ή εάν παράγει, πωλεί ή διαθέτει στην αγορά προϊόντα καπνού που περιέχουν αρωματικές ουσίες σε οποιοδήποτε από τα συστατικά τους (άρθρο 12 παράγραφος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εάν διαθέτει στην αγορά ή πωλεί προϊόντα καπνού και μη καπνιζόμενα προϊόντα καπνού που δεν πληρούν τις προϋποθέσεις σχετικά με την επισήμανση, τη συσκευασία, τις γενικές προειδοποιήσεις, τα ενημερωτικά μηνύματα και τις συνδυασμένες προειδοποιήσεις για την υγεία (άρθρα 13, 14, 15 και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εάν διαθέτει στην αγορά ή πωλεί προϊόντα καπνού των οποίων η επισήμανση ή η εξωτερική συσκευασία αντιβαίνει στις διατάξεις του άρθρου 17 του παρόντος νόμου·</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εάν διαθέτει στην αγορά ή πωλεί πακέτα τσιγάρων και εξωτερικές συσκευασίες τσιγάρων των οποίων η εμφάνιση και το περιεχόμενο αντιβαίνουν στις διατάξεις του άρθρου 18 του παρόντος νόμου·</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εάν διαθέτει στην αγορά ή πωλεί μονάδες συσκευασίας καπνού για στριφτά τσιγάρα και εξωτερική συσκευασία καπνού για στριφτά τσιγάρα των οποίων η εμφάνιση και το περιεχόμενο αντιβαίνουν στις διατάξεις του άρθρου 19 του παρόντος νόμου·</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εάν διαθέτει στην αγορά ή πωλεί τσιγάρα, η εμφάνιση των οποίων αντιβαίνει στις διατάξεις του άρθρου 20 του παρόντος νόμου·</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εάν δεν καθιστά άμεσα διαθέσιμο τον μοναδικό αναγνωριστικό κωδικό (άρθρο 22 παράγραφος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εάν δεν καταγράφει την είσοδο όλων των μονάδων συσκευασίας και των ενδιάμεσων μετακινήσεων και την τελική ποσότητα των μονάδων συσκευασίας από την κατοχή τους κατά τρόπο ώστε να καθίσταται δυνατή η σαφής και αδιαμφισβήτητη ταυτοποίηση και παρακολούθηση όλων των μονάδων συσκευασίας (άρθρο 22 παράγραφος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εάν δεν τηρεί αρχεία όλων των συναλλαγών που έχουν ολοκληρωθεί (άρθρο 22 παράγραφος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εάν δεν παρέχει στις οικονομικές οντότητες που συμμετέχουν στο εμπόριο προϊόντων καπνού, από τον παραγωγό στην τελευταία οικονομική οντότητα, πριν από την πρώτη πώληση στο σημείο πώλησης, συμπεριλαμβανομένων των εισαγωγέων, των αποθηκών και των μεταφορικών εταιρειών, τη συσκευή για την καταγραφή των προϊόντων καπνού, ή εάν ο εξοπλισμός που παρέχεται δεν επιτρέπει την ηλεκτρονική ανάγνωση και σαφή ταυτοποίηση και παρακολούθηση όλων των μονάδων συσκευασίας (άρθρο 22 παράγραφος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εάν τροποποιεί ή διαγράφει τα καταγεγραμμένα δεδομένα (άρθρο 22 παράγραφος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14. εάν διαθέτει στην αγορά ή πωλεί προϊόντα καπνού χωρίς αναγνωριστικό σήμα ή χαρακτηριστικό ασφαλείας, εάν το σήμα αναγνώρισης είναι ελλιπές ή εάν το χαρακτηριστικό ασφαλείας δεν πληροί τα απαιτούμενα τεχνικά πρότυπα (άρθρο 22 παράγραφοι 1, 2 και 3 και άρθρο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εάν διαθέτει στην αγορά ή πωλεί καπνό που λαμβάνεται από το στόμα (άρθρο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εάν πωλεί ή διαθέτει στην αγορά νέα προϊόντα καπνού κατά παράβαση του άρθρου 25 του παρόντος νόμου·</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εάν παράγει, πωλεί ή διαθέτει στην αγορά ηλεκτρονικά τσιγάρα, ηλεκτρονικά τσιγάρα χωρίς νικοτίνη, περιέκτες επαναπλήρωσης και περιέκτες επαναπλήρωσης χωρίς νικοτίνη κατά παράβαση του άρθρου 26 παράγραφοι 3, 4, 5 και 10 του παρόντος νόμου·</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εάν παράγει, πωλεί ή διαθέτει στην αγορά ηλεκτρονικά τσιγάρα, ηλεκτρονικά τσιγάρα χωρίς νικοτίνη, περιέκτες επαναπλήρωσης και περιέκτες επαναπλήρωσης χωρίς νικοτίνη κατά παράβαση του άρθρου 26 παράγραφοι 1, 2, 6 και 11 του παρόντος νόμου·</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εάν διαθέτει στην αγορά ή πωλεί φυτικό προϊόν για κάπνισμα κατά παράβαση του άρθρου 27 του παρόντος νόμου·</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εάν δεν αναφέρει τα συστατικά των φυτικών προϊόντων για κάπνισμα και των θερμαινόμενων φυτικών προϊόντων σύμφωνα με το άρθρο 28 του παρόντος νόμου·</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εάν δωρίζει ή χρηματοδοτεί εκδήλωση, δραστηριότητα ή άτομο και άμεσα ή έμμεσα διαφημίζει και προωθεί προϊόντα καπνού και συναφή προϊόντα (άρθρο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εάν πρόκειται για έκθεση ή χρήση καπνού, προϊόντων καπνού και συναφών προϊόντων καπνού στην τηλεόραση και στο πλαίσιο δημόσιων εμφανίσεων (άρθρο 29 παράγραφος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εάν πωλεί καπνό, προϊόντα καπνού ή συναφή προϊόντα καπνού σε πρόσωπα ηλικίας κάτω των 18 ετών, ή εάν δεν αναρτά την απαγόρευση πώλησης σε εμφανές σημείο, ή εάν πωλεί καπνό, προϊόντα καπνού ή συναφή προϊόντα καπνού σε πρόσωπο ηλικίας κάτω των 18 ετών (άρθρο 30 παράγραφοι 1 και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εάν πωλεί ή διαθέτει στην αγορά καπνό, προϊόντα καπνού ή συναφή προϊόντα καπνού κατά παράβαση του άρθρου 30 παράγραφος 3 του παρόντος νόμου·</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εάν πωλεί ή διαθέτει στην αγορά καπνό, προϊόντα καπνού ή συναφή προϊόντα καπνού εκτός της αρχικής συσκευασίας του παραγωγού (άρθρο 30 παράγραφος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εάν διαθέτει στην αγορά ή πραγματοποιεί διασυνοριακές εξ αποστάσεως πωλήσεις καπνού, προϊόντων καπνού ή συναφών προϊόντων μέσω διαδικτύου, τηλεπικοινωνιών ή άλλης εξελισσόμενης τεχνολογίας (άρθρο 30 παράγραφος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εάν παράγει, διαθέτει στην αγορά ή πραγματοποιεί διασυνοριακές εξ αποστάσεως πωλήσεις γλυκών, σνακ, παιχνιδιών ή άλλων ειδών υπό μορφή προϊόντων καπνού ή συναφών προϊόντων που προορίζονται για άτομα ηλικίας κάτω των 18 ετών (άρθρο 30 παράγραφος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εάν εισάγει προϊόντα που αναφέρονται στο άρθρο 11 παράγραφος 1, στο άρθρο 12 παράγραφοι 1, 2 και 3 και στο άρθρο 24 του παρόντος νόμου·</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εάν δεν εμφανίζει εμφανώς την άδεια πώλησης καπνού, προϊόντων καπνού και συναφών προϊόντων καπνού στους επαγγελματικούς χώρους (άρθρο 34 παράγραφος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30. εάν δεν διασφαλίζει την τήρηση της απαγόρευσης του καπνίσματος ή της χρήσης καπνού, προϊόντων καπνού και συναφών προϊόντων καπνού, εκτός από τον καπνό μάσησης και τον καπνό που λαμβάνεται από τη μύτη, σε κλειστούς δημόσιους χώρους και χώρους εργασίας και σε χώρους που δεν θεωρούνται κλειστοί σύμφωνα με τον παρόντα νόμο, εφόσον αποτελούν μέρος της λειτουργικής έκτασης που ανήκει στις εγκαταστάσεις στις οποίες πραγματοποιούνται δραστηριότητες ανατροφής ή εκπαίδευσης (άρθρο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Οι παράγραφοι 4, 5 και 6 τροποποιούνται ως εξής:</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Για τις παραβάσεις που αναφέρονται στα σημεία 1, 3</w:t>
      </w:r>
      <w:hyperlink r:id="rId9" w:tgtFrame="_blank" w:tooltip="to EUR-Lex" w:history="1">
        <w:r>
          <w:rPr>
            <w:rFonts w:ascii="Arial" w:hAnsi="Arial"/>
            <w:color w:val="0000EE"/>
            <w:sz w:val="21"/>
            <w:u w:val="single" w:color="0000EE"/>
          </w:rPr>
          <w:t>–15, 17, 19</w:t>
        </w:r>
      </w:hyperlink>
      <w:r>
        <w:rPr>
          <w:rFonts w:ascii="Arial" w:hAnsi="Arial"/>
          <w:sz w:val="21"/>
        </w:rPr>
        <w:t>, 25 και 28 της παραγράφου 1 του παρόντος άρθρου, επιπλέον της κύριας κύρωσης, επιβάλλεται η δήμευση καπνού, προϊόντων καπνού ή συναφών προϊόντων καπνού που αποτελούν το αντικείμενο του αδικήματος και η δήμευση αντικειμένων με τα οποία διαπράχθηκε η παράβαση. Επιβάλλεται επίσης πρόσθετη κύρωση εάν ο καπνός, τα προϊόντα καπνού ή τα συνδεόμενα με τον καπνό προϊόντα δεν αποτελούν ιδιοκτησία του δράστη ή δεν βρίσκονται στην κατοχή της νομικής οντότητας. Η δήμευση του αντικειμένου μπορεί να αρθεί εάν ο δράστης αποδείξει τη νόμιμη προέλευση του καπνού, των προϊόντων καπνού ή των προϊόντων καπνού ή εάν η επιβολή πρόσθετης κύρωσης για τη δήμευση των αντικειμένων του αδικήματος θα ήταν σαφώς δυσανάλογη προς τη σοβαρότητα της πράξης και τις συνέπειες του αδικήματος.</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Πρόστιμο ύψους 50 000 EUR επιβάλλεται σε νομική οντότητα, σε μεμονωμένο έμπορο ή σε φυσικό πρόσωπο που ασκεί ανεξάρτητη δραστηριότητα πώλησης καπνού, προϊόντων καπνού ή συναφών προϊόντων χωρίς άδεια (άρθρο 32). </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(6) Πρόστιμο 5 000 EUR επιβάλλεται σε υπεύθυνο πρόσωπο νομικής οντότητας, υπεύθυνο πρόσωπο μεμονωμένου εμπόρου ή άτομο που ασκεί ανεξάρτητη δραστηριότητα πώλησης καπνού, προϊόντων καπνού ή συναφών προϊόντων χωρίς άδεια (άρθρο 32). </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Στο άρθρο 43, η παράγραφος 1 τροποποιείται ως εξής:</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Σε μεμονωμένο πρόσωπο επιβάλλεται πρόστιμο μεταξύ 125 και 5 000 EUR για παράβαση: </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εάν αποκτά καπνό, προϊόντα καπνού ή συναφή προϊόντα κατά παράβαση του άρθρου 30 του παρόντος νόμου·</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εάν εισάγει προϊόντα κατά παράβαση του άρθρου 30.α παράγραφος 1 ή 2 του παρόντος νόμου·</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εάν καπνίζει ή χρησιμοποιεί καπνό, προϊόντα καπνού ή συναφή προϊόντα καπνού σε δημόσιους χώρους ή χώρους εργασίας όπου αυτό απαγορεύεται (άρθρο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την παράγραφο 2, προστίθενται οι παράγραφοι 3 και 4 οι οποίες διατυπώνονται ως εξής:</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Σε μεμονωμένο πρόσωπο επιβάλλεται πρόστιμο μεταξύ 3 000 και 5 000 EUR για παράβαση: </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 εάν, για σκοπούς διαφήμισης, προσφέρει δωρεάν καπνό, προϊόντα καπνού και συναφή προϊόντα καπνού σε δημόσιο χώρο ή σε δημόσιους χώρους κατά παράβαση του άρθρου 29 παράγραφος 3 του παρόντος νόμου·</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εάν πωλεί ή διαθέτει στην αγορά καπνό, προϊόντα καπνού ή συναφή προϊόντα καπνού κατά παράβαση του άρθρου 30 παράγραφος 7 του παρόντος νόμου.</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Για τις παραβάσεις που αναφέρονται στην πρώτη και δεύτερη περίπτωση της πρώτης παραγράφου του παρόντος άρθρου και για τις παραβάσεις που αναφέρονται στην πρώτη και δεύτερη περίπτωση της προηγούμενης παραγράφου, εκτός από την κύρια κύρωση, επιβάλλεται η δήμευση καπνού, προϊόντων καπνού ή συναφών προϊόντων καπνού που αποτελούν το αντικείμενο της παράβασης και η δήμευση των αντικειμένων με τα οποία διαπράχθηκε η παράβαση.  Επιβάλλεται επίσης πρόσθετη κύρωση εάν ο καπνός, τα προϊόντα καπνού ή τα συναφή προϊόντα καπνού δεν αποτελούν ιδιοκτησία του δράστη ή δεν βρίσκονται στην κατοχή του. Η δήμευση του αντικειμένου μπορεί να αρθεί εάν ο δράστης αποδείξει τη νόμιμη προέλευση του καπνού, των προϊόντων καπνού ή των συναφών προϊόντων καπνού ή εάν η επιβολή πρόσθετης κύρωσης για τη δήμευση των στοιχείων του αδικήματος θα ήταν προδήλως δυσανάλογη προς τη σοβαρότητα της πράξης και τις συνέπειες της παράβασης.».</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Μετά το άρθρο 43, παρεμβάλλεται νέο άρθρο 43.α, το οποίο διατυπώνεται ως εξής:</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43.α</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(Επιβολή προστίμου στο πλαίσιο ταχείας διαδικασίας πλημμελήματος)</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Για τις παραβάσεις που αναφέρονται στον παρόντα νόμο, μπορεί να επιβληθεί πρόστιμο με ταχεία διαδικασία σε ποσό υψηλότερο από το ελάχιστο προβλεπόμενο πρόστιμο που καθορίζεται από τον παρόντα νόμο.</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ΜΕΤΑΒΑΤΙΚΕΣ ΚΑΙ ΤΕΛΙΚΕΣ ΔΙΑΤΑΞΕΙΣ</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(Εναρμόνιση δράσεων)</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Τα ηλεκτρονικά τσιγάρα, τα ηλεκτρονικά τσιγάρα χωρίς νικοτίνη, οι περιέκτες επαναπλήρωσης και οι περιέκτες επαναπλήρωσης χωρίς νικοτίνη με αρωματικές ύλες μπορούν να διατίθενται στην αγορά για μέγιστο διάστημα 12 μηνών από την έναρξη ισχύος του παρόντος νόμου.</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(Ολοκλήρωση των διαδικασιών)</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Οι διαδικασίες ελέγχου και πλημμελημάτων που κινήθηκαν πριν από την έναρξη ισχύος του παρόντος νόμου ολοκληρώνονται σύμφωνα με τους ισχύοντες μέχρι σήμερα κανονισμούς.</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(Κανονισμοί)</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Ο υπουργός εκδίδει τους κανονισμούς που αναφέρονται στο τροποποιημένο άρθρο 25 παράγραφος 4 του νόμου και στο τροποποιημένο άρθρο 28 παράγραφος 4 του νόμου εντός τριών μηνών από την έναρξη ισχύος του παρόντος νόμου. </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Ο υπουργός ευθυγραμμίζει τις διατάξεις του άρθρου 26 παράγραφος 14 του νόμου με το νέο σημείο 8 της παραγράφου 3 και τη νέα παράγραφο 15 του άρθρου 26 του νόμου εντός τριών μηνών από την έναρξη ισχύος του παρόντος νόμου.</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(Λήξη ισχύος και παράταση της εφαρμογής υφιστάμενων κανονισμών)</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Οι διατάξεις του άρθρου 3 σημείο 17, του άρθρου 39 παράγραφος 3 τέταρτη περίπτωση και παράγραφος 4, του άρθρου 40, του άρθρου 41 παράγραφος 2 σημεία 8 και 9, παράγραφος 6 σημεία 3 και 4 και παράγραφος 14, του άρθρου 42 παράγραφος 1 σημείο 30 και του άρθρου 43 παράγραφος 1 τρίτη περίπτωση του νόμου για τον περιορισμό της χρήσης καπνού και συναφών προϊόντων (Επίσημη Εφημερίδα της Δημοκρατίας της Σλοβενίας, αριθ. 9/17 και 29/17) εφαρμόζονται στους χώρους καπνίσματος έως τις 31 Δεκεμβρίου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Από την ημερομηνία έναρξης ισχύος του παρόντος νόμου, παύουν να ισχύουν οι κανόνες σχετικά με τις προϋποθέσεις που πρέπει να πληρούνται από αίθουσα καπνίσματος (Επίσημη Εφημερίδα της Δημοκρατίας της Σλοβενίας, αριθ. 52/17), οι οποίοι μπορούν να χρησιμοποιηθούν έως τις 31 Δεκεμβρίου 2025.</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(Έναρξη ισχύος και εφαρμογή)</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Ο παρών νόμος αρχίζει να ισχύει την δέκατη πέμπτη ημέρα από τη δημοσίευσή του στην Επίσημη Εφημερίδα της Δημοκρατίας της Σλοβενίας και εφαρμόζεται από την τριακοστή ημέρα από την έναρξη ισχύος του. </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Ο νόμος περί περιορισμού της χρήσης καπνού και συναφών προϊόντων (Επίσημη Εφημερίδα της Δημοκρατίας της Σλοβενίας, αριθ. 9/17 και 29/17) ισχύει μέχρι την έναρξη ισχύος του παρόντος νόμου.</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lastRenderedPageBreak/>
        <w:t>Αριθ.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Λιουμπλιάνα, 28 Μαρτίου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Εθνοσυνέλευση</w:t>
      </w:r>
      <w:r>
        <w:rPr>
          <w:rFonts w:ascii="Arial" w:hAnsi="Arial"/>
          <w:sz w:val="21"/>
        </w:rPr>
        <w:br/>
        <w:t>της Δημοκρατίας της Σλοβενίας</w:t>
      </w:r>
      <w:r>
        <w:rPr>
          <w:rFonts w:ascii="Arial" w:hAnsi="Arial"/>
          <w:sz w:val="21"/>
        </w:rPr>
        <w:br/>
        <w:t>Danijel Krivec</w:t>
      </w:r>
      <w:r>
        <w:rPr>
          <w:rFonts w:ascii="Arial" w:hAnsi="Arial"/>
          <w:sz w:val="21"/>
        </w:rPr>
        <w:br/>
        <w:t>Αντιπρόεδρος</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6303F7"/>
    <w:rsid w:val="006C101D"/>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5520</Words>
  <Characters>30803</Characters>
  <Application>Microsoft Office Word</Application>
  <DocSecurity>0</DocSecurity>
  <Lines>531</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2024-08-14T11:51:00Z</dcterms:created>
  <dcterms:modified xsi:type="dcterms:W3CDTF">2024-08-14T11:51:00Z</dcterms:modified>
</cp:coreProperties>
</file>