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A C T</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AMENDING THE ACT ON THE RESTRICTION OF THE USE OF TOBACCO AND RELATED PRODUCTS</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 of the Act on the Restriction of the Use of Tobacco and Related Products (Official Gazette of the Republic of Slovenia, Nos 9/17 and 29/17), the words ‘</w:t>
      </w:r>
      <w:hyperlink r:id="rId4" w:tgtFrame="_blank" w:tooltip="to EUR-Lex" w:history="1">
        <w:r>
          <w:rPr>
            <w:rFonts w:ascii="Arial" w:hAnsi="Arial"/>
            <w:color w:val="0000EE"/>
            <w:sz w:val="21"/>
            <w:u w:val="single" w:color="0000EE"/>
          </w:rPr>
          <w:t>Commission Delegated Directive 2014/109/EU</w:t>
        </w:r>
      </w:hyperlink>
      <w:r>
        <w:rPr>
          <w:rFonts w:ascii="Arial" w:hAnsi="Arial"/>
          <w:sz w:val="21"/>
        </w:rPr>
        <w:t xml:space="preserve"> of 10 October 2014 amending </w:t>
      </w:r>
      <w:hyperlink r:id="rId5" w:tgtFrame="_blank" w:tooltip="to EUR-Lex" w:history="1">
        <w:r>
          <w:rPr>
            <w:rFonts w:ascii="Arial" w:hAnsi="Arial"/>
            <w:color w:val="0000EE"/>
            <w:sz w:val="21"/>
            <w:u w:val="single" w:color="0000EE"/>
          </w:rPr>
          <w:t>Annex II to Directive 2014/40/EU</w:t>
        </w:r>
      </w:hyperlink>
      <w:r>
        <w:rPr>
          <w:rFonts w:ascii="Arial" w:hAnsi="Arial"/>
          <w:sz w:val="21"/>
        </w:rPr>
        <w:t xml:space="preserve"> of the European Parliament and of the Council by establishing the library of picture warnings to be used on tobacco products (OJ L 360, 17. 12. 2014, p. 22)’ is replaced by the words ‘</w:t>
      </w:r>
      <w:hyperlink r:id="rId6" w:tgtFrame="_blank" w:tooltip="to EUR-Lex" w:history="1">
        <w:r>
          <w:rPr>
            <w:rFonts w:ascii="Arial" w:hAnsi="Arial"/>
            <w:color w:val="0000EE"/>
            <w:sz w:val="21"/>
            <w:u w:val="single" w:color="0000EE"/>
          </w:rPr>
          <w:t>Commission Delegated Directive (EU) 2022/2100</w:t>
        </w:r>
      </w:hyperlink>
      <w:r>
        <w:rPr>
          <w:rFonts w:ascii="Arial" w:hAnsi="Arial"/>
          <w:sz w:val="21"/>
        </w:rPr>
        <w:t xml:space="preserve"> of 29 June 2022 amending </w:t>
      </w:r>
      <w:hyperlink r:id="rId7" w:tgtFrame="_blank" w:tooltip="to EUR-Lex" w:history="1">
        <w:r>
          <w:rPr>
            <w:rFonts w:ascii="Arial" w:hAnsi="Arial"/>
            <w:color w:val="0000EE"/>
            <w:sz w:val="21"/>
            <w:u w:val="single" w:color="0000EE"/>
          </w:rPr>
          <w:t>Directive 2014/40/EU</w:t>
        </w:r>
      </w:hyperlink>
      <w:r>
        <w:rPr>
          <w:rFonts w:ascii="Arial" w:hAnsi="Arial"/>
          <w:sz w:val="21"/>
        </w:rPr>
        <w:t xml:space="preserve"> of the European Parliament and of the Council as regards the withdrawal of certain exemptions in respect of heated tobacco products (OJ L 283, 3. 11. 2022, p.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3, point 12 is amended to read as follows:</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An electronic cigarette is a product that can be used to inhale nicotine-containing vapour through a mouthpiece or any component of that product, including a cartridge, a tank, and a device without a cartridge or a tank. Electronic cigarettes may be either disposable after use or refillable using a refill container and tank, or they can be refilled with a single-use cartridge.’. An electronic cigarette shall also be considered to be an electronic cigarette if it is refilled using a nicotine-free refill container and tank, or refilled with a nicotine-free disposable refill for inhaling nicotine-free vapours.’.</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12.a is added after point 12, which reads as follows:</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A nicotine-free electronic cigarette is a disposable product that contains a tank with a non-nicotine liquid and is used to inhale vapours that do not contain nicotine through the mouthpiece or any component of this product.’.</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17 is deleted.</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19.a is added after point 19, which reads as follows:</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A novel nicotine product is a product that does not belong to any of the following categories of products that contain nicotine but do not contain tobacco: electronic cigarettes, refill containers and registered nicotine replacement therapy products.’.</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22.a is added after point 22, which reads as follows:</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A heated tobacco product is a novel tobacco product that is heated to produce an emission containing nicotine and other chemicals, which is then inhaled by user(s) and that, depending on its characteristics, is a smokeless tobacco product or a tobacco product for smoking.’.</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23.a is added after point 23, which reads as follows:</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A nicotine-free refill container is a receptacle that contains a non-nicotine liquid, which can be used to refill an electronic cigarette.’.</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25 is amended to read as follows:</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Related products under </w:t>
      </w:r>
      <w:hyperlink r:id="rId8" w:tgtFrame="_blank" w:tooltip="to EUR-Lex" w:history="1">
        <w:r>
          <w:rPr>
            <w:rFonts w:ascii="Arial" w:hAnsi="Arial"/>
            <w:color w:val="0000EE"/>
            <w:sz w:val="21"/>
            <w:u w:val="single" w:color="0000EE"/>
          </w:rPr>
          <w:t>Directive 2014/40/EU</w:t>
        </w:r>
      </w:hyperlink>
      <w:r>
        <w:rPr>
          <w:rFonts w:ascii="Arial" w:hAnsi="Arial"/>
          <w:sz w:val="21"/>
        </w:rPr>
        <w:t xml:space="preserve"> are electronic cigarettes and refill containers, and herbal products for smoking. In accordance with this Act, related products also include nicotine-free electronic cigarettes and nicotine-free refill containers, heated herbal products, novel tobacco products, novel nicotine products. In accordance with this Act, related products are also accessories or devices for using related products referred to in the first sentence and the previous sentence of this section, without which the related products cannot be used.’.</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40 is amended to read as follows:</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Roll-your-own tobacco is tobacco which can be used for making cigarettes by consumers or retail outlets.’.</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50.a is added after point 50, which reads as follows:</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A heated herbal product is a product based on plants, herbs or fruit, which does not contain tobacco, during the use of which the heating process takes place.’.</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11, the paragraph 1 is amended to read as follows:</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The placing on the market of cigarettes, roll-your-own tobacco and heated tobacco products with a characterising flavour shall be prohibited.’.</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12, the paragraph 2 is amended to read as follows:</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The placing on the market of cigarettes, roll-your-own tobacco and heated tobacco products containing flavouring substances in any of the components, such as filters, paper, wrappings and capsules, or having technical characteristics which make it possible to alter the smell or taste of the tobacco product or smoke intensity shall be prohibited. Filters, papers and capsules shall not contain tobacco or nicotine.’.</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13, a new paragraph 7 is added after paragraph 6 which reads:</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Images of unit packets and any outside packaging of tobacco products targeted at consumers shall comply with the provisions of Section 2 (Labelling and packaging) of Chapter II of this Act.’.</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14(1), the introductory sentence is amended to read as follows: ‘Each unit packet and outside packaging of tobacco products for smoking, including heated tobacco products in the case of tobacco products for smoking, shall bear the following general warning:’.</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the paragraph 2, the introductory sentence is amended to read as follows: ‘Each unit packet and outside packaging of tobacco products for smoking, including heated tobacco products in the case of tobacco products for smoking, shall bear the following information message:’.</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the paragraph 3, the first sentence is amended to read as follows: ‘In the case of unit packets containing cigarettes, unit packets with heated tobacco products in the case of tobacco products for smoking and square-shaped unit packets with roll-your-own tobacco, the general warning shall be displayed at the bottom of one side surface of the unit packet, while the information message shall be displayed at the bottom of the other side surface.’.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15(1), the first sentence is amended to read as follows: ‘Each unit packet and outside packaging of tobacco products for smoking, including heated tobacco products in the case of tobacco products for smoking, shall bear combined health warnings.’.</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22, paragraph 9 is amended to read as follows:</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The economic entity involved in the trade in tobacco products shall not modify or delete the recorded data.’.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25(2), in the first sentence, after the word ‘paragraph’, the comma and the words ‘when NLZOH considers this necessary due to changed conditions’ are deleted.</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paragraph 2, a new paragraph 3 is inserted, which reads as follows:</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shall charge manufacturers and importers fees for receiving, storing, handling and analysing the data submitted pursuant to this Article.’.</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existing paragraph 3, which becomes the paragraph 4, is amended to read:</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The Minister shall determine the form and method of notification and the amount of the fees referred to in this Article.’.</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26(3), the introductory sentence in the third sentence is amended to read as follows: ‘Electronic cigarettes, nicotine-free electronic cigarettes, refill containers and nicotine-free refill containers shall meet the following conditions:’.</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1 is amended to read as follows:</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 nicotine or non-nicotine liquid shall be placed on the market in dedicated refill containers with a volume not exceeding 10 ml, in disposable electronic cigarettes, electronic cigarettes without nicotine or in single use cartridges with or without nicotine, where the volume of a cartridge or a tank does not exceed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3 is amended to read as follows:</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 nicotine or non-nicotine liquid shall not contain the additives referred to in Article 12(1) of this Act;’.</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4 is amended to read as follows:</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only pure ingredients shall be used in the production of a nicotine or non-nicotine liquid. In the liquid, substances, except for the ingredients referred to in point 2 of the paragraph 2 of this Article, shall be present only in trace amounts, if such trace amounts are unavoidable from a technical point of view during production;’.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7 is amended to read as follows:</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they shall not be used by children, shall be protected against tampering, breakage and leakage and have a mechanism that ensures refilling without leakage;’.</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point 8 is added after point 7, which reads as follows:</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a nicotine or non-nicotine liquid shall not contain any flavourings other than the taste or smell of tobacco.’.</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paragraph 5, the introductory sentence is amended to read as follows: ‘Packages and outer packaging of electronic cigarettes, nicotine-free electronic cigarettes, refill containers and nicotine-free refill containers:’.</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Point 2 is amended to read as follows:</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regardless of the preceding point, they do not contain elements or characteristics referred to in Article 17 of this Act, except in the first indent of paragraph 1 regarding information on nicotine content and information relating to the taste or smell of tobacco, and, except for nicotine-free electronic cigarettes and refill containers without nicotine, they state the following health warning that meets the requirements of Article 16(2) and (3) of this Act: “This product contains nicotine which is a highly addictive substance. It is not recommended for use by non-smokers.”.’.</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paragraph 8, the following words are added at the end: ‘The NLZOH and the Health Inspectorate of the Republic of Slovenia shall, upon request, make all information received in accordance with this Article available to the European Commission and other EU Member States, ensuring that trade secrets and other confidential information are treated confidentially.’.</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 new paragraph 15 is added after paragraph 14, which reads:</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Provisions on the submission of the official notification referred to in paragraph 1, its content referred to in paragraph 2, the inclusion of instructions for use with the data referred to in paragraph 4, the submission of data referred to in paragraph 6, the monitoring of market development referred to in paragraph 7, publication on the Internet, making data available to the public and providing information referred to in paragraph 8, the establishment and maintenance of the data collection system and the transmission of collected data referred to in paragraph 9, the adoption of measures and the notification of authorities referred to in paragraph 10, the transfer of additional data referred to in paragraph 11, the communication referred to in paragraph 12, the right to charge fees referred to in paragraph 13 and the determination of more detailed conditions referred to in paragraph 14 of this Article, also apply to nicotine-free electronic cigarettes and nicotine-free refill containers.'.</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28, the title of the article is changed to read as follows: ‘(reporting of ingredients of herbal products for smoking and heated herbal products)’.</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Paragraph 1 is amended to read as follows:</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Manufacturers and importers of herbal products for smoking and heated herbal products shall submit to the NLZOH a list of all ingredients and their quantities used in the manufacture of these products, separately for each brand and for each type. The official notification shall be submitted electronically six months before the intended placing on the market of a new or modified herbal smoking product or heated herbal product. Manufacturers or importers of herbal products for smoking and herbal heated products shall notify NLZOH if the composition of the product is changed in such a way as to affect the data submitted pursuant to this Article.’.</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paragraph 2, a new paragraph 3 is inserted, which reads as follows:</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NLZOH shall charge manufacturers and importers fees for receiving, storing, handling, analysing and publishing the data submitted pursuant to this Article.’.</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existing paragraph 3, which becomes the paragraph 4, is amended to read:</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The Minister shall lay down more detailed conditions for reporting on the ingredients of herbal products for smoking and heated herbal products and the amount of fees referred to in this Article.’.</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title of Chapter V is amended to read as follows: ‘V. ADVERTISING, PROMOTION, SPONSORSHIP, SALE AND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30, the title of the article is changed to read as follows: ‘(prohibition of sale and acquisition)’.</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paragraph 6, new paragraphs 7 and 8 are added, which read as follows:</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An individual may not sell or place on the market tobacco, tobacco products or related products.</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An individual may not acquire tobacco, tobacco products or related products in contravention of this Article.’.</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30 a new Article 30.a is inserted, which reads as follows:</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(Import ban)</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The import of products referred to in Article 11(1), Article 12(1), (2) and (3), and Article 24 of this Act shall be prohibited.</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An individual may not import tobacco, tobacco products or related products, with the exception of products that are exempted from paying import duties in shipments or personal luggage of the passenger in accordance with the regulation governing the system of customs exemptions in the EU.’.</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title of Chapter VII is amended to read as follows: ‘VII. SMOKING BAN’.</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39(3), at the end of the third indent, the semicolon is replaced by a period, and the fourth indent is deleted.</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paragraph 4 is deleted.</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paragraph 5 becomes the paragraph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Article 40 is deleted.</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wording of Article 41 is amended to read as follows:</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Supervision over the implementation of this Act shall be carried out by the Health Inspectorate of the Republic of Slovenia, the Labour Inspectorate of the Republic of Slovenia, the Market Inspectorate of the Republic of Slovenia, the Financial Administration of the Republic of Slovenia and the police and city warden services.</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The Health Inspectorate of the Republic of Slovenia supervises:</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emissions of tar, nicotine and carbon monoxide from cigarettes referred to in Article 7 of this Act;</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the prohibition on the placing on the market of tobacco products with a characterising flavour referred to in Article 11 of this Act;</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the prohibition on the placing on the market of tobacco products containing additives referred to in Article 12 of this Act;</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reporting and informing producers and importers about the ingredients and emissions of tobacco products and related products in accordance with Article 9, Article 10, Article 25, Article 26(1), (2) and (6), and Article 28 of this Act;</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5. obligations to be fulfilled by producers, importers and distributors of electronic cigarettes, electronic cigarettes without nicotine, refill containers and refill containers without nicotine referred to in Article 26(9), (10) and (11) of this Act and the conditions to be met by electronic cigarettes, </w:t>
      </w:r>
      <w:r>
        <w:rPr>
          <w:rFonts w:ascii="Arial" w:hAnsi="Arial"/>
          <w:sz w:val="21"/>
        </w:rPr>
        <w:lastRenderedPageBreak/>
        <w:t>electronic cigarettes without nicotine, refill containers and refill containers without nicotine referred to in Article 26(3) of this Act;</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the prohibition of smoking or the use of tobacco, tobacco products and related products, other than chewing tobacco and nasal tobacco, in public spaces referred to in Article 39 of this Act;</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individuals who do not comply with the prohibition of smoking or the use of tobacco, tobacco products and related products, other than chewing tobacco and nasal tobacco, in public spaces referred to in Article 39 of this Act.</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The Health Inspectorate of the Republic of Slovenia, on the basis of its own findings or the findings of NLZOH that tobacco, tobacco products and related products are produced, sold or placed on the market in contravention of Articles 7, 8, 11, 12 and 26 of this Act, by a decision prohibits the production and sale of these products and orders their removal from production and sale.</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The Health Inspectorate of the Republic of Slovenia, based on the findings of the NLZOH, that for a certain brand and type of tobacco, tobacco products and related products, their producers and importers do not fulfil the obligation to report or inform about the products referred to in Articles 9, 10, 25, 26 and 28 of this Act, by a decision prohibits the sale of these products and orders their removal from sale.</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At the request of the Health Inspectorate of the Republic of Slovenia or the Financial Administration of the Republic of Slovenia, NLZOH may carry out laboratory testing of tobacco, tobacco products and related products. Legal and natural persons who place tobacco, tobacco products and related products on the market must make a sample of such product available to the competent inspector (hereinafter referred to as “inspector”) free of charge. If, through laboratory testing, it is established that the sample taken during the control procedure does not comply with the provisions of this Act, the costs of the laboratory testing shall be borne by the legal or natural person from whom the sample was taken.</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The Labour Inspectorate of the Republic of Slovenia supervises:</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the prohibition of smoking or the use of tobacco, tobacco products and related products, other than chewing tobacco and nasal tobacco, in workplaces referred to in Article 39 of this Act;</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individuals who do not comply with the prohibition of smoking or the use of tobacco, tobacco products and related products, other than chewing tobacco and nasal tobacco, in workplaces referred to in Article 39 of this Act.</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The Market Inspectorate of the Republic of Slovenia supervises business entities, namely:</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the conditions to be met by tobacco and tobacco products referred to in Articles 13 to 20 of this Act;</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the prohibition on the placing on the market of tobacco for oral use referred to in Article 24 of this Act;</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the conditions to be met by electronic cigarettes, electronic cigarettes without nicotine, refill containers and refill containers without nicotine referred to in Article 26(4) and (5) of this Act;</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the conditions to be met by herbal products for smoking referred to in Article 27 of this Act;</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5. the prohibition of sponsorship and advertising of tobacco, tobacco products and related products referred to in Article 29 of this Act;</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the prohibition of sales referred to in Articles 30 and 31 of this Act;</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the sale of tobacco, tobacco products and related products without the authorisation referred to in Article 32 of this Act and the visibility of the authorisation in the business premises referred to in Article 34(3) of this Act.</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The Financial Administration of the Republic of Slovenia supervises:</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conditions laid down in Articles 22 and 23 of this Act to be met by tobacco and tobacco products;</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the conditions to be met by electronic cigarettes, electronic cigarettes without nicotine, refill containers and refill containers without nicotine referred to in Article 26(3) of this Act when imported from third countries, with the support provided by the Health Inspectorate of the Republic of Slovenia;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individuals who sell, place on the market or acquire tobacco, tobacco or related products in contravention of Article 30(7) and (8) of this Act;</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the import ban referred to in Article 30.a of this Act;</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sale of tobacco, tobacco products and related products without authorisation referred to in Article 32 of this Act.</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If the Market Inspectorate of the Republic of Slovenia determines that tobacco and tobacco products are produced, sold or placed on the market in contravention of Articles 13 to 20 of this Act or are sold without the authorisation referred to in Article 32 of this Act, it shall issue a decision prohibiting their production, sale or placing on the market and order their removal from production or sale.</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If the Financial Administration of the Republic of Slovenia determines that tobacco, tobacco products and tobacco related products are sold without the authorisation referred to in Article 32 of this Act, it shall issue a decision prohibiting their sale and order their removal from production or sale.</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The Health Inspectorate of the Republic of Slovenia shall, on the basis of the notification referred to in Article 26(12) of this Act, adopt appropriate temporary measures for the protection of human health, which include a ban on the sale of a particular product or a withdrawal of a particular product from the market.</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If the competent inspection body determines that tobacco or related products are produced, sold or placed on the market in contravention of Articles 26 and 27 of this Act or without the authorisation referred to in Article 32 of this Act, it shall issue a decision prohibiting the sale, placing on the market or production of these products and order their removal from production or sale.</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If the Market Inspectorate of the Republic of Slovenia determines that tobacco, tobacco products or tobacco related products are being sponsored or advertised in contravention of Article 29 of this Act, such sponsorship or advertising shall be prohibited by decision. In order to enforce the decision, it orders the immediate removal of advertising material at the expense of the business entity.</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(14) The competent inspector may cooperate with a person under the age of 18 in carrying out supervision of the prohibition on the sale of tobacco, tobacco products and tobacco related products to persons under 18 years of age referred to in Article 30(1) of this Act. For the participation of minors, the prior written consent of their parents or guardians shall be obtained.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The police and city warden services control the prohibition of smoking in all vehicles in the presence of persons under the age of 18, as referred to in Article 39(1) of this Act.’.</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42, the paragraph 1 is amended to read as follows:</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 legal entity shall be fined between EUR 4 000 and EUR 33 000 for an offence:</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if it produces, sells or places on the market cigarettes that contain higher contents of tar, nicotine and carbon monoxide, as specified in Article 7 of this Act;</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if it sells or places on the market tobacco products for which the obligation to report on the ingredients and emissions of these products has not been fulfilled (Articles 9 and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if it produces, places on the market or sells tobacco products with a characteristic flavour (Article 11) or with additives referred to in Article 12(1) and (3) of this Act, or if it produces, sells or places on the market tobacco products that contain aromatic substances in any of their components (Article 12(2));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if it places on the market or sells tobacco products and smokeless tobacco products that do not meet the conditions regarding labelling, packaging, general warnings, informative messages and combined health warnings (Articles 13, 14, 15 and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if it places on the market or sells tobacco products whose labelling or outside packaging contravenes the provisions of Article 17 of this Act;</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if it places on the market or sells cigarette packets and outside packaging of cigarettes whose appearance and content contravene the provisions of Article 18 of this Act;</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if it places on the market or sells unit packets of roll-your-own tobacco and outside packaging of roll-your-own tobacco whose appearance and content contravene the provisions of Article 19 of this Act;</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if it places on the market or sells cigarettes, the appearance of which contravenes the provisions of Article 20 of this Act;</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if it does not make the unique identifier readily available (Article 22(4));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if it does not record the entry of all unit packets and intermediate movements and the final amount of unit packets from its possession in such a way as to enable the clear and unambiguous identification and tracking of all unit packets (Article 22(5));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if it does not keep records of all completed transactions (Article 22(6));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12. if it does not provide the economic entities involved in the trade in tobacco products, from the producer to the last economic entity, before the first sale at the point of sale, including importers, </w:t>
      </w:r>
      <w:r>
        <w:rPr>
          <w:rFonts w:ascii="Arial" w:hAnsi="Arial"/>
          <w:sz w:val="21"/>
        </w:rPr>
        <w:lastRenderedPageBreak/>
        <w:t>warehouses and transport companies, the equipment for recording tobacco products, or if the equipment provided does not enable electronic reading and unambiguous identification and tracking of all unit packets (Article 22(7));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if it changes or deletes the recorded data (Article 22(9));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if it places on the market or sells tobacco products without an identification mark or a security feature, if the identification mark is incomplete or if the security feature does not meet the required technical standards (Article 22(1), (2) and (3), and Article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if it places on the market or sells tobacco for oral use (Article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if it sells or places on the market novel tobacco products in contravention of Article 25 of this Act;</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if it produces, sells or places on the market electronic cigarettes, electronic cigarettes without nicotine, refill containers or refill containers without nicotine in contravention of Article 26(3), (4), (5) and (10) of this Act;</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if it produces, sells or places on the market electronic cigarettes, electronic cigarettes without nicotine, refill containers or refill containers without nicotine in contravention of Article 26(1), (2), (6) and (11) of this Act;</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19. if it places on the market or sells </w:t>
      </w:r>
      <w:proofErr w:type="gramStart"/>
      <w:r>
        <w:rPr>
          <w:rFonts w:ascii="Arial" w:hAnsi="Arial"/>
          <w:sz w:val="21"/>
        </w:rPr>
        <w:t>a</w:t>
      </w:r>
      <w:proofErr w:type="gramEnd"/>
      <w:r>
        <w:rPr>
          <w:rFonts w:ascii="Arial" w:hAnsi="Arial"/>
          <w:sz w:val="21"/>
        </w:rPr>
        <w:t xml:space="preserve"> herbal product for smoking in contravention of Article 27 of this Act;</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if it does not report the ingredients of herbal products for smoking and heated herbal products in accordance with Article 28 of this Act;</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if it donates or sponsors an event, activity or individual and directly or indirectly advertises and promotes tobacco products and related products (Article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if it is displays or uses tobacco, tobacco products and tobacco related products on television and in the context of public appearances (Article 29(7));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if it sells tobacco, tobacco products or tobacco related products to persons under the age of 18, or if it does not post the prohibition of sale in a visible place, or if it sells tobacco, tobacco products or tobacco related products to a person under the age of 18 (Article 30(1) and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if it sells or places on the market tobacco, tobacco products or tobacco related products in contravention of Article 30(3) of this Act;</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if it sells or places on the market tobacco, tobacco products or tobacco related products outside the producer’s original packaging (Article 30(4));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if it places on the market or makes cross-border distance sales of tobacco, tobacco products or tobacco related products via the Internet, telecommunications or other evolving technology (Article 30(5));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if produces, places on the market or makes cross-border distance sales of sweets, snacks, toys or other items in the form of tobacco products or tobacco related products intended for persons under the age of 18 (Article 30(6));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if it imports products referred to in Article 11(1), Article 12(1), (2) and (3), and Article 24 of this Act;</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29. if it does not visibly display the authorisation for the sale of tobacco, tobacco products and tobacco related products in the business premises (Article 34(3));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if it does not ensure compliance with the prohibition on smoking or the use of tobacco, tobacco products and tobacco related products, except for chewing tobacco and nasal tobacco, in closed public and work spaces and in spaces that are not considered closed spaces under this Act, if they are part of the functional land belonging to the facilities in which upbringing or education activities are carried out (Article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The paragraphs 4, 5 and 6 are amended to read as follows:</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For the offences referred to in points 1, 3 </w:t>
      </w:r>
      <w:hyperlink r:id="rId9" w:tgtFrame="_blank" w:tooltip="to EUR-Lex" w:history="1">
        <w:r>
          <w:rPr>
            <w:rFonts w:ascii="Arial" w:hAnsi="Arial"/>
            <w:color w:val="0000EE"/>
            <w:sz w:val="21"/>
            <w:u w:val="single" w:color="0000EE"/>
          </w:rPr>
          <w:t>–15, 17, 19</w:t>
        </w:r>
      </w:hyperlink>
      <w:r>
        <w:rPr>
          <w:rFonts w:ascii="Arial" w:hAnsi="Arial"/>
          <w:sz w:val="21"/>
        </w:rPr>
        <w:t>, 25 and 28 of paragraph 1 of this Article, in addition to the main sanction, the confiscation of tobacco, tobacco products or tobacco related products that are the subject of the offence and the confiscation of items with which the offence has been committed shall be imposed. A collateral sanction shall also be imposed if tobacco, tobacco products or tobacco related products are not the property of the offender or are not in the possession of the legal entity. The confiscation of the item may be waived if the offender proves the legal origin of the tobacco, tobacco products or tobacco related products, or if the imposition of a collateral sanction of the confiscation of the items of the offence would be clearly disproportionate to the gravity of the act and the consequences of the offence.</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 fine of EUR 50 000 shall be imposed on a legal entity, a sole trader or an individual carrying out an activity independently that sells tobacco, tobacco products or tobacco related products without authorisation (Article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A fine of EUR 5 000 shall be imposed on a responsible person of a legal entity, a responsible person of a sole trader or an individual carrying out an activity independently that sells tobacco, tobacco products or tobacco related products without authorisation (Article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43, the paragraph 1 is amended to read as follows:</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An individual person shall be fined between EUR 125 and EUR 5 000 for an offence:</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if it acquires tobacco, tobacco products or tobacco related products in contravention of Article 30 of this Act;</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if it imports products in contravention of Article 30.a(1) or (2) of this Act;</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if it smokes or uses tobacco, tobacco products or tobacco related products in public or work places where this is prohibited (Article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the paragraph 2, new, paragraphs 3 and 4 are added, which read:</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An individual person shall be fined between EUR 3 000 and EUR 5 000 for an offence:</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if, for the purpose of advertising, it offers tobacco, tobacco products and tobacco related products free of charge in a public place or in public premises in contravention of Article 29(3) of this Act;</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if it sells or places on the market tobacco, tobacco products or tobacco related products in contravention of Article 30(7) of this Act.</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For offences referred to in the first and second indents of the first paragraph of this Article and for offences referred to in the first and second indents of the preceding paragraph, in addition to the main sanction, the confiscation of tobacco, tobacco products or tobacco related products that are the subject of the offence and the confiscation of items with which the offence has been committed shall be imposed. A collateral sanction shall also be imposed if tobacco, tobacco products or tobacco related products are not the property of the offender or are not in his possession. The confiscation of the item may be waived if the offender proves the legal origin of the tobacco, tobacco products or tobacco related products, or if the imposition of a collateral sanction of the confiscation of the items of the offence would be clearly disproportionate to the gravity of the act and the consequences of the offence.’.</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43, a new Article 43.a is inserted, which reads as follows:</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(Imposing a fine in an expedited misdemeanour procedure)</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For offences referred to in this Act, a fine may be imposed under an expedited procedure in an amount that is higher than the minimum prescribed fine determined by this Act.</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TRANSITIONAL AND FINAL PROVISIONS</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(Harmonising of actions)</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Electronic cigarettes, electronic cigarettes without nicotine, refill containers and refill containers without nicotine with flavourings may be placed on the market for a maximum of 12 months after the entry into force of this Act.</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(Completion of procedures)</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Inspection and </w:t>
      </w:r>
      <w:proofErr w:type="spellStart"/>
      <w:r>
        <w:rPr>
          <w:rFonts w:ascii="Arial" w:hAnsi="Arial"/>
          <w:sz w:val="21"/>
        </w:rPr>
        <w:t>misdemeanor</w:t>
      </w:r>
      <w:proofErr w:type="spellEnd"/>
      <w:r>
        <w:rPr>
          <w:rFonts w:ascii="Arial" w:hAnsi="Arial"/>
          <w:sz w:val="21"/>
        </w:rPr>
        <w:t xml:space="preserve"> procedures initiated before the entry into force of this Act shall be concluded according to the regulations in force until now.</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(By-laws)</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The Minister shall issue regulations referred to in the amended Article 25(4) of the Act and the amended Article 28(4) of the Act within three months from the entry into force of this Act.</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The minister shall bring the provisions referred to in Article 26(14) of the Act in line with the new point 8 of paragraph 3 and the new paragraph 15 of Article 26 of the Act within three months from the entry into force of this Act.</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(Termination of validity and extension of application of existing regulations)</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The provisions of point 17 of Article 3, fourth indent of paragraph 3, and paragraph 4 of Article 39, Article 40, points 8 and 9 of paragraph 2 and points 3 and 4 of paragraph 6, and paragraph 14 of Article 41, point 30 of paragraph 1 of Article 42, and third indent of paragraph 1 of Article 43 of the Act on the Restriction of the Use of Tobacco and Related Products (Official Gazette of the Republic of Slovenia, Nos 9/17 and 29/17) shall apply to smoking rooms until 31 December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As of the date of entry into force of this Act, the Rules on the conditions to be met by a smoking room (Official Gazette of the Republic of Slovenia, No 52/17), which can be used until 31 December 2025, shall cease to apply.</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Article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(entry into force and application)</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This Act shall enter into force on the fifteenth day after its publication in the Official Journal of the Republic of Slovenia and shall apply from the thirtieth day after its entry into force.</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The Act on the Restriction of the Use of Tobacco and Related Products (Official Gazette of the Republic of Slovenia, Nos 9/17 and 29/17) shall apply until the entry into force of this Act.</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No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March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lastRenderedPageBreak/>
        <w:t>National Assembly</w:t>
      </w:r>
      <w:r>
        <w:rPr>
          <w:rFonts w:ascii="Arial" w:hAnsi="Arial"/>
          <w:sz w:val="21"/>
        </w:rPr>
        <w:br/>
        <w:t>of the Republic of Slovenia</w:t>
      </w:r>
      <w:r>
        <w:rPr>
          <w:rFonts w:ascii="Arial" w:hAnsi="Arial"/>
          <w:sz w:val="21"/>
        </w:rPr>
        <w:br/>
        <w:t>Danijel Krivec</w:t>
      </w:r>
      <w:r>
        <w:rPr>
          <w:rFonts w:ascii="Arial" w:hAnsi="Arial"/>
          <w:sz w:val="21"/>
        </w:rPr>
        <w:br/>
        <w:t>Vice-President</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7B5A29"/>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5624</Words>
  <Characters>28460</Characters>
  <Application>Microsoft Office Word</Application>
  <DocSecurity>0</DocSecurity>
  <Lines>466</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2024-08-14T11:52:00Z</dcterms:created>
  <dcterms:modified xsi:type="dcterms:W3CDTF">2024-08-14T11:52:00Z</dcterms:modified>
</cp:coreProperties>
</file>