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Recopilación de Leyes y Tratados Internacionales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R</w:t>
      </w:r>
      <w:r>
        <w:rPr>
          <w:rFonts w:ascii="Courier New" w:hAnsi="Courier New"/>
          <w:b w:val="0"/>
          <w:sz w:val="34"/>
        </w:rPr>
        <w:t>EPÚBLICA CHECA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Puesto a disposición el 5 de marzo de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Decreto del Gobierno n.º 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por el que se modifica el Reglamento</w:t>
      </w:r>
      <w:r>
        <w:br/>
        <w:t>n.º 463/2013 del Gobierno sobre las listas de sustancias adictivas,</w:t>
      </w:r>
      <w:r>
        <w:br/>
        <w:t>en su versión modificada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REGLAMENTO DEL GOBIERNO</w:t>
      </w:r>
      <w:r>
        <w:br/>
        <w:t>de 14 de febrero de 2024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por el que se modifica el Reglamento n.º 463/2013 del Gobierno sobre las listas de sustancias adictivas, en su versión modificada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 xml:space="preserve">De conformidad con el artículo 44 </w:t>
      </w:r>
      <w:proofErr w:type="spellStart"/>
      <w:r>
        <w:rPr>
          <w:i/>
          <w:iCs/>
        </w:rPr>
        <w:t>quater</w:t>
      </w:r>
      <w:proofErr w:type="spellEnd"/>
      <w:r>
        <w:t>, apartados 1 y 2, de la Ley n.º 167/1998 sobre sustancias adictivas y la modificación de determinadas leyes, en su versión modificada por la Ley n.º 273/2013 y la Ley n.º 366/2021, el Gobierno establece lo siguiente: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Artículo 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El Reglamento n.º 463/2013 del Gobierno sobre las listas de sustancias adictivas, en su versión modificada por el Reglamento n.º 243/2015 del Gobierno, el Reglamento n.º 46/2017 del Gobierno, el Reglamento n.º 30/2018 del Gobierno, el Reglamento n.º 242/2018 del Gobierno, el Reglamento n.º 184/2021 del Gobierno, el Reglamento n.º 159/2022 del Gobierno y el Reglamento n.º 228/2023 del Gobierno, se modifica como sigue: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En el cuadro del anexo 4, después de la fila que en la columna titulada «Otra denominación común internacional (DCI) u otra denominación común» contiene el texto «FUB-PB-22», se añade una nueva fila que en la columna titulada «Otra denominación común internacional (DCI) u otra denominación común» contiene el texto «</w:t>
      </w:r>
      <w:proofErr w:type="spellStart"/>
      <w:r>
        <w:t>Hexahidrocannabinol</w:t>
      </w:r>
      <w:proofErr w:type="spellEnd"/>
      <w:r>
        <w:t>», que en la columna titulada «Otra denominación común internacional (DCI) en checo/denominación común» contiene el texto «HHC», que en la columna titulada «Nombre químico (IUPAC)» contiene el texto «(6aR,10aR)-6,6,9-trimetil-3-pentil-6a,7,8,9,10,10a-hexahidrobenzo[c]cromen-1-ol», y que en la columna titulada «Nota» contiene el texto «Excepto el HHC si está contenido en una planta técnica de cáñamo, cáñamo técnico, extracto y tintura de cáñamo y preparado técnico de cáñamo en cantidades inferiores al 0,3 %. Esta exención no se aplicará a los productos alimenticios.».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En el cuadro del anexo 4, antes de la fila que en la columna titulada «Denominación común internacional (DCI) en checo/denominación común» contiene el texto «</w:t>
      </w:r>
      <w:proofErr w:type="spellStart"/>
      <w:r>
        <w:t>Hexedrona</w:t>
      </w:r>
      <w:proofErr w:type="spellEnd"/>
      <w:r>
        <w:t>», se añade una fila que en la columna titulada «Denominación común internacional (DCI) en checo/denominación común» contiene el texto «</w:t>
      </w:r>
      <w:proofErr w:type="spellStart"/>
      <w:r>
        <w:t>Hexahidrocannabinol</w:t>
      </w:r>
      <w:proofErr w:type="spellEnd"/>
      <w:r>
        <w:t>-O-acetato», que en la columna titulada «Otra denominación común internacional (DCI) u otra denominación común» contiene el texto «HHC-acetato, HHC-O», que en la columna titulada «Nombre químico (IUPAC)» contiene el texto «[(6aR,10aR)-6,6,9-trimetil-3-pentil-6a,7,8,9,10,10.a-hexahidrobenzo[c]cromo-1-il] acetato».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En el cuadro del anexo 4, antes de la fila que en la columna titulada «Denominación común internacional (DCI) en checo/denominación común» contiene el texto «Tetrahidrocannabinol», se añade una fila que en la columna titulada «Denominación común internacional (DCI) en checo/denominación común» contiene el texto «</w:t>
      </w:r>
      <w:proofErr w:type="spellStart"/>
      <w:r>
        <w:t>Tetrahidrocannabiforol</w:t>
      </w:r>
      <w:proofErr w:type="spellEnd"/>
      <w:r>
        <w:t>», que en la columna titulada «Otra denominación común internacional (DCI) u otra denominación común» contiene el texto «THCP», que en la columna titulada «Nombre químico (IUPAC)» contiene el texto «(6aR,10aR)-3-heptil-6,6,9-trimetil-6a,7,8,10a-tetrahidrobenzo[c]cromen-1-ol», y que en la columna titulada «Nota» contiene el texto «Excepto el THCP si está contenido en una planta técnica de cáñamo, cáñamo técnico, extracto y tintura de cáñamo y preparado técnico de cáñamo en cantidades inferiores al 0,3 %. Esta exención no se aplicará a los productos alimenticios.».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En el cuadro del anexo 4, se suprimen las líneas que contienen la palabra «</w:t>
      </w:r>
      <w:proofErr w:type="spellStart"/>
      <w:r>
        <w:t>Hexahidrocannabinol</w:t>
      </w:r>
      <w:proofErr w:type="spellEnd"/>
      <w:r>
        <w:t>», «</w:t>
      </w:r>
      <w:proofErr w:type="spellStart"/>
      <w:r>
        <w:t>Hexahidrocannabinol</w:t>
      </w:r>
      <w:proofErr w:type="spellEnd"/>
      <w:r>
        <w:t>-O-acetato» y «</w:t>
      </w:r>
      <w:proofErr w:type="spellStart"/>
      <w:r>
        <w:t>Tetrahidrocannabiforol</w:t>
      </w:r>
      <w:proofErr w:type="spellEnd"/>
      <w:r>
        <w:t xml:space="preserve">» en la columna titulada «Denominación común </w:t>
      </w:r>
      <w:r>
        <w:lastRenderedPageBreak/>
        <w:t>internacional (DCI) en lengua checa/denominación común».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t>Artículo 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Reglamento técnico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El presente Reglamento se notificó de acuerdo con la Directiva (UE) 2015/1535 del Parlamento Europeo y del Consejo, de 9 de septiembre de 2015, por la que se establece un procedimiento de información en materia de reglamentaciones técnicas y de reglas relativas a los servicios de la sociedad de la información.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Artículo 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Validez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El presente Reglamento del Gobierno entrará en vigor el día siguiente a la fecha de su promulgación, a excepción de las disposiciones del artículo I, punto 4, que entrará en vigor el 1 de enero de 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 xml:space="preserve">Primer </w:t>
      </w:r>
      <w:proofErr w:type="gramStart"/>
      <w:r>
        <w:t>Ministro</w:t>
      </w:r>
      <w:proofErr w:type="gramEnd"/>
      <w:r>
        <w:t>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proofErr w:type="spellStart"/>
      <w:r>
        <w:t>prof.</w:t>
      </w:r>
      <w:proofErr w:type="spellEnd"/>
      <w:r>
        <w:t xml:space="preserve"> </w:t>
      </w:r>
      <w:proofErr w:type="spellStart"/>
      <w:r>
        <w:t>PhDr</w:t>
      </w:r>
      <w:proofErr w:type="spellEnd"/>
      <w:r>
        <w:t>. Fiala, PhD,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 xml:space="preserve">Vice Primer </w:t>
      </w:r>
      <w:proofErr w:type="gramStart"/>
      <w:r>
        <w:t>Ministro</w:t>
      </w:r>
      <w:proofErr w:type="gramEnd"/>
      <w:r>
        <w:t xml:space="preserve"> y Ministro de Salud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proofErr w:type="spellStart"/>
      <w:r>
        <w:t>prof.</w:t>
      </w:r>
      <w:proofErr w:type="spellEnd"/>
      <w:r>
        <w:t xml:space="preserve"> Dr. </w:t>
      </w:r>
      <w:proofErr w:type="spellStart"/>
      <w:r>
        <w:t>Válek</w:t>
      </w:r>
      <w:proofErr w:type="spellEnd"/>
      <w:r>
        <w:t xml:space="preserve">, </w:t>
      </w:r>
      <w:proofErr w:type="spellStart"/>
      <w:r>
        <w:t>CSc</w:t>
      </w:r>
      <w:proofErr w:type="spellEnd"/>
      <w:r>
        <w:t>, MBA, EBIR, m. p.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Pr="00D97C88" w:rsidRDefault="009C0046">
      <w:pPr>
        <w:pStyle w:val="Zkladntext0"/>
        <w:spacing w:after="0" w:line="240" w:lineRule="auto"/>
        <w:jc w:val="both"/>
        <w:rPr>
          <w:sz w:val="16"/>
          <w:szCs w:val="16"/>
        </w:rPr>
      </w:pPr>
      <w:r w:rsidRPr="00D97C88">
        <w:rPr>
          <w:sz w:val="16"/>
          <w:szCs w:val="16"/>
        </w:rPr>
        <w:t xml:space="preserve">Publicado por: Ministerio del Interior, </w:t>
      </w:r>
      <w:proofErr w:type="spellStart"/>
      <w:r w:rsidRPr="00D97C88">
        <w:rPr>
          <w:sz w:val="16"/>
          <w:szCs w:val="16"/>
        </w:rPr>
        <w:t>Nad</w:t>
      </w:r>
      <w:proofErr w:type="spellEnd"/>
      <w:r w:rsidRPr="00D97C88">
        <w:rPr>
          <w:sz w:val="16"/>
          <w:szCs w:val="16"/>
        </w:rPr>
        <w:t xml:space="preserve"> </w:t>
      </w:r>
      <w:proofErr w:type="spellStart"/>
      <w:r w:rsidRPr="00D97C88">
        <w:rPr>
          <w:sz w:val="16"/>
          <w:szCs w:val="16"/>
        </w:rPr>
        <w:t>Štolou</w:t>
      </w:r>
      <w:proofErr w:type="spellEnd"/>
      <w:r w:rsidRPr="00D97C88">
        <w:rPr>
          <w:sz w:val="16"/>
          <w:szCs w:val="16"/>
        </w:rPr>
        <w:t xml:space="preserve"> 3, apartado de correos 21, 170 34 Praga 7• </w:t>
      </w:r>
      <w:r w:rsidRPr="00D97C88">
        <w:rPr>
          <w:b/>
          <w:sz w:val="16"/>
          <w:szCs w:val="16"/>
        </w:rPr>
        <w:t>Oficina editorial de la Recopilación de Leyes y Tratados Internacionales</w:t>
      </w:r>
      <w:r w:rsidRPr="00D97C88">
        <w:rPr>
          <w:sz w:val="16"/>
          <w:szCs w:val="16"/>
        </w:rPr>
        <w:t xml:space="preserve">: Ministerio del Interior, </w:t>
      </w:r>
      <w:proofErr w:type="spellStart"/>
      <w:r w:rsidRPr="00D97C88">
        <w:rPr>
          <w:sz w:val="16"/>
          <w:szCs w:val="16"/>
        </w:rPr>
        <w:t>nám</w:t>
      </w:r>
      <w:proofErr w:type="spellEnd"/>
      <w:r w:rsidRPr="00D97C88">
        <w:rPr>
          <w:sz w:val="16"/>
          <w:szCs w:val="16"/>
        </w:rPr>
        <w:t xml:space="preserve">. </w:t>
      </w:r>
      <w:proofErr w:type="spellStart"/>
      <w:r w:rsidRPr="00D97C88">
        <w:rPr>
          <w:sz w:val="16"/>
          <w:szCs w:val="16"/>
        </w:rPr>
        <w:t>Hrdinů</w:t>
      </w:r>
      <w:proofErr w:type="spellEnd"/>
      <w:r w:rsidRPr="00D97C88">
        <w:rPr>
          <w:sz w:val="16"/>
          <w:szCs w:val="16"/>
        </w:rPr>
        <w:t xml:space="preserve"> 1634/3, apartado de correos 155/SB, 140 21, Praga 4, teléfono: 974 817 289, correo electrónico:</w:t>
      </w:r>
      <w:hyperlink r:id="rId10" w:history="1">
        <w:r w:rsidRPr="00D97C88">
          <w:rPr>
            <w:sz w:val="16"/>
            <w:szCs w:val="16"/>
          </w:rPr>
          <w:t xml:space="preserve"> sbirka@mvcr.cz</w:t>
        </w:r>
      </w:hyperlink>
      <w:r w:rsidRPr="00D97C88">
        <w:rPr>
          <w:sz w:val="16"/>
          <w:szCs w:val="16"/>
        </w:rPr>
        <w:t xml:space="preserve"> • Tipo: </w:t>
      </w:r>
      <w:proofErr w:type="spellStart"/>
      <w:r w:rsidRPr="00D97C88">
        <w:rPr>
          <w:sz w:val="16"/>
          <w:szCs w:val="16"/>
        </w:rPr>
        <w:t>Tiskárna</w:t>
      </w:r>
      <w:proofErr w:type="spellEnd"/>
      <w:r w:rsidRPr="00D97C88">
        <w:rPr>
          <w:sz w:val="16"/>
          <w:szCs w:val="16"/>
        </w:rPr>
        <w:t xml:space="preserve"> </w:t>
      </w:r>
      <w:proofErr w:type="spellStart"/>
      <w:r w:rsidRPr="00D97C88">
        <w:rPr>
          <w:sz w:val="16"/>
          <w:szCs w:val="16"/>
        </w:rPr>
        <w:t>Ministerstva</w:t>
      </w:r>
      <w:proofErr w:type="spellEnd"/>
      <w:r w:rsidRPr="00D97C88">
        <w:rPr>
          <w:sz w:val="16"/>
          <w:szCs w:val="16"/>
        </w:rPr>
        <w:t xml:space="preserve"> </w:t>
      </w:r>
      <w:proofErr w:type="spellStart"/>
      <w:r w:rsidRPr="00D97C88">
        <w:rPr>
          <w:sz w:val="16"/>
          <w:szCs w:val="16"/>
        </w:rPr>
        <w:t>vnitra</w:t>
      </w:r>
      <w:proofErr w:type="spellEnd"/>
      <w:r w:rsidRPr="00D97C88">
        <w:rPr>
          <w:sz w:val="16"/>
          <w:szCs w:val="16"/>
        </w:rPr>
        <w:t xml:space="preserve"> [Imprenta del Ministerio del Interior], </w:t>
      </w:r>
      <w:proofErr w:type="spellStart"/>
      <w:r w:rsidRPr="00D97C88">
        <w:rPr>
          <w:sz w:val="16"/>
          <w:szCs w:val="16"/>
        </w:rPr>
        <w:t>Bartyňkova</w:t>
      </w:r>
      <w:proofErr w:type="spellEnd"/>
      <w:r w:rsidRPr="00D97C88">
        <w:rPr>
          <w:sz w:val="16"/>
          <w:szCs w:val="16"/>
        </w:rPr>
        <w:t xml:space="preserve"> 1159/4, buzón de correo electrónico 10, 149 00 Praga 11-Chodov • </w:t>
      </w:r>
      <w:r w:rsidRPr="00D97C88">
        <w:rPr>
          <w:b/>
          <w:sz w:val="16"/>
          <w:szCs w:val="16"/>
        </w:rPr>
        <w:t xml:space="preserve">La versión electrónica jurídicamente vinculante de la Recopilación de Leyes y Tratados Internacionales está disponible en: </w:t>
      </w:r>
      <w:hyperlink r:id="rId11" w:history="1">
        <w:r w:rsidRPr="00D97C88">
          <w:rPr>
            <w:b/>
            <w:sz w:val="16"/>
            <w:szCs w:val="16"/>
          </w:rPr>
          <w:t>www.e-sbirka.cz</w:t>
        </w:r>
      </w:hyperlink>
      <w:r w:rsidRPr="00D97C88">
        <w:rPr>
          <w:b/>
          <w:sz w:val="16"/>
          <w:szCs w:val="16"/>
        </w:rPr>
        <w:t xml:space="preserve"> </w:t>
      </w:r>
      <w:r w:rsidRPr="00D97C88">
        <w:rPr>
          <w:sz w:val="16"/>
          <w:szCs w:val="16"/>
        </w:rPr>
        <w:t xml:space="preserve">• Una versión impresa de una parte de la Recopilación de Leyes y Tratados Internacionales puede pedirse a la Imprenta del Ministerio del Interior, teléfono: 974 887 312, correo electrónico: </w:t>
      </w:r>
      <w:hyperlink r:id="rId12" w:history="1">
        <w:r w:rsidRPr="00D97C88">
          <w:rPr>
            <w:sz w:val="16"/>
            <w:szCs w:val="16"/>
          </w:rPr>
          <w:t>info@tmv.cz</w:t>
        </w:r>
      </w:hyperlink>
      <w:r w:rsidRPr="00D97C88">
        <w:rPr>
          <w:sz w:val="16"/>
          <w:szCs w:val="16"/>
        </w:rPr>
        <w:t xml:space="preserve">, </w:t>
      </w:r>
      <w:hyperlink r:id="rId13" w:history="1">
        <w:r w:rsidRPr="00D97C88">
          <w:rPr>
            <w:sz w:val="16"/>
            <w:szCs w:val="16"/>
          </w:rPr>
          <w:t>www.tmv.cz</w:t>
        </w:r>
      </w:hyperlink>
      <w:r w:rsidRPr="00D97C88">
        <w:rPr>
          <w:sz w:val="16"/>
          <w:szCs w:val="16"/>
        </w:rPr>
        <w:t xml:space="preserve"> • Las suscripciones terminan a partir del 1.1.2024.</w:t>
      </w:r>
    </w:p>
    <w:sectPr w:rsidR="00CD3059" w:rsidRPr="00D97C88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519A" w14:textId="77777777" w:rsidR="00597936" w:rsidRDefault="00597936">
      <w:r>
        <w:separator/>
      </w:r>
    </w:p>
  </w:endnote>
  <w:endnote w:type="continuationSeparator" w:id="0">
    <w:p w14:paraId="5369274A" w14:textId="77777777" w:rsidR="00597936" w:rsidRDefault="0059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11BD" w14:textId="77777777" w:rsidR="00597936" w:rsidRDefault="00597936"/>
  </w:footnote>
  <w:footnote w:type="continuationSeparator" w:id="0">
    <w:p w14:paraId="410CB8CC" w14:textId="77777777" w:rsidR="00597936" w:rsidRDefault="00597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Ley n.º 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Ley n.º 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>Ley n.º 52/2024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Ley n.º 52/2024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597936"/>
    <w:rsid w:val="009C0046"/>
    <w:rsid w:val="00A4367D"/>
    <w:rsid w:val="00CD3059"/>
    <w:rsid w:val="00D855F0"/>
    <w:rsid w:val="00D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s-ES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4778</Characters>
  <Application>Microsoft Office Word</Application>
  <DocSecurity>0</DocSecurity>
  <Lines>77</Lines>
  <Paragraphs>32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2024-05-16T11:44:00Z</dcterms:created>
  <dcterms:modified xsi:type="dcterms:W3CDTF">2024-05-16T11:44:00Z</dcterms:modified>
</cp:coreProperties>
</file>