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457C" w14:textId="6765B1FA" w:rsidR="00503C92" w:rsidRPr="00F122A6" w:rsidRDefault="00F122A6" w:rsidP="00EE0D48">
      <w:pPr>
        <w:pStyle w:val="Bodytext40"/>
        <w:numPr>
          <w:ilvl w:val="0"/>
          <w:numId w:val="1"/>
        </w:numPr>
        <w:tabs>
          <w:tab w:val="left" w:pos="265"/>
        </w:tabs>
        <w:ind w:left="1560" w:right="1830"/>
      </w:pPr>
      <w:r>
        <w:rPr>
          <w:rStyle w:val="Bodytext4"/>
          <w:b/>
        </w:rPr>
        <w:t xml:space="preserve"> OBECNÁ USTANOVENÍ</w:t>
      </w:r>
    </w:p>
    <w:p w14:paraId="58D891A5" w14:textId="77777777" w:rsidR="00503C92" w:rsidRPr="00F122A6" w:rsidRDefault="0037644B" w:rsidP="00EE0D48">
      <w:pPr>
        <w:pStyle w:val="Heading10"/>
        <w:keepNext/>
        <w:keepLines/>
        <w:ind w:left="1560" w:right="1830"/>
        <w:rPr>
          <w:sz w:val="28"/>
          <w:szCs w:val="28"/>
        </w:rPr>
      </w:pPr>
      <w:bookmarkStart w:id="0" w:name="bookmark0"/>
      <w:r>
        <w:rPr>
          <w:rStyle w:val="Heading1"/>
          <w:sz w:val="28"/>
        </w:rPr>
        <w:t>MINISTR ZEMĚDĚLSTVÍ, RYBOLOVU A VÝŽIVY</w:t>
      </w:r>
      <w:bookmarkEnd w:id="0"/>
    </w:p>
    <w:p w14:paraId="07583A7E" w14:textId="13D4FE06" w:rsidR="00503C92" w:rsidRPr="00F122A6" w:rsidRDefault="0037644B" w:rsidP="00F122A6">
      <w:pPr>
        <w:pStyle w:val="BodyText"/>
        <w:spacing w:after="260" w:line="240" w:lineRule="auto"/>
        <w:ind w:left="2694" w:right="1830" w:hanging="1134"/>
        <w:jc w:val="both"/>
        <w:rPr>
          <w:sz w:val="20"/>
          <w:szCs w:val="20"/>
        </w:rPr>
      </w:pPr>
      <w:r>
        <w:rPr>
          <w:rStyle w:val="BodyTextChar"/>
          <w:b/>
          <w:sz w:val="24"/>
        </w:rPr>
        <w:t xml:space="preserve">17371 </w:t>
      </w:r>
      <w:r>
        <w:rPr>
          <w:rStyle w:val="BodyTextChar"/>
          <w:b/>
          <w:sz w:val="24"/>
        </w:rPr>
        <w:tab/>
      </w:r>
      <w:r>
        <w:rPr>
          <w:rStyle w:val="BodyTextChar"/>
          <w:i/>
          <w:sz w:val="20"/>
        </w:rPr>
        <w:t>Královský výnos 840/2024 ze dne 27. srpna 2024, kterým se mění královský výnos 1051/2022 ze dne 27. prosince 2022, kterým se stanoví pravidla pro udržitelnou výživu zemědělské půdy.</w:t>
      </w:r>
    </w:p>
    <w:p w14:paraId="5EC89531" w14:textId="77777777" w:rsidR="00503C92" w:rsidRPr="00F122A6" w:rsidRDefault="0037644B" w:rsidP="00EE0D48">
      <w:pPr>
        <w:pStyle w:val="BodyText"/>
        <w:spacing w:after="0"/>
        <w:ind w:left="1560" w:right="1830" w:firstLine="360"/>
        <w:jc w:val="both"/>
        <w:rPr>
          <w:sz w:val="20"/>
        </w:rPr>
      </w:pPr>
      <w:r>
        <w:rPr>
          <w:rStyle w:val="BodyTextChar"/>
          <w:sz w:val="20"/>
        </w:rPr>
        <w:t>Královský výnos 1051/2022 ze dne 27. prosince 2022, kterým se stanoví pravidla pro udržitelnou výživu zemědělských půd, zavádí určitá základní pravidla pro racionální hnojení plodin prostřednictvím minimálních správných zemědělských postupů, které je třeba zohlednit při aplikaci živin do zemědělských půd. Kromě toho se zřizuje obecný registr výrobců a jiných hospodářských subjektů hnojivých výrobků, jehož dvojím cílem je zlepšit dozor nad trhem v souladu s ustanoveními nařízení Evropského parlamentu a Rady (EU) 2019/1009 ze dne 5. června 2019, kterým se stanoví pravidla pro dodávání hnojivých výrobků EU na trh, a královského výnosu č. 506/2013 ze dne 26. června 2013 o hnojivech a s nařízením Evropského parlamentu a Rady (EU) 2019/1020 ze dne 20. června 2019 o dozoru nad trhem a souladu výrobků s předpisy, a zároveň usnadnit provádění sběru údajů za účelem zlepšení výpočtu emisí do ovzduší vznikajících při používání hnojiv. Tento královský výnos mimo jiné upravuje povolání poradce pro hnojení, které podle článku 36 španělské ústavy není regulovaným povoláním.</w:t>
      </w:r>
    </w:p>
    <w:p w14:paraId="50105317" w14:textId="77777777" w:rsidR="00503C92" w:rsidRPr="00F122A6" w:rsidRDefault="0037644B" w:rsidP="00EE0D48">
      <w:pPr>
        <w:pStyle w:val="BodyText"/>
        <w:spacing w:after="0"/>
        <w:ind w:left="1560" w:right="1830" w:firstLine="360"/>
        <w:jc w:val="both"/>
        <w:rPr>
          <w:sz w:val="20"/>
        </w:rPr>
      </w:pPr>
      <w:r>
        <w:rPr>
          <w:rStyle w:val="BodyTextChar"/>
          <w:sz w:val="20"/>
        </w:rPr>
        <w:t>Po více než roce uplatňování tohoto nařízení je nyní nutné usnadnit provádění některých technických aspektů, posílit soudržnost s dalšími předpisy, jako je zákon č. 7/2022 ze dne 8. dubna 2022 o odpadech a kontaminované půdě pro oběhové hospodářství nebo odvětvové regionální předpisy, a vyjasnit nejasné formulace. Za tímto účelem se mění ustanovení týkající se evidence zemědělských podniků, plánu hnojení a ustanovení usnadňující používání statkových a organických hnojiv.</w:t>
      </w:r>
    </w:p>
    <w:p w14:paraId="1D506E7A" w14:textId="77777777" w:rsidR="00503C92" w:rsidRPr="00F122A6" w:rsidRDefault="0037644B" w:rsidP="00EE0D48">
      <w:pPr>
        <w:pStyle w:val="BodyText"/>
        <w:spacing w:after="0"/>
        <w:ind w:left="1560" w:right="1830" w:firstLine="360"/>
        <w:jc w:val="both"/>
        <w:rPr>
          <w:sz w:val="20"/>
        </w:rPr>
      </w:pPr>
      <w:r>
        <w:rPr>
          <w:rStyle w:val="BodyTextChar"/>
          <w:sz w:val="20"/>
        </w:rPr>
        <w:t>Proto jsou zahrnuty určité pobídky pro používání digitálního registru zemědělských podniků, neboť to není povinné, a informace v plánu hnojení, které musí být zahrnuty do registru zemědělských podniků, jsou podrobné, přičemž je také uvedeno, že jedním z klíčových bodů je stanovení dávky.</w:t>
      </w:r>
    </w:p>
    <w:p w14:paraId="31AAFEFC" w14:textId="77777777" w:rsidR="00503C92" w:rsidRPr="00F122A6" w:rsidRDefault="0037644B" w:rsidP="00EE0D48">
      <w:pPr>
        <w:pStyle w:val="BodyText"/>
        <w:spacing w:after="0"/>
        <w:ind w:left="1560" w:right="1830" w:firstLine="360"/>
        <w:jc w:val="both"/>
        <w:rPr>
          <w:sz w:val="20"/>
        </w:rPr>
      </w:pPr>
      <w:r>
        <w:rPr>
          <w:rStyle w:val="BodyTextChar"/>
          <w:sz w:val="20"/>
        </w:rPr>
        <w:t>Zavádějí se nová a lépe navržená opatření ke snížení emisí amoniaku a zohledňují se další technologie ke snížení rizika vyplavování.</w:t>
      </w:r>
    </w:p>
    <w:p w14:paraId="0804DA06" w14:textId="77777777" w:rsidR="00503C92" w:rsidRPr="00F122A6" w:rsidRDefault="0037644B" w:rsidP="00EE0D48">
      <w:pPr>
        <w:pStyle w:val="BodyText"/>
        <w:spacing w:after="0"/>
        <w:ind w:left="1560" w:right="1830" w:firstLine="360"/>
        <w:jc w:val="both"/>
        <w:rPr>
          <w:sz w:val="20"/>
        </w:rPr>
      </w:pPr>
      <w:r>
        <w:rPr>
          <w:rStyle w:val="BodyTextChar"/>
          <w:sz w:val="20"/>
        </w:rPr>
        <w:t>S cílem usnadnit používání statkových hnojiv, hnojiv a jiných organických materiálů se zmírňují ustanovení o stohování nebo aplikaci týkající se doby zahrabání, odchylek a lhůt pro aplikaci. Zároveň se na seznam přijímaných odpadů přidává nový odpad, který upravuje jejich požadavky v souladu s trhem a zachovává kritéria bezpečnosti a agronomické účinnosti.</w:t>
      </w:r>
    </w:p>
    <w:p w14:paraId="3D2CCECE" w14:textId="24F053FE" w:rsidR="00503C92" w:rsidRPr="00F122A6" w:rsidRDefault="0037644B" w:rsidP="00EE0D48">
      <w:pPr>
        <w:pStyle w:val="BodyText"/>
        <w:spacing w:after="0"/>
        <w:ind w:left="1560" w:right="1830" w:firstLine="360"/>
        <w:jc w:val="both"/>
        <w:rPr>
          <w:sz w:val="20"/>
        </w:rPr>
      </w:pPr>
      <w:r>
        <w:rPr>
          <w:rStyle w:val="BodyTextChar"/>
          <w:sz w:val="20"/>
        </w:rPr>
        <w:t xml:space="preserve">Tento královský výnos byl vypracován v souladu se zásadami správné právní úpravy stanovenými v článku 129 zákona č. 39/2015 ze dne 1. října 2015 o společném správním řízení veřejné správy. V souladu se zásadami nezbytnosti a účinnosti je návrh odůvodněn potřebou lepšího uplatňování předpisů Evropské unie ve Španělsku, přičemž toto nařízení je nejvhodnějším nástrojem k zajištění tohoto cíle, neboť je závazné, že nařízení je obsaženo v základním nařízení. Je rovněž v souladu se zásadou proporcionality a s cílem omezit regulaci na nezbytné minimum, aby se snížila intenzita regulace. Zásada právní jistoty je zase zaručena zavedením nových ustanovení v obecném ustanovení, která jsou v souladu s ostatními právními předpisy. Kromě toho byly v souladu se zásadou transparentnosti při zpracování nařízení konzultovány subjekty zastupující dotčená odvětví a byl proveden postup veřejného projednání a informování veřejnosti. V neposlední řadě se má za to, že je splněna zásada účinnosti, neboť ve srovnání se </w:t>
      </w:r>
      <w:r>
        <w:rPr>
          <w:rStyle w:val="BodyTextChar"/>
          <w:sz w:val="20"/>
        </w:rPr>
        <w:lastRenderedPageBreak/>
        <w:t>stávajícím nařízením nevzniká žádná nová administrativní zátěž.</w:t>
      </w:r>
    </w:p>
    <w:p w14:paraId="7B067845" w14:textId="77777777" w:rsidR="00503C92" w:rsidRPr="00F122A6" w:rsidRDefault="0037644B" w:rsidP="00EE0D48">
      <w:pPr>
        <w:pStyle w:val="BodyText"/>
        <w:spacing w:after="0"/>
        <w:ind w:left="1560" w:right="1830" w:firstLine="360"/>
        <w:jc w:val="both"/>
        <w:rPr>
          <w:sz w:val="20"/>
        </w:rPr>
      </w:pPr>
      <w:r>
        <w:rPr>
          <w:rStyle w:val="BodyTextChar"/>
          <w:sz w:val="20"/>
        </w:rPr>
        <w:t>Ustanovení tohoto královského výnosu jsou základními předpisy a vydávají se na základě čl. 149 odst. 1, pravidla 13, 16 a 23 španělské ústavy, která svěřují státu výlučné pravomoci v oblasti základů a koordinace obecného plánování hospodářské činnosti, základů a obecné koordinace zdravotnictví a základních právních předpisů v oblasti ochrany životního prostředí, aniž jsou dotčeny pravomoci autonomních společenství stanovit další pravidla ochrany.</w:t>
      </w:r>
    </w:p>
    <w:p w14:paraId="4240DB30" w14:textId="77777777" w:rsidR="00503C92" w:rsidRPr="00F122A6" w:rsidRDefault="0037644B" w:rsidP="00EE0D48">
      <w:pPr>
        <w:pStyle w:val="BodyText"/>
        <w:spacing w:after="0"/>
        <w:ind w:left="1560" w:right="1830" w:firstLine="360"/>
        <w:jc w:val="both"/>
        <w:rPr>
          <w:sz w:val="20"/>
        </w:rPr>
      </w:pPr>
      <w:r>
        <w:rPr>
          <w:rStyle w:val="BodyTextChar"/>
          <w:sz w:val="20"/>
        </w:rPr>
        <w:t>Toto nařízení se vydává v souladu s ustanoveními šestnáctého závěrečného ustanovení zákona 30/2022 ze dne 23. prosince 2022, kterým se upravuje systém řízení společné zemědělské politiky a související záležitosti.</w:t>
      </w:r>
    </w:p>
    <w:p w14:paraId="4D259E79" w14:textId="77777777" w:rsidR="00503C92" w:rsidRPr="00F122A6" w:rsidRDefault="0037644B" w:rsidP="00EE0D48">
      <w:pPr>
        <w:pStyle w:val="BodyText"/>
        <w:spacing w:after="0"/>
        <w:ind w:left="1560" w:right="1830" w:firstLine="360"/>
        <w:jc w:val="both"/>
        <w:rPr>
          <w:sz w:val="20"/>
        </w:rPr>
      </w:pPr>
      <w:r>
        <w:rPr>
          <w:rStyle w:val="BodyTextChar"/>
          <w:sz w:val="20"/>
        </w:rPr>
        <w:t>Nařízení bylo předloženo ke konzultaci autonomním společenstvím a městům Ceuta a Melilla na základě obecné povinnosti spolupráce mezi orgány veřejné správy, kterou ukládá čl. 3 odst. 1 písm. k) zákona č. 40/2015 ze dne 1. října 2015 o právním režimu veřejného sektoru.</w:t>
      </w:r>
    </w:p>
    <w:p w14:paraId="373D6039" w14:textId="77777777" w:rsidR="00503C92" w:rsidRPr="00F122A6" w:rsidRDefault="0037644B" w:rsidP="00EE0D48">
      <w:pPr>
        <w:pStyle w:val="BodyText"/>
        <w:spacing w:after="0"/>
        <w:ind w:left="1560" w:right="1830" w:firstLine="360"/>
        <w:jc w:val="both"/>
        <w:rPr>
          <w:sz w:val="20"/>
        </w:rPr>
      </w:pPr>
      <w:r>
        <w:rPr>
          <w:rStyle w:val="BodyTextChar"/>
          <w:sz w:val="20"/>
        </w:rPr>
        <w:t>Rovněž byl podroben postupu informování o technických normách a předpisech stanovenému směrnicí Evropského parlamentu a Rady (EU) 2015/1535 ze dne 9. září 2015, o postupu při poskytování informací v oblasti technických předpisů a předpisů pro služby informační společnosti, upravenému královským výnosem 1337/1999 ze dne 31. července 1999, kterým se upravuje předávání informací v oblasti technických norem a předpisů a pravidel pro služby informační společnosti.</w:t>
      </w:r>
    </w:p>
    <w:p w14:paraId="48A1437F" w14:textId="77777777" w:rsidR="00503C92" w:rsidRPr="00F122A6" w:rsidRDefault="0037644B" w:rsidP="00EE0D48">
      <w:pPr>
        <w:pStyle w:val="BodyText"/>
        <w:spacing w:after="240"/>
        <w:ind w:left="1560" w:right="1830" w:firstLine="360"/>
        <w:jc w:val="both"/>
        <w:rPr>
          <w:sz w:val="20"/>
        </w:rPr>
      </w:pPr>
      <w:r>
        <w:rPr>
          <w:rStyle w:val="BodyTextChar"/>
          <w:sz w:val="20"/>
        </w:rPr>
        <w:t>Na základě výše uvedeného, na návrh ministra zemědělství, rybolovu a potravinářství, po dohodě se Státní radou a po projednání Radou ministrů na jejím zasedání dne 27. srpna 2024,</w:t>
      </w:r>
    </w:p>
    <w:p w14:paraId="6DA74257" w14:textId="77777777" w:rsidR="00503C92" w:rsidRPr="00F122A6" w:rsidRDefault="0037644B" w:rsidP="00EE0D48">
      <w:pPr>
        <w:pStyle w:val="BodyText"/>
        <w:spacing w:after="180"/>
        <w:ind w:left="1560" w:right="1830" w:firstLine="0"/>
        <w:jc w:val="center"/>
        <w:rPr>
          <w:sz w:val="20"/>
        </w:rPr>
      </w:pPr>
      <w:r>
        <w:rPr>
          <w:rStyle w:val="BodyTextChar"/>
          <w:sz w:val="20"/>
        </w:rPr>
        <w:t>TÍMTO NAŘIZUJI NÁSLEDUJÍCÍ:</w:t>
      </w:r>
    </w:p>
    <w:p w14:paraId="44A8F054" w14:textId="77777777" w:rsidR="00503C92" w:rsidRPr="00F122A6" w:rsidRDefault="0037644B" w:rsidP="00BB487E">
      <w:pPr>
        <w:pStyle w:val="BodyText"/>
        <w:spacing w:after="140" w:line="257" w:lineRule="auto"/>
        <w:ind w:left="1985" w:right="1830" w:hanging="360"/>
        <w:jc w:val="both"/>
        <w:rPr>
          <w:sz w:val="20"/>
          <w:szCs w:val="20"/>
        </w:rPr>
      </w:pPr>
      <w:r>
        <w:rPr>
          <w:rStyle w:val="BodyTextChar"/>
          <w:b/>
          <w:sz w:val="20"/>
        </w:rPr>
        <w:t xml:space="preserve">Jediný článek. </w:t>
      </w:r>
      <w:r>
        <w:rPr>
          <w:rStyle w:val="BodyTextChar"/>
          <w:i/>
          <w:sz w:val="20"/>
        </w:rPr>
        <w:t>Změna královského výnosu 1051/2022 ze dne 27. prosince 2022, kterým se stanoví pravidla pro udržitelnou výživu zemědělské půdy.</w:t>
      </w:r>
    </w:p>
    <w:p w14:paraId="20188F93" w14:textId="77777777" w:rsidR="00503C92" w:rsidRPr="00F122A6" w:rsidRDefault="0037644B" w:rsidP="00EE0D48">
      <w:pPr>
        <w:pStyle w:val="BodyText"/>
        <w:spacing w:after="140"/>
        <w:ind w:left="1560" w:right="1830" w:firstLine="360"/>
        <w:jc w:val="both"/>
        <w:rPr>
          <w:sz w:val="20"/>
        </w:rPr>
      </w:pPr>
      <w:r>
        <w:rPr>
          <w:rStyle w:val="BodyTextChar"/>
          <w:sz w:val="20"/>
        </w:rPr>
        <w:t>Královský výnos 1051/2022 ze dne 27. prosince 2022, kterým se stanoví pravidla pro udržitelnou výživu zemědělské půdy, se mění takto:</w:t>
      </w:r>
    </w:p>
    <w:p w14:paraId="6948B1B2" w14:textId="77777777" w:rsidR="00503C92" w:rsidRPr="00F122A6" w:rsidRDefault="0037644B" w:rsidP="00EE0D48">
      <w:pPr>
        <w:pStyle w:val="BodyText"/>
        <w:spacing w:after="140"/>
        <w:ind w:left="1560" w:right="1830" w:firstLine="360"/>
        <w:jc w:val="both"/>
        <w:rPr>
          <w:sz w:val="20"/>
        </w:rPr>
      </w:pPr>
      <w:r>
        <w:rPr>
          <w:rStyle w:val="BodyTextChar"/>
          <w:sz w:val="20"/>
        </w:rPr>
        <w:t>Zaprvé. Článek 3 písm. d) zní takto:</w:t>
      </w:r>
    </w:p>
    <w:p w14:paraId="24D5FBD1" w14:textId="198E1DDF" w:rsidR="00503C92" w:rsidRPr="00F122A6" w:rsidRDefault="0037644B" w:rsidP="00EE0D48">
      <w:pPr>
        <w:pStyle w:val="BodyText"/>
        <w:spacing w:after="140"/>
        <w:ind w:left="1560" w:right="1830"/>
        <w:jc w:val="both"/>
        <w:rPr>
          <w:sz w:val="20"/>
        </w:rPr>
      </w:pPr>
      <w:r>
        <w:rPr>
          <w:rStyle w:val="BodyTextChar"/>
          <w:sz w:val="20"/>
        </w:rPr>
        <w:t>„d) kompost: materiál získaný aerobním a termofilním biologickým zpracováním odděleně sebraných biologicky rozložitelných odpadů, který při získání aerobním kompostováním v souladu s požadavky složky materiálové kategorie 3 (CMC 3) přílohy II nařízení Evropského parlamentu a Rady (EU) 2019/1009 ze dne 5. června 2019 dosáhne stavu konce odpadu, pokud zároveň splňuje požadavky nařízení o výrobcích.“</w:t>
      </w:r>
    </w:p>
    <w:p w14:paraId="402A47F5" w14:textId="77777777" w:rsidR="00503C92" w:rsidRPr="00F122A6" w:rsidRDefault="0037644B" w:rsidP="00F122A6">
      <w:pPr>
        <w:pStyle w:val="BodyText"/>
        <w:keepNext/>
        <w:spacing w:after="140"/>
        <w:ind w:left="1559" w:right="1831" w:firstLine="357"/>
        <w:jc w:val="both"/>
        <w:rPr>
          <w:sz w:val="20"/>
        </w:rPr>
      </w:pPr>
      <w:r>
        <w:rPr>
          <w:rStyle w:val="BodyTextChar"/>
          <w:sz w:val="20"/>
        </w:rPr>
        <w:t>Zadruhé. Článek 5 písm. a) zní takto:</w:t>
      </w:r>
    </w:p>
    <w:p w14:paraId="4150FC23" w14:textId="77777777" w:rsidR="00EE0D48" w:rsidRPr="00F122A6" w:rsidRDefault="0037644B" w:rsidP="00EE0D48">
      <w:pPr>
        <w:pStyle w:val="BodyText"/>
        <w:spacing w:after="140" w:line="276" w:lineRule="auto"/>
        <w:ind w:left="1560" w:right="1830"/>
        <w:jc w:val="both"/>
        <w:rPr>
          <w:rStyle w:val="BodyTextChar"/>
          <w:sz w:val="20"/>
        </w:rPr>
      </w:pPr>
      <w:r>
        <w:rPr>
          <w:rStyle w:val="BodyTextChar"/>
          <w:sz w:val="20"/>
        </w:rPr>
        <w:t>„a) následující údaje o plánu hnojení uvedeném v článku 6, pokud je jeho vypracování povinné, na začátku zemědělského roku: očekávaný výnos, předchozí plodina, N,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xml:space="preserve"> a K</w:t>
      </w:r>
      <w:r>
        <w:rPr>
          <w:rStyle w:val="BodyTextChar"/>
          <w:sz w:val="20"/>
          <w:vertAlign w:val="subscript"/>
        </w:rPr>
        <w:t>2</w:t>
      </w:r>
      <w:r>
        <w:rPr>
          <w:rStyle w:val="BodyTextChar"/>
          <w:sz w:val="20"/>
        </w:rPr>
        <w:t>O a datum vypracování plánu.“</w:t>
      </w:r>
    </w:p>
    <w:p w14:paraId="694AB235" w14:textId="47707BFA" w:rsidR="00503C92" w:rsidRPr="00F122A6" w:rsidRDefault="0037644B" w:rsidP="00EE0D48">
      <w:pPr>
        <w:pStyle w:val="BodyText"/>
        <w:spacing w:after="140"/>
        <w:ind w:left="1560" w:right="1830" w:firstLine="360"/>
        <w:jc w:val="both"/>
        <w:rPr>
          <w:sz w:val="20"/>
        </w:rPr>
      </w:pPr>
      <w:r>
        <w:rPr>
          <w:rStyle w:val="BodyTextChar"/>
          <w:sz w:val="20"/>
        </w:rPr>
        <w:t>Zatřetí. Ustanovení čl. 6 odst. 4 zní takto:</w:t>
      </w:r>
    </w:p>
    <w:p w14:paraId="71A37E88" w14:textId="77777777" w:rsidR="00503C92" w:rsidRPr="00F122A6" w:rsidRDefault="0037644B" w:rsidP="00EE0D48">
      <w:pPr>
        <w:pStyle w:val="BodyText"/>
        <w:ind w:left="1560" w:right="1830"/>
        <w:jc w:val="both"/>
        <w:rPr>
          <w:sz w:val="20"/>
        </w:rPr>
      </w:pPr>
      <w:r>
        <w:rPr>
          <w:rStyle w:val="BodyTextChar"/>
          <w:sz w:val="20"/>
        </w:rPr>
        <w:t>„4. Plán musí obsahovat doporučenou dávku jednotlivých živin, dobu, kdy mají být aplikovány, a také druh hnojiva nebo materiálu, způsob aplikace a distribuční techniku.“</w:t>
      </w:r>
    </w:p>
    <w:p w14:paraId="283A1B19" w14:textId="77777777" w:rsidR="00503C92" w:rsidRPr="00F122A6" w:rsidRDefault="0037644B" w:rsidP="00EE0D48">
      <w:pPr>
        <w:pStyle w:val="BodyText"/>
        <w:ind w:left="1560" w:right="1830"/>
        <w:jc w:val="both"/>
        <w:rPr>
          <w:sz w:val="20"/>
        </w:rPr>
      </w:pPr>
      <w:r>
        <w:rPr>
          <w:rStyle w:val="BodyTextChar"/>
          <w:sz w:val="20"/>
        </w:rPr>
        <w:t>Začtvrté. Článek 9 odst. 2 písm. g) zní takto:</w:t>
      </w:r>
    </w:p>
    <w:p w14:paraId="582E52F1" w14:textId="77777777" w:rsidR="00503C92" w:rsidRPr="00F122A6" w:rsidRDefault="0037644B" w:rsidP="00EE0D48">
      <w:pPr>
        <w:pStyle w:val="BodyText"/>
        <w:ind w:left="1560" w:right="1830"/>
        <w:jc w:val="both"/>
        <w:rPr>
          <w:sz w:val="20"/>
        </w:rPr>
      </w:pPr>
      <w:r>
        <w:rPr>
          <w:rStyle w:val="BodyTextChar"/>
          <w:sz w:val="20"/>
        </w:rPr>
        <w:t xml:space="preserve">„g) hromady obecně nesmí zůstat v ohradách déle než 10 dní. Pokud je naskládaný materiál kompostován nebo rozkládán, může být tato lhůta prodloužena až na 20 dní. </w:t>
      </w:r>
      <w:r>
        <w:rPr>
          <w:rStyle w:val="BodyTextChar"/>
          <w:sz w:val="20"/>
        </w:rPr>
        <w:lastRenderedPageBreak/>
        <w:t>Ohrady, které jsou pro stroje nepřístupné z důvodu dešťových srážek, jsou z této povinnosti vyňaty, dokud tato okolnost nepomine.“</w:t>
      </w:r>
    </w:p>
    <w:p w14:paraId="0430BE9F" w14:textId="77777777" w:rsidR="00503C92" w:rsidRPr="00F122A6" w:rsidRDefault="0037644B" w:rsidP="00EE0D48">
      <w:pPr>
        <w:pStyle w:val="BodyText"/>
        <w:ind w:left="1560" w:right="1830"/>
        <w:jc w:val="both"/>
        <w:rPr>
          <w:sz w:val="20"/>
        </w:rPr>
      </w:pPr>
      <w:r>
        <w:rPr>
          <w:rStyle w:val="BodyTextChar"/>
          <w:sz w:val="20"/>
        </w:rPr>
        <w:t>Zapáté. Čl. 10 odst. 2 a čl. 10 odst. 3 první a poslední pododstavec znějí takto:</w:t>
      </w:r>
    </w:p>
    <w:p w14:paraId="5D0D8FC9" w14:textId="77777777" w:rsidR="00503C92" w:rsidRPr="00F122A6" w:rsidRDefault="0037644B" w:rsidP="00EE0D48">
      <w:pPr>
        <w:pStyle w:val="BodyText"/>
        <w:spacing w:after="0"/>
        <w:ind w:left="1560" w:right="1830"/>
        <w:jc w:val="both"/>
        <w:rPr>
          <w:sz w:val="20"/>
        </w:rPr>
      </w:pPr>
      <w:r>
        <w:rPr>
          <w:rStyle w:val="BodyTextChar"/>
          <w:sz w:val="20"/>
        </w:rPr>
        <w:t>„2. Aplikace jiných organických nebo organominerálních materiálů, včetně odpadu, pomocí deskových, vějířových a dělových systémů je zakázána, pokud je vlhkost těchto materiálů 90 % nebo více a obsah amoniakálního dusíku v nich přesahuje 0,1 % v čerstvé hmotě.“</w:t>
      </w:r>
    </w:p>
    <w:p w14:paraId="6C51EA6F" w14:textId="77777777" w:rsidR="00503C92" w:rsidRPr="00F122A6" w:rsidRDefault="0037644B" w:rsidP="00EE0D48">
      <w:pPr>
        <w:pStyle w:val="BodyText"/>
        <w:spacing w:after="0"/>
        <w:ind w:left="1560" w:right="1830"/>
        <w:jc w:val="both"/>
        <w:rPr>
          <w:sz w:val="20"/>
        </w:rPr>
      </w:pPr>
      <w:r>
        <w:rPr>
          <w:rStyle w:val="BodyTextChar"/>
          <w:sz w:val="20"/>
        </w:rPr>
        <w:t>„3. „Hnůj a organické nebo organominerální produkty nebo materiály, včetně odpadu, musí být zakopány co nejdříve po aplikaci, a to vždy během prvních 24 hodin, pomocí radlice, dlátového pluhu, rotačního pluhu nebo zařízení zajišťujícího rovnocennou práci, pokud nenastane jedna z následujících okolností:“</w:t>
      </w:r>
    </w:p>
    <w:p w14:paraId="1D9B8B0E" w14:textId="77777777" w:rsidR="00503C92" w:rsidRPr="00F122A6" w:rsidRDefault="0037644B" w:rsidP="00EE0D48">
      <w:pPr>
        <w:pStyle w:val="BodyText"/>
        <w:ind w:left="1560" w:right="1830"/>
        <w:jc w:val="both"/>
        <w:rPr>
          <w:sz w:val="20"/>
        </w:rPr>
      </w:pPr>
      <w:r>
        <w:rPr>
          <w:rStyle w:val="BodyTextChar"/>
          <w:sz w:val="20"/>
        </w:rPr>
        <w:t>„Příslušné orgány autonomních společenství mohou s ohledem na agroklimatické charakteristiky svého území a druh použitého materiálu stanovit maximální dobu pro provedení tohoto pohřbívání kratší než 24 hodin, pokud je to povinné.“</w:t>
      </w:r>
    </w:p>
    <w:p w14:paraId="73324CC2" w14:textId="77777777" w:rsidR="00503C92" w:rsidRPr="00F122A6" w:rsidRDefault="0037644B" w:rsidP="00EE0D48">
      <w:pPr>
        <w:pStyle w:val="BodyText"/>
        <w:ind w:left="1560" w:right="1830"/>
        <w:jc w:val="both"/>
        <w:rPr>
          <w:sz w:val="20"/>
        </w:rPr>
      </w:pPr>
      <w:r>
        <w:rPr>
          <w:rStyle w:val="BodyTextChar"/>
          <w:sz w:val="20"/>
        </w:rPr>
        <w:t>Zašesté. Odstavce 2, 3 a 4 článku 12 znějí takto:</w:t>
      </w:r>
    </w:p>
    <w:p w14:paraId="6BB7A2EA" w14:textId="77777777" w:rsidR="00503C92" w:rsidRPr="00F122A6" w:rsidRDefault="0037644B" w:rsidP="00EE0D48">
      <w:pPr>
        <w:pStyle w:val="BodyText"/>
        <w:spacing w:after="0"/>
        <w:ind w:left="1560" w:right="1830"/>
        <w:jc w:val="both"/>
        <w:rPr>
          <w:sz w:val="20"/>
        </w:rPr>
      </w:pPr>
      <w:r>
        <w:rPr>
          <w:rStyle w:val="BodyTextChar"/>
          <w:sz w:val="20"/>
        </w:rPr>
        <w:t>„2. Podporuje se používání hnojiv, která produkují méně emisí amoniaku, méně emisí skleníkových plynů nebo snižují riziko vyplavování dusičnanů, a to pokud možno s ohledem na půdu, klima a vlastnosti plodin.</w:t>
      </w:r>
    </w:p>
    <w:p w14:paraId="7EF1CF55" w14:textId="77777777" w:rsidR="00503C92" w:rsidRPr="00F122A6" w:rsidRDefault="0037644B" w:rsidP="00EE0D48">
      <w:pPr>
        <w:pStyle w:val="BodyText"/>
        <w:numPr>
          <w:ilvl w:val="0"/>
          <w:numId w:val="2"/>
        </w:numPr>
        <w:tabs>
          <w:tab w:val="left" w:pos="1290"/>
        </w:tabs>
        <w:spacing w:after="0"/>
        <w:ind w:left="1560" w:right="1830"/>
        <w:jc w:val="both"/>
        <w:rPr>
          <w:sz w:val="20"/>
        </w:rPr>
      </w:pPr>
      <w:r>
        <w:rPr>
          <w:rStyle w:val="BodyTextChar"/>
          <w:sz w:val="20"/>
        </w:rPr>
        <w:t>Při použití močoviny nebo dusíkatých roztoků močovinyse použije alespoň jedna z metod uvedených v části B přílohy V, jakákoli jiná metoda, u níž byla prokázána podobná účinnost v době snižování emisí amoniaku  nebo vedení digitálního zemědělského registru, aniž by k tomu byla povinna podle ostatních ustanovení tohoto královského výnosu.</w:t>
      </w:r>
    </w:p>
    <w:p w14:paraId="1DABF87A" w14:textId="3D896EA7" w:rsidR="00503C92" w:rsidRPr="00F122A6" w:rsidRDefault="0037644B" w:rsidP="00EE0D48">
      <w:pPr>
        <w:pStyle w:val="BodyText"/>
        <w:numPr>
          <w:ilvl w:val="0"/>
          <w:numId w:val="2"/>
        </w:numPr>
        <w:tabs>
          <w:tab w:val="left" w:pos="1290"/>
        </w:tabs>
        <w:ind w:left="1560" w:right="1830"/>
        <w:jc w:val="both"/>
        <w:rPr>
          <w:sz w:val="20"/>
        </w:rPr>
      </w:pPr>
      <w:r>
        <w:rPr>
          <w:rStyle w:val="BodyTextChar"/>
          <w:sz w:val="20"/>
        </w:rPr>
        <w:t>Pokud se v průběhu jednoho roku zjistí, že dusík dodávaný močovinou a dusíkatými roztoky močoviny přesahuje 30 % celkového dusíku uvedeného na trh na vnitrostátní úrovni, musí si v následující sezóně podniky, které používají více než 20 % své potřeby dusíku pomocí močoviny nebo dusíkatých roztoků močoviny, vybrat jednu z metod uvedených v části B přílohy V, ty, které zajistí snížení emisí o nejméně 30 % ve srovnání s referenční technikou v souladu s odhady uvedenými v pokynech vypracovaných pracovní skupinou Evropské hospodářské komise OSN (EHK OSN) pro reaktivní dusík „Možnosti zmírnění emisí amoniaku“. Za tímto účelem se rozhodnutím generálního ředitelství pro zemědělskou produkci a trhy každoročně zveřejňuje množství dusíku uváděného na trh ve formě močoviny a dusíkatých roztoků močoviny jako podíl z celkového množství. V případě, že Ministerstvo pro ekologický přechod a demografické výzvy stanoví pro tyto techniky vnitrostátní redukční koeficienty, tyto koeficienty nahradí koeficienty stanovené ve výše uvedených pokynech EHK OSN.“</w:t>
      </w:r>
    </w:p>
    <w:p w14:paraId="696818E4" w14:textId="77777777" w:rsidR="00503C92" w:rsidRPr="00F122A6" w:rsidRDefault="0037644B" w:rsidP="00EE0D48">
      <w:pPr>
        <w:pStyle w:val="BodyText"/>
        <w:ind w:left="1560" w:right="1830"/>
        <w:jc w:val="both"/>
        <w:rPr>
          <w:sz w:val="20"/>
        </w:rPr>
      </w:pPr>
      <w:r>
        <w:rPr>
          <w:rStyle w:val="BodyTextChar"/>
          <w:sz w:val="20"/>
        </w:rPr>
        <w:t>Zasedmé. Ustanovení čl. 15 odst. 1 se mění a vkládá se nový odstavec 6, který zní:</w:t>
      </w:r>
    </w:p>
    <w:p w14:paraId="598FC1FC" w14:textId="77777777" w:rsidR="00503C92" w:rsidRPr="00F122A6" w:rsidRDefault="0037644B" w:rsidP="00EE0D48">
      <w:pPr>
        <w:pStyle w:val="BodyText"/>
        <w:spacing w:after="0"/>
        <w:ind w:left="1560" w:right="1830"/>
        <w:jc w:val="both"/>
        <w:rPr>
          <w:sz w:val="20"/>
        </w:rPr>
      </w:pPr>
      <w:r>
        <w:rPr>
          <w:rStyle w:val="BodyTextChar"/>
          <w:sz w:val="20"/>
        </w:rPr>
        <w:t>„1. Materiály uvedené v předchozím článku se při použití jako půdní přídavky aplikují pouze na neobdělávané půdy, a pokud se aplikují na plantáže dřevin nebo na trvalé plodiny na orné půdě, jako jsou banány a papája, musí se aplikovat přímo na půdu a před koncem zimního klidu. V případě trvalých pastvin mohou být použity se souhlasem autonomního společenství. Při použití jejich živin jako hnojiva, pokud jsou aplikovány na půdu s vysazenou plodinou, nesmí přijít do styku s částí plodiny určenou ke spotřebě.“</w:t>
      </w:r>
    </w:p>
    <w:p w14:paraId="7B11D49C" w14:textId="77777777" w:rsidR="00503C92" w:rsidRPr="00F122A6" w:rsidRDefault="0037644B" w:rsidP="00EE0D48">
      <w:pPr>
        <w:pStyle w:val="BodyText"/>
        <w:ind w:left="1560" w:right="1830"/>
        <w:jc w:val="both"/>
        <w:rPr>
          <w:sz w:val="20"/>
        </w:rPr>
      </w:pPr>
      <w:r>
        <w:rPr>
          <w:rStyle w:val="BodyTextChar"/>
          <w:sz w:val="20"/>
        </w:rPr>
        <w:t>„6. V autonomních společenstvích, která nemají žádné platné právní předpisy před nařízením stanoveným v tomto předpise, se kapalné využitelné odpady, s výjimkou kalů, které se používají k dodávání živin plodinám, aplikují tak, aby mezi aplikací a sklizní uplynuly nejméně dva měsíce. Tato lhůta však může být zkrácena na 21 dní v následujících případech:</w:t>
      </w:r>
    </w:p>
    <w:p w14:paraId="76164C5F" w14:textId="77777777" w:rsidR="00503C92" w:rsidRPr="00F122A6" w:rsidRDefault="0037644B" w:rsidP="00EE0D48">
      <w:pPr>
        <w:pStyle w:val="BodyText"/>
        <w:numPr>
          <w:ilvl w:val="0"/>
          <w:numId w:val="3"/>
        </w:numPr>
        <w:tabs>
          <w:tab w:val="left" w:pos="1304"/>
        </w:tabs>
        <w:spacing w:after="0"/>
        <w:ind w:left="1560" w:right="1830" w:firstLine="920"/>
        <w:jc w:val="both"/>
        <w:rPr>
          <w:sz w:val="20"/>
        </w:rPr>
      </w:pPr>
      <w:r>
        <w:rPr>
          <w:rStyle w:val="BodyTextChar"/>
          <w:sz w:val="20"/>
        </w:rPr>
        <w:lastRenderedPageBreak/>
        <w:t>sklizeň není určena ke konzumaci lidmi nebo zvířaty nebo</w:t>
      </w:r>
    </w:p>
    <w:p w14:paraId="507CC156" w14:textId="77777777" w:rsidR="00503C92" w:rsidRPr="00F122A6" w:rsidRDefault="0037644B" w:rsidP="00BB487E">
      <w:pPr>
        <w:pStyle w:val="BodyText"/>
        <w:numPr>
          <w:ilvl w:val="0"/>
          <w:numId w:val="3"/>
        </w:numPr>
        <w:tabs>
          <w:tab w:val="left" w:pos="1300"/>
        </w:tabs>
        <w:ind w:left="2127" w:right="1830"/>
        <w:jc w:val="both"/>
        <w:rPr>
          <w:sz w:val="20"/>
        </w:rPr>
      </w:pPr>
      <w:r>
        <w:rPr>
          <w:rStyle w:val="BodyTextChar"/>
          <w:sz w:val="20"/>
        </w:rPr>
        <w:t>forma pěstování nebo systém aplikace materiálu zajišťují, že se odpady nedostanou do kontaktu s jedlými částmi plodiny.“</w:t>
      </w:r>
    </w:p>
    <w:p w14:paraId="5D11DE93" w14:textId="77777777" w:rsidR="00503C92" w:rsidRPr="00F122A6" w:rsidRDefault="0037644B" w:rsidP="00EE0D48">
      <w:pPr>
        <w:pStyle w:val="BodyText"/>
        <w:ind w:left="1560" w:right="1830"/>
        <w:jc w:val="both"/>
        <w:rPr>
          <w:sz w:val="20"/>
        </w:rPr>
      </w:pPr>
      <w:r>
        <w:rPr>
          <w:rStyle w:val="BodyTextChar"/>
          <w:sz w:val="20"/>
        </w:rPr>
        <w:t>Zaosmé. První pododstavec článku 20 zní takto:</w:t>
      </w:r>
    </w:p>
    <w:p w14:paraId="1194A18B" w14:textId="77777777" w:rsidR="00503C92" w:rsidRPr="00F122A6" w:rsidRDefault="0037644B" w:rsidP="00EE0D48">
      <w:pPr>
        <w:pStyle w:val="BodyText"/>
        <w:ind w:left="1560" w:right="1830"/>
        <w:jc w:val="both"/>
        <w:rPr>
          <w:sz w:val="20"/>
        </w:rPr>
      </w:pPr>
      <w:r>
        <w:rPr>
          <w:rStyle w:val="BodyTextChar"/>
          <w:sz w:val="20"/>
        </w:rPr>
        <w:t>„Poradenství týkající se různých aspektů oplodnění uvedených v tomto královském výnosu poskytuje technik, který může prokázat svůj status poradce pro oplodnění v souladu s požadavky stanovenými v článku 21. Avšak pokud tak stanoví příslušný orgán autonomního společenství, může být poradenská povinnost splněna, pokud vlastník zemědělského podniku používá software pro doporučování hnojení schválený tímto příslušným orgánem v souladu s minimálními požadavky stanovenými v části III přílohy III za předpokladu, že vlastník vede digitální zemědělskou evidenci.“</w:t>
      </w:r>
    </w:p>
    <w:p w14:paraId="0E0619CE" w14:textId="77777777" w:rsidR="00503C92" w:rsidRPr="00F122A6" w:rsidRDefault="0037644B" w:rsidP="00EE0D48">
      <w:pPr>
        <w:pStyle w:val="BodyText"/>
        <w:spacing w:after="180"/>
        <w:ind w:left="1560" w:right="1830"/>
        <w:jc w:val="both"/>
        <w:rPr>
          <w:sz w:val="20"/>
        </w:rPr>
      </w:pPr>
      <w:r>
        <w:rPr>
          <w:rStyle w:val="BodyTextChar"/>
          <w:sz w:val="20"/>
        </w:rPr>
        <w:t>Zadeváté. Jediné přechodné ustanovení zní takto:</w:t>
      </w:r>
    </w:p>
    <w:p w14:paraId="1B18B22E" w14:textId="77777777" w:rsidR="00503C92" w:rsidRPr="00F122A6" w:rsidRDefault="0037644B" w:rsidP="00BB487E">
      <w:pPr>
        <w:pStyle w:val="BodyText"/>
        <w:spacing w:line="257" w:lineRule="auto"/>
        <w:ind w:left="1985" w:right="1830" w:hanging="340"/>
        <w:jc w:val="both"/>
        <w:rPr>
          <w:sz w:val="20"/>
          <w:szCs w:val="20"/>
        </w:rPr>
      </w:pPr>
      <w:r>
        <w:rPr>
          <w:rStyle w:val="BodyTextChar"/>
          <w:sz w:val="20"/>
        </w:rPr>
        <w:t xml:space="preserve">„Jednotné přechodné ustanovení. </w:t>
      </w:r>
      <w:r>
        <w:rPr>
          <w:rStyle w:val="BodyTextChar"/>
          <w:i/>
          <w:sz w:val="20"/>
        </w:rPr>
        <w:t>Využití odpadů prostřednictvím operace R1001 Využití odpadů v zemědělské půdě a zahradnictví.</w:t>
      </w:r>
    </w:p>
    <w:p w14:paraId="1D7846FC" w14:textId="720A5B50" w:rsidR="00503C92" w:rsidRPr="00F122A6" w:rsidRDefault="0037644B" w:rsidP="00EE0D48">
      <w:pPr>
        <w:pStyle w:val="BodyText"/>
        <w:ind w:left="1560" w:right="1830"/>
        <w:jc w:val="both"/>
        <w:rPr>
          <w:sz w:val="20"/>
        </w:rPr>
      </w:pPr>
      <w:r>
        <w:rPr>
          <w:rStyle w:val="BodyTextChar"/>
          <w:sz w:val="20"/>
        </w:rPr>
        <w:t>V případě odpadů, s nimiž bylo příslušným orgánem životního prostředí povoleno nakládat jako s odpadem R1001 Využití odpadů ze zemědělské půdy a zahradnictví, který za tímto účelem osvědčuje dokumentaci s popisem procesu a analytickými charakteristikami, před vstupem tohoto královského výnosu v platnost, má původce odpadů lhůtu 3 let od zveřejnění tohoto královského výnosu na pokračování v nakládání s nimi a na předložení zprávy pro případnou změnu přílohy VIII.“</w:t>
      </w:r>
    </w:p>
    <w:p w14:paraId="2A47F4D6" w14:textId="77777777" w:rsidR="00503C92" w:rsidRPr="00F122A6" w:rsidRDefault="0037644B" w:rsidP="00EE0D48">
      <w:pPr>
        <w:pStyle w:val="BodyText"/>
        <w:ind w:left="1560" w:right="1830"/>
        <w:jc w:val="both"/>
        <w:rPr>
          <w:sz w:val="20"/>
        </w:rPr>
      </w:pPr>
      <w:r>
        <w:rPr>
          <w:rStyle w:val="BodyTextChar"/>
          <w:sz w:val="20"/>
        </w:rPr>
        <w:t>Zadesáté. Pododstavec iii) a první řádek tabulky v příloze II se mění takto:</w:t>
      </w:r>
    </w:p>
    <w:p w14:paraId="059223B0" w14:textId="77777777" w:rsidR="00EE0D48" w:rsidRPr="00F122A6" w:rsidRDefault="0037644B" w:rsidP="00EE0D48">
      <w:pPr>
        <w:pStyle w:val="BodyText"/>
        <w:ind w:left="1560" w:right="1830"/>
        <w:jc w:val="both"/>
        <w:rPr>
          <w:rStyle w:val="BodyTextChar"/>
          <w:sz w:val="20"/>
        </w:rPr>
      </w:pPr>
      <w:r>
        <w:rPr>
          <w:rStyle w:val="BodyTextChar"/>
          <w:sz w:val="20"/>
        </w:rPr>
        <w:t>„iii) pokud se používají techniky zmírňující vyluhování, jako jsou polymery, inhibitory atd., mohou být některé přípravky se zpožděným uvolňováním vyloučeny ze zákazu použití během určitých období“.</w:t>
      </w:r>
    </w:p>
    <w:p w14:paraId="7DE01383" w14:textId="0A5F5024" w:rsidR="00503C92" w:rsidRPr="00F122A6" w:rsidRDefault="0037644B" w:rsidP="00EE0D48">
      <w:pPr>
        <w:pStyle w:val="BodyText"/>
        <w:ind w:left="1560" w:right="1830"/>
        <w:jc w:val="both"/>
        <w:rPr>
          <w:sz w:val="20"/>
        </w:rPr>
      </w:pPr>
      <w:r>
        <w:rPr>
          <w:rStyle w:val="BodyTextChar"/>
          <w:sz w:val="20"/>
        </w:rPr>
        <w:t>Zajedenácté. První pododstavec části III přílohy III zní takto:</w:t>
      </w:r>
    </w:p>
    <w:p w14:paraId="18597F81" w14:textId="77777777" w:rsidR="00503C92" w:rsidRPr="00F122A6" w:rsidRDefault="0037644B" w:rsidP="00EE0D48">
      <w:pPr>
        <w:pStyle w:val="BodyText"/>
        <w:spacing w:after="140"/>
        <w:ind w:left="1560" w:right="1830"/>
        <w:jc w:val="both"/>
        <w:rPr>
          <w:sz w:val="20"/>
        </w:rPr>
      </w:pPr>
      <w:r>
        <w:rPr>
          <w:rStyle w:val="BodyTextChar"/>
          <w:sz w:val="20"/>
        </w:rPr>
        <w:t>„Poradenské povinnosti stanovené tímto královským výnosem se považují za splněné, pokud zemědělec vede digitální zemědělskou evidenci a pokud jsou k přípravě výpočtů potřeb živin pro plodiny a k předložení návrhu hnojiva používány nástroje nebo aplikace informačních technologií, pokud byly schváleny příslušným orgánem autonomního společenství, kde mají být použity.“</w:t>
      </w:r>
    </w:p>
    <w:p w14:paraId="3C7D3588" w14:textId="77777777" w:rsidR="00503C92" w:rsidRPr="00F122A6" w:rsidRDefault="0037644B" w:rsidP="00EE0D48">
      <w:pPr>
        <w:pStyle w:val="BodyText"/>
        <w:spacing w:after="140"/>
        <w:ind w:left="1560" w:right="1830" w:firstLine="360"/>
        <w:jc w:val="both"/>
        <w:rPr>
          <w:sz w:val="20"/>
        </w:rPr>
      </w:pPr>
      <w:r>
        <w:rPr>
          <w:rStyle w:val="BodyTextChar"/>
          <w:sz w:val="20"/>
        </w:rPr>
        <w:t>Zadvanácté. Poslední řádek tabulky v odstavci 1 části A přílohy IV se nahrazuje následujícími dvěma řádky a odstavec 2 se nahrazuje následujícími dvěma řádky a odstavec 2 se nahrazuje tímto:</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747"/>
        <w:gridCol w:w="2076"/>
        <w:gridCol w:w="3581"/>
      </w:tblGrid>
      <w:tr w:rsidR="00503C92" w:rsidRPr="00F122A6" w14:paraId="22C71BE9" w14:textId="77777777" w:rsidTr="00F122A6">
        <w:trPr>
          <w:trHeight w:hRule="exact" w:val="374"/>
          <w:jc w:val="center"/>
        </w:trPr>
        <w:tc>
          <w:tcPr>
            <w:tcW w:w="1747" w:type="dxa"/>
            <w:shd w:val="clear" w:color="auto" w:fill="D9D9D9" w:themeFill="background1" w:themeFillShade="D9"/>
            <w:vAlign w:val="center"/>
          </w:tcPr>
          <w:p w14:paraId="2A7B68B1"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Sloupec 1</w:t>
            </w:r>
          </w:p>
        </w:tc>
        <w:tc>
          <w:tcPr>
            <w:tcW w:w="2076" w:type="dxa"/>
            <w:shd w:val="clear" w:color="auto" w:fill="D9D9D9" w:themeFill="background1" w:themeFillShade="D9"/>
            <w:vAlign w:val="center"/>
          </w:tcPr>
          <w:p w14:paraId="5B6C105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Sloupec 2</w:t>
            </w:r>
          </w:p>
        </w:tc>
        <w:tc>
          <w:tcPr>
            <w:tcW w:w="3581" w:type="dxa"/>
            <w:shd w:val="clear" w:color="auto" w:fill="D9D9D9" w:themeFill="background1" w:themeFillShade="D9"/>
            <w:vAlign w:val="center"/>
          </w:tcPr>
          <w:p w14:paraId="5BBAA7E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Sloupec 3</w:t>
            </w:r>
          </w:p>
        </w:tc>
      </w:tr>
      <w:tr w:rsidR="00503C92" w:rsidRPr="00F122A6" w14:paraId="20ED82A6" w14:textId="77777777" w:rsidTr="00F122A6">
        <w:trPr>
          <w:trHeight w:hRule="exact" w:val="566"/>
          <w:jc w:val="center"/>
        </w:trPr>
        <w:tc>
          <w:tcPr>
            <w:tcW w:w="1747" w:type="dxa"/>
            <w:shd w:val="clear" w:color="auto" w:fill="D9D9D9" w:themeFill="background1" w:themeFillShade="D9"/>
            <w:vAlign w:val="center"/>
          </w:tcPr>
          <w:p w14:paraId="4B8683D3"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Těžké kovy</w:t>
            </w:r>
          </w:p>
        </w:tc>
        <w:tc>
          <w:tcPr>
            <w:tcW w:w="2076" w:type="dxa"/>
            <w:shd w:val="clear" w:color="auto" w:fill="D9D9D9" w:themeFill="background1" w:themeFillShade="D9"/>
            <w:vAlign w:val="center"/>
          </w:tcPr>
          <w:p w14:paraId="027C08C0"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Mezní hodnoty (mg/kg ms)</w:t>
            </w:r>
          </w:p>
        </w:tc>
        <w:tc>
          <w:tcPr>
            <w:tcW w:w="3581" w:type="dxa"/>
            <w:shd w:val="clear" w:color="auto" w:fill="D9D9D9" w:themeFill="background1" w:themeFillShade="D9"/>
            <w:vAlign w:val="center"/>
          </w:tcPr>
          <w:p w14:paraId="6B687215" w14:textId="77777777" w:rsidR="00503C92" w:rsidRPr="00F122A6" w:rsidRDefault="0037644B" w:rsidP="00F122A6">
            <w:pPr>
              <w:pStyle w:val="Other0"/>
              <w:spacing w:after="0" w:line="240" w:lineRule="auto"/>
              <w:ind w:left="57" w:right="57" w:firstLine="0"/>
              <w:jc w:val="center"/>
              <w:rPr>
                <w:sz w:val="16"/>
                <w:szCs w:val="16"/>
              </w:rPr>
            </w:pPr>
            <w:r>
              <w:rPr>
                <w:rStyle w:val="Other"/>
                <w:b/>
                <w:sz w:val="16"/>
              </w:rPr>
              <w:t>Mezní hodnoty (mg/kg ms) uvedené v čl. 8 odst. 2</w:t>
            </w:r>
          </w:p>
        </w:tc>
      </w:tr>
      <w:tr w:rsidR="00503C92" w:rsidRPr="00F122A6" w14:paraId="5A358BE6" w14:textId="77777777" w:rsidTr="00F122A6">
        <w:trPr>
          <w:trHeight w:hRule="exact" w:val="336"/>
          <w:jc w:val="center"/>
        </w:trPr>
        <w:tc>
          <w:tcPr>
            <w:tcW w:w="1747" w:type="dxa"/>
            <w:shd w:val="clear" w:color="auto" w:fill="auto"/>
            <w:vAlign w:val="center"/>
          </w:tcPr>
          <w:p w14:paraId="52B9DDD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„Celkový arsen (A)</w:t>
            </w:r>
          </w:p>
        </w:tc>
        <w:tc>
          <w:tcPr>
            <w:tcW w:w="2076" w:type="dxa"/>
            <w:shd w:val="clear" w:color="auto" w:fill="auto"/>
            <w:vAlign w:val="center"/>
          </w:tcPr>
          <w:p w14:paraId="3F7F67A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40</w:t>
            </w:r>
          </w:p>
        </w:tc>
        <w:tc>
          <w:tcPr>
            <w:tcW w:w="3581" w:type="dxa"/>
            <w:shd w:val="clear" w:color="auto" w:fill="auto"/>
            <w:vAlign w:val="center"/>
          </w:tcPr>
          <w:p w14:paraId="15B84B83"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0,8</w:t>
            </w:r>
          </w:p>
        </w:tc>
      </w:tr>
      <w:tr w:rsidR="00503C92" w:rsidRPr="00F122A6" w14:paraId="24C9545C" w14:textId="77777777" w:rsidTr="00F122A6">
        <w:trPr>
          <w:trHeight w:hRule="exact" w:val="346"/>
          <w:jc w:val="center"/>
        </w:trPr>
        <w:tc>
          <w:tcPr>
            <w:tcW w:w="1747" w:type="dxa"/>
            <w:shd w:val="clear" w:color="auto" w:fill="auto"/>
            <w:vAlign w:val="center"/>
          </w:tcPr>
          <w:p w14:paraId="5344CFF1"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Chrom (Cr)</w:t>
            </w:r>
          </w:p>
        </w:tc>
        <w:tc>
          <w:tcPr>
            <w:tcW w:w="2076" w:type="dxa"/>
            <w:shd w:val="clear" w:color="auto" w:fill="auto"/>
            <w:vAlign w:val="center"/>
          </w:tcPr>
          <w:p w14:paraId="11EA45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1000</w:t>
            </w:r>
          </w:p>
        </w:tc>
        <w:tc>
          <w:tcPr>
            <w:tcW w:w="3581" w:type="dxa"/>
            <w:shd w:val="clear" w:color="auto" w:fill="auto"/>
            <w:vAlign w:val="center"/>
          </w:tcPr>
          <w:p w14:paraId="636B41D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20“</w:t>
            </w:r>
          </w:p>
        </w:tc>
      </w:tr>
    </w:tbl>
    <w:p w14:paraId="5AB607F1" w14:textId="77777777" w:rsidR="00503C92" w:rsidRPr="00F122A6" w:rsidRDefault="00503C92" w:rsidP="00EE0D48">
      <w:pPr>
        <w:spacing w:after="239" w:line="1" w:lineRule="exact"/>
        <w:ind w:left="1560" w:right="1830"/>
      </w:pPr>
    </w:p>
    <w:p w14:paraId="145B7D13" w14:textId="5681DD89" w:rsidR="00503C92" w:rsidRPr="00F122A6" w:rsidRDefault="008A217F" w:rsidP="008A217F">
      <w:pPr>
        <w:pStyle w:val="BodyText"/>
        <w:tabs>
          <w:tab w:val="left" w:pos="1278"/>
        </w:tabs>
        <w:spacing w:after="140"/>
        <w:ind w:left="1900" w:right="1830" w:firstLine="510"/>
        <w:jc w:val="both"/>
        <w:rPr>
          <w:sz w:val="20"/>
        </w:rPr>
      </w:pPr>
      <w:r>
        <w:rPr>
          <w:rStyle w:val="BodyTextChar"/>
          <w:sz w:val="20"/>
        </w:rPr>
        <w:t>„2. Hodnoty těžkých kovů z odpadů aplikovaných na půdu se zaznamenávají do zemědělského registru uvedeného v článku 5 tohoto královského výnosu.“</w:t>
      </w:r>
    </w:p>
    <w:p w14:paraId="14D9F12F" w14:textId="77777777" w:rsidR="00503C92" w:rsidRPr="00F122A6" w:rsidRDefault="0037644B" w:rsidP="00EE0D48">
      <w:pPr>
        <w:pStyle w:val="BodyText"/>
        <w:spacing w:after="140"/>
        <w:ind w:left="1560" w:right="1830" w:firstLine="360"/>
        <w:jc w:val="both"/>
        <w:rPr>
          <w:sz w:val="20"/>
        </w:rPr>
      </w:pPr>
      <w:r>
        <w:rPr>
          <w:rStyle w:val="BodyTextChar"/>
          <w:sz w:val="20"/>
        </w:rPr>
        <w:t>Zatřinácté. Na konec tabulky v části B přílohy IV se doplňuje nový řádek, který zní:</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59708D39" w14:textId="77777777" w:rsidTr="008A217F">
        <w:trPr>
          <w:trHeight w:hRule="exact" w:val="350"/>
          <w:jc w:val="center"/>
        </w:trPr>
        <w:tc>
          <w:tcPr>
            <w:tcW w:w="1483" w:type="dxa"/>
            <w:shd w:val="clear" w:color="auto" w:fill="auto"/>
            <w:vAlign w:val="center"/>
          </w:tcPr>
          <w:p w14:paraId="08066328" w14:textId="77777777" w:rsidR="00503C92" w:rsidRPr="00F122A6" w:rsidRDefault="0037644B" w:rsidP="00F122A6">
            <w:pPr>
              <w:pStyle w:val="Other0"/>
              <w:spacing w:after="0" w:line="240" w:lineRule="auto"/>
              <w:ind w:left="57" w:right="57" w:firstLine="0"/>
              <w:rPr>
                <w:sz w:val="17"/>
                <w:szCs w:val="17"/>
              </w:rPr>
            </w:pPr>
            <w:r>
              <w:rPr>
                <w:rStyle w:val="Other"/>
                <w:sz w:val="17"/>
              </w:rPr>
              <w:lastRenderedPageBreak/>
              <w:t>„Chrom (Cr)</w:t>
            </w:r>
          </w:p>
        </w:tc>
        <w:tc>
          <w:tcPr>
            <w:tcW w:w="734" w:type="dxa"/>
            <w:shd w:val="clear" w:color="auto" w:fill="auto"/>
            <w:vAlign w:val="center"/>
          </w:tcPr>
          <w:p w14:paraId="7816A927"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60</w:t>
            </w:r>
          </w:p>
        </w:tc>
        <w:tc>
          <w:tcPr>
            <w:tcW w:w="744" w:type="dxa"/>
            <w:shd w:val="clear" w:color="auto" w:fill="auto"/>
            <w:vAlign w:val="center"/>
          </w:tcPr>
          <w:p w14:paraId="18644324"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100“</w:t>
            </w:r>
          </w:p>
        </w:tc>
      </w:tr>
    </w:tbl>
    <w:p w14:paraId="4DE6B90B" w14:textId="77777777" w:rsidR="00503C92" w:rsidRPr="00F122A6" w:rsidRDefault="00503C92" w:rsidP="00EE0D48">
      <w:pPr>
        <w:spacing w:after="239" w:line="1" w:lineRule="exact"/>
        <w:ind w:left="1560" w:right="1830"/>
      </w:pPr>
    </w:p>
    <w:p w14:paraId="2755C612" w14:textId="77777777" w:rsidR="00503C92" w:rsidRPr="00F122A6" w:rsidRDefault="0037644B" w:rsidP="00EE0D48">
      <w:pPr>
        <w:pStyle w:val="BodyText"/>
        <w:spacing w:after="140"/>
        <w:ind w:left="1560" w:right="1830" w:firstLine="360"/>
        <w:jc w:val="both"/>
        <w:rPr>
          <w:sz w:val="20"/>
        </w:rPr>
      </w:pPr>
      <w:r>
        <w:rPr>
          <w:rStyle w:val="BodyTextChar"/>
          <w:sz w:val="20"/>
        </w:rPr>
        <w:t>Začtrnácté. Na konci tabulky v příloze IV části C odstavci 1 se doplňuje řádek s tímto zněním:</w:t>
      </w:r>
    </w:p>
    <w:tbl>
      <w:tblPr>
        <w:tblOverlap w:val="never"/>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ayout w:type="fixed"/>
        <w:tblCellMar>
          <w:left w:w="10" w:type="dxa"/>
          <w:right w:w="10" w:type="dxa"/>
        </w:tblCellMar>
        <w:tblLook w:val="04A0" w:firstRow="1" w:lastRow="0" w:firstColumn="1" w:lastColumn="0" w:noHBand="0" w:noVBand="1"/>
      </w:tblPr>
      <w:tblGrid>
        <w:gridCol w:w="1483"/>
        <w:gridCol w:w="734"/>
        <w:gridCol w:w="744"/>
      </w:tblGrid>
      <w:tr w:rsidR="00503C92" w:rsidRPr="00F122A6" w14:paraId="43508A47" w14:textId="77777777" w:rsidTr="008A217F">
        <w:trPr>
          <w:trHeight w:hRule="exact" w:val="350"/>
          <w:jc w:val="center"/>
        </w:trPr>
        <w:tc>
          <w:tcPr>
            <w:tcW w:w="1483" w:type="dxa"/>
            <w:shd w:val="clear" w:color="auto" w:fill="auto"/>
            <w:vAlign w:val="center"/>
          </w:tcPr>
          <w:p w14:paraId="209C69AC" w14:textId="77777777" w:rsidR="00503C92" w:rsidRPr="00F122A6" w:rsidRDefault="0037644B" w:rsidP="00F122A6">
            <w:pPr>
              <w:pStyle w:val="Other0"/>
              <w:spacing w:after="0" w:line="240" w:lineRule="auto"/>
              <w:ind w:left="57" w:right="57" w:firstLine="0"/>
              <w:rPr>
                <w:sz w:val="17"/>
                <w:szCs w:val="17"/>
              </w:rPr>
            </w:pPr>
            <w:r>
              <w:rPr>
                <w:rStyle w:val="Other"/>
                <w:sz w:val="17"/>
              </w:rPr>
              <w:t>„Chrom (Cr)</w:t>
            </w:r>
          </w:p>
        </w:tc>
        <w:tc>
          <w:tcPr>
            <w:tcW w:w="734" w:type="dxa"/>
            <w:shd w:val="clear" w:color="auto" w:fill="auto"/>
            <w:vAlign w:val="center"/>
          </w:tcPr>
          <w:p w14:paraId="2B8EA9C0"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2400</w:t>
            </w:r>
          </w:p>
        </w:tc>
        <w:tc>
          <w:tcPr>
            <w:tcW w:w="744" w:type="dxa"/>
            <w:shd w:val="clear" w:color="auto" w:fill="auto"/>
            <w:vAlign w:val="center"/>
          </w:tcPr>
          <w:p w14:paraId="1B13026B" w14:textId="77777777" w:rsidR="00503C92" w:rsidRPr="00F122A6" w:rsidRDefault="0037644B" w:rsidP="00F122A6">
            <w:pPr>
              <w:pStyle w:val="Other0"/>
              <w:spacing w:after="0" w:line="240" w:lineRule="auto"/>
              <w:ind w:left="57" w:right="57" w:firstLine="0"/>
              <w:jc w:val="center"/>
              <w:rPr>
                <w:sz w:val="17"/>
                <w:szCs w:val="17"/>
              </w:rPr>
            </w:pPr>
            <w:r>
              <w:rPr>
                <w:rStyle w:val="Other"/>
                <w:sz w:val="17"/>
              </w:rPr>
              <w:t>48“</w:t>
            </w:r>
          </w:p>
        </w:tc>
      </w:tr>
    </w:tbl>
    <w:p w14:paraId="03D5A39B" w14:textId="77777777" w:rsidR="00503C92" w:rsidRPr="00F122A6" w:rsidRDefault="00503C92" w:rsidP="00EE0D48">
      <w:pPr>
        <w:spacing w:after="239" w:line="1" w:lineRule="exact"/>
        <w:ind w:left="1560" w:right="1830"/>
      </w:pPr>
    </w:p>
    <w:p w14:paraId="35F234AC" w14:textId="77777777" w:rsidR="00503C92" w:rsidRPr="00F122A6" w:rsidRDefault="0037644B" w:rsidP="00EE0D48">
      <w:pPr>
        <w:pStyle w:val="BodyText"/>
        <w:spacing w:after="140"/>
        <w:ind w:left="1560" w:right="1830" w:firstLine="360"/>
        <w:jc w:val="both"/>
        <w:rPr>
          <w:sz w:val="20"/>
        </w:rPr>
      </w:pPr>
      <w:r>
        <w:rPr>
          <w:rStyle w:val="BodyTextChar"/>
          <w:sz w:val="20"/>
        </w:rPr>
        <w:t>Zapatnácté. V části A přílohy V se mění písmena f) a g) a doplňují se dvě nová písmena h) a i) s tímto obsahem:</w:t>
      </w:r>
    </w:p>
    <w:p w14:paraId="27DB6947" w14:textId="77777777" w:rsidR="00503C92" w:rsidRPr="00F122A6" w:rsidRDefault="0037644B" w:rsidP="008A217F">
      <w:pPr>
        <w:pStyle w:val="BodyText"/>
        <w:spacing w:after="0"/>
        <w:ind w:left="1560" w:right="1830" w:firstLine="283"/>
        <w:jc w:val="both"/>
        <w:rPr>
          <w:sz w:val="20"/>
        </w:rPr>
      </w:pPr>
      <w:r>
        <w:rPr>
          <w:rStyle w:val="BodyTextChar"/>
          <w:sz w:val="20"/>
        </w:rPr>
        <w:t>„f) Použití okyselené kejdy nebo inhibitorů ureázy.</w:t>
      </w:r>
    </w:p>
    <w:p w14:paraId="27628483"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Použití inhibitorů ureázy nebo inhibitorů nitrifikace pod odborným dohledem v případě přímé aplikace do půdy.</w:t>
      </w:r>
    </w:p>
    <w:p w14:paraId="09826684" w14:textId="77777777" w:rsidR="00503C92" w:rsidRPr="00F122A6" w:rsidRDefault="0037644B" w:rsidP="00EE0D48">
      <w:pPr>
        <w:pStyle w:val="BodyText"/>
        <w:numPr>
          <w:ilvl w:val="0"/>
          <w:numId w:val="4"/>
        </w:numPr>
        <w:tabs>
          <w:tab w:val="left" w:pos="1248"/>
        </w:tabs>
        <w:spacing w:after="0"/>
        <w:ind w:left="1560" w:right="1830"/>
        <w:jc w:val="both"/>
        <w:rPr>
          <w:sz w:val="20"/>
        </w:rPr>
      </w:pPr>
      <w:r>
        <w:rPr>
          <w:rStyle w:val="BodyTextChar"/>
          <w:sz w:val="20"/>
        </w:rPr>
        <w:t>Kompostování nebo biodegradace zajišťující konečný obsah amoniakálního dusíku nižší než 0,6 %, vyjádřený jako dusík (N) vzhledem k čerstvé hmotnosti materiálu.</w:t>
      </w:r>
    </w:p>
    <w:p w14:paraId="6AA39005" w14:textId="77777777" w:rsidR="00503C92" w:rsidRPr="00F122A6" w:rsidRDefault="0037644B" w:rsidP="00EE0D48">
      <w:pPr>
        <w:pStyle w:val="BodyText"/>
        <w:numPr>
          <w:ilvl w:val="0"/>
          <w:numId w:val="4"/>
        </w:numPr>
        <w:tabs>
          <w:tab w:val="left" w:pos="1248"/>
        </w:tabs>
        <w:spacing w:after="140"/>
        <w:ind w:left="1560" w:right="1830"/>
        <w:jc w:val="both"/>
        <w:rPr>
          <w:sz w:val="20"/>
        </w:rPr>
      </w:pPr>
      <w:r>
        <w:rPr>
          <w:rStyle w:val="BodyTextChar"/>
          <w:sz w:val="20"/>
        </w:rPr>
        <w:t>Zahrnování hnoje během prvních 12 hodin po aplikaci pomocí radličkového pluhu, dlátového pluhu, rotačního pluhu nebo zařízení zajišťujícího rovnocennou práci, s výjimkou přímého setí, konzervačního zemědělství nebo pastvin.“</w:t>
      </w:r>
    </w:p>
    <w:p w14:paraId="1FD90741" w14:textId="125DFFD4" w:rsidR="00503C92" w:rsidRPr="00F122A6" w:rsidRDefault="0037644B" w:rsidP="00EE0D48">
      <w:pPr>
        <w:pStyle w:val="BodyText"/>
        <w:spacing w:after="140"/>
        <w:ind w:left="1560" w:right="1830" w:firstLine="360"/>
        <w:jc w:val="both"/>
        <w:rPr>
          <w:sz w:val="20"/>
        </w:rPr>
      </w:pPr>
      <w:r>
        <w:rPr>
          <w:rStyle w:val="BodyTextChar"/>
          <w:sz w:val="20"/>
        </w:rPr>
        <w:t>Zašestnácté. V příloze VIII části 1 odst. 1 písm. a) a e) znějí takto a vkládají se nová písmena g), h), i) a j), která mají tento obsah:</w:t>
      </w:r>
    </w:p>
    <w:p w14:paraId="63F8109E" w14:textId="20477922" w:rsidR="00503C92" w:rsidRPr="00F122A6" w:rsidRDefault="0037644B" w:rsidP="00EE0D48">
      <w:pPr>
        <w:pStyle w:val="BodyText"/>
        <w:spacing w:after="140"/>
        <w:ind w:left="1560" w:right="1830"/>
        <w:jc w:val="both"/>
        <w:rPr>
          <w:sz w:val="20"/>
        </w:rPr>
      </w:pPr>
      <w:r>
        <w:rPr>
          <w:rStyle w:val="BodyTextChar"/>
          <w:sz w:val="20"/>
        </w:rPr>
        <w:t>„a) materiály, které, aniž by byly použity při výrobě hnojivého výrobku, splňují všechny požadavky CMC 3, 4, 5, 6, 12, 13 a 14 přílohy II nařízení (EU) 2019/1009. Pro využití do půdy jako odpad není nutné splnit požadavek odstavce 2 CMC 1, pokud se vztahuje na výše uvedené kategorie.</w:t>
      </w:r>
    </w:p>
    <w:p w14:paraId="3EA26C98" w14:textId="77777777" w:rsidR="00503C92" w:rsidRPr="00F122A6" w:rsidRDefault="0037644B" w:rsidP="00BB487E">
      <w:pPr>
        <w:pStyle w:val="BodyText"/>
        <w:keepNext/>
        <w:keepLines/>
        <w:spacing w:after="0"/>
        <w:ind w:left="1559" w:right="1831"/>
        <w:jc w:val="both"/>
        <w:rPr>
          <w:sz w:val="20"/>
        </w:rPr>
      </w:pPr>
      <w:r>
        <w:rPr>
          <w:rStyle w:val="BodyTextChar"/>
          <w:sz w:val="20"/>
        </w:rPr>
        <w:t>„e) kaly uvedené v příloze I nařízení AAA/1072/2013 ze dne 7. června 2013, pokud byly zpracovány v souladu s ustanoveními královského výnosu 1310/1990 ze dne 29. října 1990.“</w:t>
      </w:r>
    </w:p>
    <w:p w14:paraId="782CCBF9" w14:textId="77777777" w:rsidR="00503C92" w:rsidRPr="00F122A6" w:rsidRDefault="0037644B" w:rsidP="00EE0D48">
      <w:pPr>
        <w:pStyle w:val="BodyText"/>
        <w:spacing w:after="0"/>
        <w:ind w:left="1560" w:right="1830"/>
        <w:jc w:val="both"/>
        <w:rPr>
          <w:sz w:val="20"/>
        </w:rPr>
      </w:pPr>
      <w:r>
        <w:rPr>
          <w:rStyle w:val="BodyTextChar"/>
          <w:sz w:val="20"/>
        </w:rPr>
        <w:t>„g) Materiály, které sice nesplňují požadavky na ošetření stanovené v CMC 3, 4 a 5 nařízení 2019/1009, ale splňují požadavky na vstupní materiály, pokud jde o stabilitu, nečistoty a kontaminanty.</w:t>
      </w:r>
    </w:p>
    <w:p w14:paraId="6999F79B" w14:textId="77777777" w:rsidR="00503C92" w:rsidRPr="00F122A6" w:rsidRDefault="0037644B" w:rsidP="00EE0D48">
      <w:pPr>
        <w:pStyle w:val="BodyText"/>
        <w:numPr>
          <w:ilvl w:val="0"/>
          <w:numId w:val="5"/>
        </w:numPr>
        <w:tabs>
          <w:tab w:val="left" w:pos="1273"/>
        </w:tabs>
        <w:spacing w:after="0"/>
        <w:ind w:left="1560" w:right="1830" w:firstLine="920"/>
        <w:jc w:val="both"/>
        <w:rPr>
          <w:sz w:val="20"/>
        </w:rPr>
      </w:pPr>
      <w:r>
        <w:rPr>
          <w:rStyle w:val="BodyTextChar"/>
          <w:sz w:val="20"/>
        </w:rPr>
        <w:t>Odpad z lisovny oleje.</w:t>
      </w:r>
    </w:p>
    <w:p w14:paraId="52BCE1BB" w14:textId="77777777" w:rsidR="00503C92" w:rsidRPr="00F122A6" w:rsidRDefault="0037644B" w:rsidP="00EE0D48">
      <w:pPr>
        <w:pStyle w:val="BodyText"/>
        <w:numPr>
          <w:ilvl w:val="0"/>
          <w:numId w:val="5"/>
        </w:numPr>
        <w:tabs>
          <w:tab w:val="left" w:pos="1206"/>
        </w:tabs>
        <w:spacing w:after="0"/>
        <w:ind w:left="1560" w:right="1830" w:firstLine="920"/>
        <w:jc w:val="both"/>
        <w:rPr>
          <w:sz w:val="20"/>
        </w:rPr>
      </w:pPr>
      <w:r>
        <w:rPr>
          <w:rStyle w:val="BodyTextChar"/>
          <w:sz w:val="20"/>
        </w:rPr>
        <w:t>Vinné kaly.</w:t>
      </w:r>
    </w:p>
    <w:p w14:paraId="332C9668" w14:textId="77777777" w:rsidR="00503C92" w:rsidRDefault="0037644B" w:rsidP="008A217F">
      <w:pPr>
        <w:pStyle w:val="BodyText"/>
        <w:numPr>
          <w:ilvl w:val="0"/>
          <w:numId w:val="5"/>
        </w:numPr>
        <w:spacing w:after="0"/>
        <w:ind w:left="1560" w:right="1830" w:firstLine="920"/>
        <w:jc w:val="both"/>
        <w:rPr>
          <w:rStyle w:val="BodyTextChar"/>
          <w:sz w:val="20"/>
        </w:rPr>
      </w:pPr>
      <w:r>
        <w:rPr>
          <w:rStyle w:val="BodyTextChar"/>
          <w:sz w:val="20"/>
        </w:rPr>
        <w:t>Směsi výše uvedených látek za předpokladu, že jsou dodržena nejpřísnější omezení pro každou ze složek.“</w:t>
      </w:r>
    </w:p>
    <w:p w14:paraId="2B0EA9E3" w14:textId="77777777" w:rsidR="008A217F" w:rsidRPr="00F122A6" w:rsidRDefault="008A217F" w:rsidP="008A217F">
      <w:pPr>
        <w:pStyle w:val="BodyText"/>
        <w:tabs>
          <w:tab w:val="left" w:pos="1207"/>
        </w:tabs>
        <w:spacing w:after="0"/>
        <w:ind w:left="2480" w:right="1830" w:firstLine="0"/>
        <w:jc w:val="both"/>
        <w:rPr>
          <w:sz w:val="20"/>
        </w:rPr>
      </w:pPr>
    </w:p>
    <w:p w14:paraId="5092D498" w14:textId="77777777" w:rsidR="00503C92" w:rsidRPr="00F122A6" w:rsidRDefault="0037644B" w:rsidP="00EE0D48">
      <w:pPr>
        <w:pStyle w:val="BodyText"/>
        <w:ind w:left="1560" w:right="1830" w:firstLine="360"/>
        <w:jc w:val="both"/>
        <w:rPr>
          <w:sz w:val="20"/>
        </w:rPr>
      </w:pPr>
      <w:r>
        <w:rPr>
          <w:rStyle w:val="BodyTextChar"/>
          <w:sz w:val="20"/>
        </w:rPr>
        <w:t>Zasedmnácté. Odstavce 1 a 2 části 2 přílohy VIII se přeformulovávají a vkládají se dva nové odstavce 7 a 8, které znějí:</w:t>
      </w:r>
    </w:p>
    <w:p w14:paraId="2BF2A9A1" w14:textId="77777777" w:rsidR="00503C92" w:rsidRPr="00F122A6" w:rsidRDefault="0037644B" w:rsidP="00EE0D48">
      <w:pPr>
        <w:pStyle w:val="BodyText"/>
        <w:ind w:left="1560" w:right="1830"/>
        <w:jc w:val="both"/>
        <w:rPr>
          <w:sz w:val="20"/>
        </w:rPr>
      </w:pPr>
      <w:r>
        <w:rPr>
          <w:rStyle w:val="BodyTextChar"/>
          <w:sz w:val="20"/>
        </w:rPr>
        <w:t>„1. Materiály CMC 3, 4 a 5 získané v souladu s přílohou II nařízení Evropského parlamentu a Rady (EU) 2019/1009 ze dne 5. června 2019:</w:t>
      </w:r>
    </w:p>
    <w:p w14:paraId="17625A3C" w14:textId="77777777" w:rsidR="00503C92" w:rsidRPr="00F122A6" w:rsidRDefault="0037644B" w:rsidP="00EE0D48">
      <w:pPr>
        <w:pStyle w:val="BodyText"/>
        <w:ind w:left="1560" w:right="1830"/>
        <w:jc w:val="both"/>
        <w:rPr>
          <w:sz w:val="20"/>
        </w:rPr>
      </w:pPr>
      <w:r>
        <w:rPr>
          <w:rStyle w:val="BodyTextChar"/>
          <w:sz w:val="20"/>
        </w:rPr>
        <w:t>Splňují všechny požadavky uvedené přílohy, včetně původu vstupních materiálů, a tyto parametry:</w:t>
      </w:r>
    </w:p>
    <w:p w14:paraId="332C73FC" w14:textId="0ED2C2D6"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rPr>
      </w:pPr>
      <w:r>
        <w:rPr>
          <w:rStyle w:val="BodyTextChar"/>
          <w:sz w:val="20"/>
        </w:rPr>
        <w:t>Celková organická hmota ≥ 25 % v sušině.</w:t>
      </w:r>
    </w:p>
    <w:p w14:paraId="4B6A4943"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Deklarovat obsah </w:t>
      </w:r>
      <w:r>
        <w:rPr>
          <w:rStyle w:val="BodyTextChar"/>
          <w:i/>
          <w:sz w:val="20"/>
        </w:rPr>
        <w:t>Salmonelly</w:t>
      </w:r>
      <w:r>
        <w:rPr>
          <w:rStyle w:val="BodyTextChar"/>
          <w:sz w:val="20"/>
        </w:rPr>
        <w:t>.</w:t>
      </w:r>
    </w:p>
    <w:p w14:paraId="47896A74" w14:textId="77777777" w:rsidR="00503C92" w:rsidRPr="00F122A6" w:rsidRDefault="0037644B" w:rsidP="00BB487E">
      <w:pPr>
        <w:pStyle w:val="BodyText"/>
        <w:numPr>
          <w:ilvl w:val="0"/>
          <w:numId w:val="6"/>
        </w:numPr>
        <w:tabs>
          <w:tab w:val="left" w:pos="1230"/>
        </w:tabs>
        <w:spacing w:after="0" w:line="276" w:lineRule="auto"/>
        <w:ind w:left="1985" w:right="1830" w:firstLine="567"/>
        <w:jc w:val="both"/>
        <w:rPr>
          <w:sz w:val="20"/>
          <w:szCs w:val="20"/>
        </w:rPr>
      </w:pPr>
      <w:r>
        <w:rPr>
          <w:rStyle w:val="BodyTextChar"/>
          <w:sz w:val="20"/>
        </w:rPr>
        <w:t xml:space="preserve">Deklarovat obsah </w:t>
      </w:r>
      <w:r>
        <w:rPr>
          <w:rStyle w:val="BodyTextChar"/>
          <w:i/>
          <w:sz w:val="20"/>
        </w:rPr>
        <w:t>Escherichia coli</w:t>
      </w:r>
      <w:r>
        <w:rPr>
          <w:rStyle w:val="BodyTextChar"/>
          <w:sz w:val="20"/>
        </w:rPr>
        <w:t>.</w:t>
      </w:r>
    </w:p>
    <w:p w14:paraId="7DC5B92E" w14:textId="77777777" w:rsidR="00503C92" w:rsidRPr="00F122A6" w:rsidRDefault="0037644B" w:rsidP="00BB487E">
      <w:pPr>
        <w:pStyle w:val="BodyText"/>
        <w:numPr>
          <w:ilvl w:val="0"/>
          <w:numId w:val="6"/>
        </w:numPr>
        <w:tabs>
          <w:tab w:val="left" w:pos="1231"/>
        </w:tabs>
        <w:spacing w:after="0" w:line="276" w:lineRule="auto"/>
        <w:ind w:left="1985" w:right="1830" w:firstLine="567"/>
        <w:jc w:val="both"/>
        <w:rPr>
          <w:sz w:val="20"/>
        </w:rPr>
      </w:pPr>
      <w:r>
        <w:rPr>
          <w:rStyle w:val="BodyTextChar"/>
          <w:sz w:val="20"/>
        </w:rPr>
        <w:t>Poskytněte analýzy dodávaných živin, zejména dusíku, fosforu (vyjádřeného jako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a draslíku (vyjádřeného jako K</w:t>
      </w:r>
      <w:r>
        <w:rPr>
          <w:rStyle w:val="BodyTextChar"/>
          <w:sz w:val="20"/>
          <w:vertAlign w:val="subscript"/>
        </w:rPr>
        <w:t>2</w:t>
      </w:r>
      <w:r>
        <w:rPr>
          <w:rStyle w:val="BodyTextChar"/>
          <w:sz w:val="20"/>
        </w:rPr>
        <w:t>O), jakož i pH a elektrické vodivosti.</w:t>
      </w:r>
    </w:p>
    <w:p w14:paraId="255E2022" w14:textId="77777777" w:rsidR="00503C92" w:rsidRPr="00F122A6" w:rsidRDefault="0037644B" w:rsidP="00BB487E">
      <w:pPr>
        <w:pStyle w:val="BodyText"/>
        <w:numPr>
          <w:ilvl w:val="0"/>
          <w:numId w:val="6"/>
        </w:numPr>
        <w:tabs>
          <w:tab w:val="left" w:pos="1221"/>
        </w:tabs>
        <w:spacing w:line="276" w:lineRule="auto"/>
        <w:ind w:left="1985" w:right="1830" w:firstLine="567"/>
        <w:jc w:val="both"/>
        <w:rPr>
          <w:sz w:val="20"/>
        </w:rPr>
      </w:pPr>
      <w:r>
        <w:rPr>
          <w:rStyle w:val="BodyTextChar"/>
          <w:sz w:val="20"/>
        </w:rPr>
        <w:lastRenderedPageBreak/>
        <w:t>Splňovat všechny další požadavky obsažené v povolení k využívání odpadů R1001.“</w:t>
      </w:r>
    </w:p>
    <w:p w14:paraId="27038D19" w14:textId="77777777" w:rsidR="00503C92" w:rsidRPr="00F122A6" w:rsidRDefault="0037644B" w:rsidP="00EE0D48">
      <w:pPr>
        <w:pStyle w:val="BodyText"/>
        <w:ind w:left="1560" w:right="1830"/>
        <w:jc w:val="both"/>
        <w:rPr>
          <w:sz w:val="20"/>
        </w:rPr>
      </w:pPr>
      <w:r>
        <w:rPr>
          <w:rStyle w:val="BodyTextChar"/>
          <w:sz w:val="20"/>
        </w:rPr>
        <w:t>2. Podobně každý kompostovaný nebo fermentovaný materiál, který má být aplikován na zemědělskou půdu a který je získán z jiných vstupních materiálů, než jsou materiály uvedené v předchozím odstavci, musí splňovat požadavky na nečistoty a stabilitu stanovené v CMC3, respektive CMC5 nařízení Evropského parlamentu a Rady (EU) 2019/1009 ze dne 5. června 2019, a navíc musí splňovat následující parametry:</w:t>
      </w:r>
    </w:p>
    <w:p w14:paraId="4E48BC44" w14:textId="72693F5C"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rPr>
      </w:pPr>
      <w:r>
        <w:rPr>
          <w:rStyle w:val="BodyTextChar"/>
          <w:sz w:val="20"/>
        </w:rPr>
        <w:t>Celková organická hmota ≥ 25 % v sušině.</w:t>
      </w:r>
    </w:p>
    <w:p w14:paraId="576B61C8"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Deklarovat obsah </w:t>
      </w:r>
      <w:r>
        <w:rPr>
          <w:rStyle w:val="BodyTextChar"/>
          <w:i/>
          <w:sz w:val="20"/>
        </w:rPr>
        <w:t>Salmonelly</w:t>
      </w:r>
      <w:r>
        <w:rPr>
          <w:rStyle w:val="BodyTextChar"/>
          <w:sz w:val="20"/>
        </w:rPr>
        <w:t>.</w:t>
      </w:r>
    </w:p>
    <w:p w14:paraId="4D9310C5" w14:textId="77777777" w:rsidR="00503C92" w:rsidRPr="00F122A6" w:rsidRDefault="0037644B" w:rsidP="00BB487E">
      <w:pPr>
        <w:pStyle w:val="BodyText"/>
        <w:numPr>
          <w:ilvl w:val="0"/>
          <w:numId w:val="7"/>
        </w:numPr>
        <w:tabs>
          <w:tab w:val="left" w:pos="1230"/>
        </w:tabs>
        <w:spacing w:after="0" w:line="276" w:lineRule="auto"/>
        <w:ind w:left="1985" w:right="1830" w:firstLine="495"/>
        <w:jc w:val="both"/>
        <w:rPr>
          <w:sz w:val="20"/>
          <w:szCs w:val="20"/>
        </w:rPr>
      </w:pPr>
      <w:r>
        <w:rPr>
          <w:rStyle w:val="BodyTextChar"/>
          <w:sz w:val="20"/>
        </w:rPr>
        <w:t xml:space="preserve">Deklarovat obsah </w:t>
      </w:r>
      <w:r>
        <w:rPr>
          <w:rStyle w:val="BodyTextChar"/>
          <w:i/>
          <w:sz w:val="20"/>
        </w:rPr>
        <w:t>Escherichia coli</w:t>
      </w:r>
      <w:r>
        <w:rPr>
          <w:rStyle w:val="BodyTextChar"/>
          <w:sz w:val="20"/>
        </w:rPr>
        <w:t>.</w:t>
      </w:r>
    </w:p>
    <w:p w14:paraId="1DF72A9D" w14:textId="77777777" w:rsidR="00503C92" w:rsidRPr="00F122A6" w:rsidRDefault="0037644B" w:rsidP="00BB487E">
      <w:pPr>
        <w:pStyle w:val="BodyText"/>
        <w:numPr>
          <w:ilvl w:val="0"/>
          <w:numId w:val="7"/>
        </w:numPr>
        <w:tabs>
          <w:tab w:val="left" w:pos="1231"/>
        </w:tabs>
        <w:spacing w:after="0" w:line="276" w:lineRule="auto"/>
        <w:ind w:left="1985" w:right="1830" w:firstLine="495"/>
        <w:jc w:val="both"/>
        <w:rPr>
          <w:sz w:val="20"/>
        </w:rPr>
      </w:pPr>
      <w:r>
        <w:rPr>
          <w:rStyle w:val="BodyTextChar"/>
          <w:sz w:val="20"/>
        </w:rPr>
        <w:t>Poskytněte analýzy dodávaných živin, zejména dusíku, fosforu (vyjádřeného jako P</w:t>
      </w:r>
      <w:r>
        <w:rPr>
          <w:rStyle w:val="BodyTextChar"/>
          <w:sz w:val="20"/>
          <w:vertAlign w:val="subscript"/>
        </w:rPr>
        <w:t>2</w:t>
      </w:r>
      <w:r>
        <w:rPr>
          <w:rStyle w:val="BodyTextChar"/>
          <w:sz w:val="20"/>
        </w:rPr>
        <w:t>O</w:t>
      </w:r>
      <w:r>
        <w:rPr>
          <w:rStyle w:val="BodyTextChar"/>
          <w:sz w:val="20"/>
          <w:vertAlign w:val="subscript"/>
        </w:rPr>
        <w:t>5</w:t>
      </w:r>
      <w:r>
        <w:rPr>
          <w:rStyle w:val="BodyTextChar"/>
          <w:sz w:val="20"/>
        </w:rPr>
        <w:t>) a draslíku (vyjádřeného jako K</w:t>
      </w:r>
      <w:r>
        <w:rPr>
          <w:rStyle w:val="BodyTextChar"/>
          <w:sz w:val="20"/>
          <w:vertAlign w:val="subscript"/>
        </w:rPr>
        <w:t>2</w:t>
      </w:r>
      <w:r>
        <w:rPr>
          <w:rStyle w:val="BodyTextChar"/>
          <w:sz w:val="20"/>
        </w:rPr>
        <w:t>O), jakož i pH a elektrické vodivosti.</w:t>
      </w:r>
    </w:p>
    <w:p w14:paraId="2E2A82BB" w14:textId="77777777" w:rsidR="00503C92" w:rsidRPr="00F122A6" w:rsidRDefault="0037644B" w:rsidP="00BB487E">
      <w:pPr>
        <w:pStyle w:val="BodyText"/>
        <w:numPr>
          <w:ilvl w:val="0"/>
          <w:numId w:val="7"/>
        </w:numPr>
        <w:tabs>
          <w:tab w:val="left" w:pos="1221"/>
        </w:tabs>
        <w:spacing w:line="276" w:lineRule="auto"/>
        <w:ind w:left="1985" w:right="1830" w:firstLine="495"/>
        <w:jc w:val="both"/>
        <w:rPr>
          <w:sz w:val="20"/>
        </w:rPr>
      </w:pPr>
      <w:r>
        <w:rPr>
          <w:rStyle w:val="BodyTextChar"/>
          <w:sz w:val="20"/>
        </w:rPr>
        <w:t>Splňovat všechny další požadavky obsažené v jeho povolení k využívání odpadů R1001.“</w:t>
      </w:r>
    </w:p>
    <w:p w14:paraId="2FE61487" w14:textId="2911B964" w:rsidR="00503C92" w:rsidRPr="00F122A6" w:rsidRDefault="00FF7446" w:rsidP="00FF7446">
      <w:pPr>
        <w:pStyle w:val="BodyText"/>
        <w:tabs>
          <w:tab w:val="left" w:pos="1216"/>
        </w:tabs>
        <w:ind w:left="2480" w:right="1830" w:firstLine="0"/>
        <w:jc w:val="both"/>
        <w:rPr>
          <w:sz w:val="20"/>
        </w:rPr>
      </w:pPr>
      <w:r>
        <w:rPr>
          <w:rStyle w:val="BodyTextChar"/>
          <w:sz w:val="20"/>
        </w:rPr>
        <w:t>„7. Odpad z lisovny oleje.</w:t>
      </w:r>
    </w:p>
    <w:p w14:paraId="28AE5BA8" w14:textId="3B2C33EB" w:rsidR="00503C92" w:rsidRPr="00F122A6" w:rsidRDefault="0037644B" w:rsidP="00EE0D48">
      <w:pPr>
        <w:pStyle w:val="BodyText"/>
        <w:ind w:left="1560" w:right="1830"/>
        <w:jc w:val="both"/>
        <w:rPr>
          <w:sz w:val="20"/>
        </w:rPr>
      </w:pPr>
      <w:r>
        <w:rPr>
          <w:rStyle w:val="BodyTextChar"/>
          <w:sz w:val="20"/>
        </w:rPr>
        <w:t>Jedná se o kapalinu, která se skládá z vody z praní oliv a vody z praní olejů získaných dvoustupňovým extrakčním systémem a která splňuje všechny další požadavky obsažené v jejím povolení k využití R1001.</w:t>
      </w:r>
    </w:p>
    <w:p w14:paraId="43FF02FD" w14:textId="6FE40C1A" w:rsidR="00503C92" w:rsidRPr="00F122A6" w:rsidRDefault="00FF7446" w:rsidP="00FF7446">
      <w:pPr>
        <w:pStyle w:val="BodyText"/>
        <w:tabs>
          <w:tab w:val="left" w:pos="1216"/>
        </w:tabs>
        <w:ind w:left="2480" w:right="1830" w:firstLine="0"/>
        <w:jc w:val="both"/>
        <w:rPr>
          <w:sz w:val="20"/>
        </w:rPr>
      </w:pPr>
      <w:r>
        <w:rPr>
          <w:rStyle w:val="BodyTextChar"/>
          <w:sz w:val="20"/>
        </w:rPr>
        <w:t>8. Vinné kaly.</w:t>
      </w:r>
    </w:p>
    <w:p w14:paraId="29227E47" w14:textId="2A06893C" w:rsidR="00503C92" w:rsidRPr="00F122A6" w:rsidRDefault="0037644B" w:rsidP="00EE0D48">
      <w:pPr>
        <w:pStyle w:val="BodyText"/>
        <w:ind w:left="1560" w:right="1830"/>
        <w:jc w:val="both"/>
        <w:rPr>
          <w:sz w:val="20"/>
        </w:rPr>
      </w:pPr>
      <w:r>
        <w:rPr>
          <w:rStyle w:val="BodyTextChar"/>
          <w:sz w:val="20"/>
        </w:rPr>
        <w:t>Organické sraženiny tvořené kvasinkami, bakteriemi a dalšími zbytkovými látkami, které vznikají během procesu výroby vína a které musí splňovat všechny další požadavky obsažené v souhlasu s jeho využitím R1001“.</w:t>
      </w:r>
    </w:p>
    <w:p w14:paraId="2B531F85" w14:textId="45C3DAE0" w:rsidR="00503C92" w:rsidRPr="00F122A6" w:rsidRDefault="0037644B" w:rsidP="00EE0D48">
      <w:pPr>
        <w:pStyle w:val="BodyText"/>
        <w:ind w:left="1560" w:right="1830"/>
        <w:jc w:val="both"/>
        <w:rPr>
          <w:sz w:val="20"/>
        </w:rPr>
      </w:pPr>
      <w:r>
        <w:rPr>
          <w:rStyle w:val="BodyTextChar"/>
          <w:sz w:val="20"/>
        </w:rPr>
        <w:t>Zaosmnácté. Odstavce 1 a 4 přílohy IX znějí takto:</w:t>
      </w:r>
    </w:p>
    <w:p w14:paraId="2EECEDDC" w14:textId="333324DB" w:rsidR="00503C92" w:rsidRPr="00F122A6" w:rsidRDefault="0037644B" w:rsidP="00EE0D48">
      <w:pPr>
        <w:pStyle w:val="BodyText"/>
        <w:spacing w:after="0"/>
        <w:ind w:left="1560" w:right="1830"/>
        <w:jc w:val="both"/>
        <w:rPr>
          <w:sz w:val="20"/>
        </w:rPr>
      </w:pPr>
      <w:r>
        <w:rPr>
          <w:rStyle w:val="BodyTextChar"/>
          <w:sz w:val="20"/>
        </w:rPr>
        <w:t>„1. Obecně se dávka a četnost zavlažování přizpůsobí potřebám plodiny a schopnosti půdy zadržovat vlhkost, aby se zabránilo ztrátám živin vyplavováním, přičemž se vychází z doporučení poradenských služeb pro zavlažovatele autonomního společenství nebo agroklimatického informačního systému pro zavlažování (SIAR) ministerstva zemědělství, rybolovu a potravinářství, pokud se nacházejí v autonomních společenstvích, v nichž některé z nich působí; doporučuje se používat senzory pro kontrolu vlhkosti půdy jako podpůrný nástroj pro zjištění stavu půdy. V případě, že materiál použitý k hnojení sám o sobě dodává plodině značné množství vody (např. při použití kejdy), zohlední se při výpočtu dávky závlahové vody a četnosti jejího použití objem vody, který se do plodiny dostane.“</w:t>
      </w:r>
    </w:p>
    <w:p w14:paraId="526DE1C5" w14:textId="12181085" w:rsidR="00503C92" w:rsidRPr="00F122A6" w:rsidRDefault="0037644B" w:rsidP="00EE0D48">
      <w:pPr>
        <w:pStyle w:val="BodyText"/>
        <w:spacing w:after="180"/>
        <w:ind w:left="1560" w:right="1830"/>
        <w:jc w:val="both"/>
        <w:rPr>
          <w:sz w:val="20"/>
        </w:rPr>
      </w:pPr>
      <w:r>
        <w:rPr>
          <w:rStyle w:val="BodyTextChar"/>
          <w:sz w:val="20"/>
        </w:rPr>
        <w:t>„4. U plodin s lokální závlahou se hnojení provádí rozpuštěním živin v závlahové vodě a jejich aplikací do půdy prostřednictvím vody. Ty se dávkují po částech v období vegetační aktivity plodiny, přičemž koncentrace a dílčí množství lze přizpůsobit době maximální potřeby v rámci cyklu plodiny.“</w:t>
      </w:r>
    </w:p>
    <w:p w14:paraId="5C7B1C08" w14:textId="77777777" w:rsidR="00503C92" w:rsidRPr="00F122A6" w:rsidRDefault="0037644B" w:rsidP="00EE0D48">
      <w:pPr>
        <w:pStyle w:val="BodyText"/>
        <w:ind w:left="1560" w:right="1830" w:firstLine="0"/>
        <w:jc w:val="both"/>
        <w:rPr>
          <w:sz w:val="20"/>
          <w:szCs w:val="20"/>
        </w:rPr>
      </w:pPr>
      <w:r>
        <w:rPr>
          <w:rStyle w:val="BodyTextChar"/>
          <w:b/>
          <w:sz w:val="20"/>
        </w:rPr>
        <w:t xml:space="preserve">Jediné závěrečné ustanovení. </w:t>
      </w:r>
      <w:r>
        <w:rPr>
          <w:rStyle w:val="BodyTextChar"/>
          <w:i/>
          <w:sz w:val="20"/>
        </w:rPr>
        <w:t>Vstup v platnost.</w:t>
      </w:r>
    </w:p>
    <w:p w14:paraId="79EF3419" w14:textId="77777777" w:rsidR="00503C92" w:rsidRPr="00F122A6" w:rsidRDefault="0037644B" w:rsidP="00EE0D48">
      <w:pPr>
        <w:pStyle w:val="BodyText"/>
        <w:ind w:left="1560" w:right="1830"/>
        <w:jc w:val="both"/>
        <w:rPr>
          <w:sz w:val="20"/>
        </w:rPr>
      </w:pPr>
      <w:r>
        <w:rPr>
          <w:rStyle w:val="BodyTextChar"/>
          <w:sz w:val="20"/>
        </w:rPr>
        <w:t>Tento královský výnos vstupuje v platnost dnem následujícím po jeho zveřejnění v „Úředním věstníku“.</w:t>
      </w:r>
    </w:p>
    <w:p w14:paraId="68AE9113" w14:textId="77777777" w:rsidR="00503C92" w:rsidRPr="00F122A6" w:rsidRDefault="0037644B" w:rsidP="00EE0D48">
      <w:pPr>
        <w:pStyle w:val="BodyText"/>
        <w:ind w:left="1560" w:right="1830"/>
        <w:jc w:val="both"/>
        <w:rPr>
          <w:sz w:val="20"/>
        </w:rPr>
      </w:pPr>
      <w:r>
        <w:rPr>
          <w:rStyle w:val="BodyTextChar"/>
          <w:sz w:val="20"/>
        </w:rPr>
        <w:t>Vypracováno v Madridu, dne 27. srpna 2024.</w:t>
      </w:r>
    </w:p>
    <w:p w14:paraId="0C00789F" w14:textId="77777777" w:rsidR="00503C92" w:rsidRPr="00F122A6" w:rsidRDefault="0037644B" w:rsidP="00EE0D48">
      <w:pPr>
        <w:pStyle w:val="BodyText"/>
        <w:spacing w:after="240"/>
        <w:ind w:left="1560" w:right="1830" w:firstLine="0"/>
        <w:jc w:val="right"/>
        <w:rPr>
          <w:sz w:val="20"/>
        </w:rPr>
      </w:pPr>
      <w:r>
        <w:rPr>
          <w:rStyle w:val="BodyTextChar"/>
          <w:sz w:val="20"/>
        </w:rPr>
        <w:t>FELIPE R.</w:t>
      </w:r>
    </w:p>
    <w:p w14:paraId="278970C7" w14:textId="35CDF83F" w:rsidR="00503C92" w:rsidRDefault="00FF7446" w:rsidP="00EE0D48">
      <w:pPr>
        <w:pStyle w:val="Bodytext30"/>
        <w:spacing w:line="319" w:lineRule="auto"/>
        <w:ind w:left="1560" w:right="1830"/>
        <w:jc w:val="center"/>
        <w:rPr>
          <w:rStyle w:val="Bodytext3"/>
        </w:rPr>
      </w:pPr>
      <w:r>
        <w:rPr>
          <w:rStyle w:val="Bodytext3"/>
        </w:rPr>
        <w:lastRenderedPageBreak/>
        <w:t>Ministr zemědělství, rybolovu a výživy</w:t>
      </w:r>
      <w:r>
        <w:rPr>
          <w:rStyle w:val="Bodytext3"/>
        </w:rPr>
        <w:br/>
        <w:t>LUIS PLANAS PUCHADES</w:t>
      </w:r>
    </w:p>
    <w:p w14:paraId="79892C53" w14:textId="77777777" w:rsidR="0037644B" w:rsidRDefault="0037644B" w:rsidP="00EE0D48">
      <w:pPr>
        <w:pStyle w:val="Bodytext30"/>
        <w:spacing w:line="319" w:lineRule="auto"/>
        <w:ind w:left="1560" w:right="1830"/>
        <w:jc w:val="center"/>
        <w:rPr>
          <w:rStyle w:val="Bodytext3"/>
        </w:rPr>
      </w:pPr>
    </w:p>
    <w:p w14:paraId="60F86DA3" w14:textId="77777777" w:rsidR="0037644B" w:rsidRDefault="0037644B" w:rsidP="00EE0D48">
      <w:pPr>
        <w:pStyle w:val="Bodytext30"/>
        <w:spacing w:line="319" w:lineRule="auto"/>
        <w:ind w:left="1560" w:right="1830"/>
        <w:jc w:val="center"/>
        <w:rPr>
          <w:rStyle w:val="Bodytext3"/>
        </w:rPr>
      </w:pPr>
    </w:p>
    <w:p w14:paraId="61F764BC" w14:textId="77777777" w:rsidR="0037644B" w:rsidRDefault="0037644B" w:rsidP="00EE0D48">
      <w:pPr>
        <w:pStyle w:val="Bodytext30"/>
        <w:spacing w:line="319" w:lineRule="auto"/>
        <w:ind w:left="1560" w:right="1830"/>
        <w:jc w:val="center"/>
        <w:rPr>
          <w:rStyle w:val="Bodytext3"/>
        </w:rPr>
      </w:pPr>
    </w:p>
    <w:p w14:paraId="3E44A77D" w14:textId="77777777" w:rsidR="0037644B" w:rsidRDefault="0037644B" w:rsidP="00EE0D48">
      <w:pPr>
        <w:pStyle w:val="Bodytext30"/>
        <w:spacing w:line="319" w:lineRule="auto"/>
        <w:ind w:left="1560" w:right="1830"/>
        <w:jc w:val="center"/>
        <w:rPr>
          <w:sz w:val="20"/>
          <w:szCs w:val="19"/>
        </w:rPr>
      </w:pPr>
    </w:p>
    <w:p w14:paraId="1827295C" w14:textId="77777777" w:rsidR="0037644B" w:rsidRDefault="0037644B" w:rsidP="00EE0D48">
      <w:pPr>
        <w:pStyle w:val="Bodytext30"/>
        <w:spacing w:line="319" w:lineRule="auto"/>
        <w:ind w:left="1560" w:right="1830"/>
        <w:jc w:val="center"/>
        <w:rPr>
          <w:sz w:val="20"/>
          <w:szCs w:val="19"/>
        </w:rPr>
      </w:pPr>
    </w:p>
    <w:p w14:paraId="5A349AF9" w14:textId="77777777" w:rsidR="0037644B" w:rsidRDefault="0037644B" w:rsidP="00EE0D48">
      <w:pPr>
        <w:pStyle w:val="Bodytext30"/>
        <w:spacing w:line="319" w:lineRule="auto"/>
        <w:ind w:left="1560" w:right="1830"/>
        <w:jc w:val="center"/>
        <w:rPr>
          <w:sz w:val="20"/>
          <w:szCs w:val="19"/>
        </w:rPr>
      </w:pPr>
    </w:p>
    <w:p w14:paraId="39068B9D" w14:textId="39B94AF9" w:rsidR="0037644B" w:rsidRPr="00F122A6" w:rsidRDefault="0037644B" w:rsidP="00EE0D48">
      <w:pPr>
        <w:pStyle w:val="Bodytext30"/>
        <w:spacing w:line="319" w:lineRule="auto"/>
        <w:ind w:left="1560" w:right="1830"/>
        <w:jc w:val="center"/>
        <w:rPr>
          <w:sz w:val="20"/>
          <w:szCs w:val="19"/>
        </w:rPr>
      </w:pPr>
      <w:r>
        <w:rPr>
          <w:rFonts w:ascii="Microsoft Sans Serif" w:hAnsi="Microsoft Sans Serif"/>
          <w:noProof/>
          <w:sz w:val="24"/>
        </w:rPr>
        <mc:AlternateContent>
          <mc:Choice Requires="wps">
            <w:drawing>
              <wp:anchor distT="0" distB="0" distL="0" distR="0" simplePos="0" relativeHeight="251659264" behindDoc="0" locked="0" layoutInCell="1" allowOverlap="1" wp14:anchorId="3B143088" wp14:editId="0C9260EA">
                <wp:simplePos x="0" y="0"/>
                <wp:positionH relativeFrom="page">
                  <wp:posOffset>377825</wp:posOffset>
                </wp:positionH>
                <wp:positionV relativeFrom="paragraph">
                  <wp:posOffset>7000875</wp:posOffset>
                </wp:positionV>
                <wp:extent cx="6899275" cy="2165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9275" cy="216535"/>
                        </a:xfrm>
                        <a:prstGeom prst="rect">
                          <a:avLst/>
                        </a:prstGeom>
                        <a:solidFill>
                          <a:srgbClr val="004479"/>
                        </a:solidFill>
                      </wps:spPr>
                      <wps:txbx>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502"/>
                              <w:gridCol w:w="2891"/>
                            </w:tblGrid>
                            <w:tr w:rsidR="00F122A6" w14:paraId="4C7B1FE4" w14:textId="77777777" w:rsidTr="001A30DD">
                              <w:tc>
                                <w:tcPr>
                                  <w:tcW w:w="3234" w:type="dxa"/>
                                  <w:vAlign w:val="bottom"/>
                                </w:tcPr>
                                <w:p w14:paraId="200D134E" w14:textId="77777777" w:rsidR="00F122A6" w:rsidRPr="001A30DD" w:rsidRDefault="00A54187" w:rsidP="007E1B61">
                                  <w:pPr>
                                    <w:spacing w:before="30"/>
                                    <w:rPr>
                                      <w:b/>
                                      <w:color w:val="FFFFFF"/>
                                    </w:rPr>
                                  </w:pPr>
                                  <w:hyperlink r:id="rId7">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ÚŘEDNÍ STÁTNÍ VĚSTNÍK</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wps:txbx>
                      <wps:bodyPr wrap="square" lIns="0" tIns="0" rIns="0" bIns="0" rtlCol="0">
                        <a:noAutofit/>
                      </wps:bodyPr>
                    </wps:wsp>
                  </a:graphicData>
                </a:graphic>
              </wp:anchor>
            </w:drawing>
          </mc:Choice>
          <mc:Fallback>
            <w:pict>
              <v:shapetype w14:anchorId="3B143088" id="_x0000_t202" coordsize="21600,21600" o:spt="202" path="m,l,21600r21600,l21600,xe">
                <v:stroke joinstyle="miter"/>
                <v:path gradientshapeok="t" o:connecttype="rect"/>
              </v:shapetype>
              <v:shape id="Textbox 21" o:spid="_x0000_s1026" type="#_x0000_t202" style="position:absolute;left:0;text-align:left;margin-left:29.75pt;margin-top:551.25pt;width:543.25pt;height:17.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" fillcolor="#004479" stroked="f">
                <v:textbox inset="0,0,0,0">
                  <w:txbxContent>
                    <w:tbl>
                      <w:tblPr>
                        <w:tblStyle w:val="TableGrid2"/>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502"/>
                        <w:gridCol w:w="2891"/>
                      </w:tblGrid>
                      <w:tr w:rsidR="00F122A6" w14:paraId="4C7B1FE4" w14:textId="77777777" w:rsidTr="001A30DD">
                        <w:tc>
                          <w:tcPr>
                            <w:tcW w:w="3234" w:type="dxa"/>
                            <w:vAlign w:val="bottom"/>
                          </w:tcPr>
                          <w:p w14:paraId="200D134E" w14:textId="77777777" w:rsidR="00F122A6" w:rsidRPr="001A30DD" w:rsidRDefault="00A54187" w:rsidP="007E1B61">
                            <w:pPr>
                              <w:spacing w:before="30"/>
                              <w:rPr>
                                <w:b/>
                                <w:color w:val="FFFFFF"/>
                              </w:rPr>
                            </w:pPr>
                            <w:hyperlink r:id="rId8">
                              <w:r w:rsidR="0037644B">
                                <w:rPr>
                                  <w:b/>
                                  <w:color w:val="FFFFFF"/>
                                  <w:sz w:val="18"/>
                                </w:rPr>
                                <w:t>https://www.</w:t>
                              </w:r>
                            </w:hyperlink>
                            <w:r w:rsidR="0037644B">
                              <w:rPr>
                                <w:b/>
                                <w:color w:val="FFFFFF"/>
                                <w:sz w:val="18"/>
                              </w:rPr>
                              <w:t>boe.es</w:t>
                            </w:r>
                          </w:p>
                        </w:tc>
                        <w:tc>
                          <w:tcPr>
                            <w:tcW w:w="4659" w:type="dxa"/>
                            <w:vAlign w:val="bottom"/>
                          </w:tcPr>
                          <w:p w14:paraId="30AA6D48" w14:textId="77777777" w:rsidR="00F122A6" w:rsidRPr="00DA52BB" w:rsidRDefault="00F122A6" w:rsidP="001A30DD">
                            <w:pPr>
                              <w:spacing w:before="30"/>
                              <w:jc w:val="center"/>
                              <w:rPr>
                                <w:b/>
                                <w:color w:val="FFFFFF"/>
                                <w:sz w:val="20"/>
                              </w:rPr>
                            </w:pPr>
                            <w:r>
                              <w:rPr>
                                <w:b/>
                                <w:color w:val="FFFFFF"/>
                              </w:rPr>
                              <w:t>ÚŘEDNÍ STÁTNÍ VĚSTNÍK</w:t>
                            </w:r>
                          </w:p>
                        </w:tc>
                        <w:tc>
                          <w:tcPr>
                            <w:tcW w:w="2987" w:type="dxa"/>
                            <w:vAlign w:val="bottom"/>
                          </w:tcPr>
                          <w:p w14:paraId="152F23BF" w14:textId="77777777" w:rsidR="00F122A6" w:rsidRDefault="00F122A6" w:rsidP="001A30DD">
                            <w:pPr>
                              <w:spacing w:before="30"/>
                              <w:jc w:val="center"/>
                              <w:rPr>
                                <w:b/>
                                <w:sz w:val="16"/>
                              </w:rPr>
                            </w:pPr>
                            <w:r>
                              <w:rPr>
                                <w:b/>
                                <w:color w:val="FFFFFF"/>
                                <w:sz w:val="18"/>
                              </w:rPr>
                              <w:t>D. L.: M-1/1958 - ISSN: 0212-033X</w:t>
                            </w:r>
                          </w:p>
                        </w:tc>
                      </w:tr>
                    </w:tbl>
                    <w:p w14:paraId="2A834EF0" w14:textId="77777777" w:rsidR="00F122A6" w:rsidRDefault="00F122A6" w:rsidP="00F122A6">
                      <w:pPr>
                        <w:tabs>
                          <w:tab w:val="left" w:pos="3342"/>
                          <w:tab w:val="left" w:pos="8001"/>
                        </w:tabs>
                        <w:spacing w:before="30"/>
                        <w:rPr>
                          <w:b/>
                          <w:sz w:val="16"/>
                        </w:rPr>
                      </w:pPr>
                    </w:p>
                  </w:txbxContent>
                </v:textbox>
                <w10:wrap anchorx="page"/>
              </v:shape>
            </w:pict>
          </mc:Fallback>
        </mc:AlternateContent>
      </w:r>
    </w:p>
    <w:sectPr w:rsidR="0037644B" w:rsidRPr="00F122A6" w:rsidSect="00F122A6">
      <w:headerReference w:type="default" r:id="rId9"/>
      <w:footerReference w:type="default" r:id="rId10"/>
      <w:type w:val="continuous"/>
      <w:pgSz w:w="11900" w:h="16840"/>
      <w:pgMar w:top="1077" w:right="357" w:bottom="1276" w:left="357" w:header="612" w:footer="1020" w:gutter="0"/>
      <w:pgNumType w:start="10846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4EC6" w14:textId="77777777" w:rsidR="00A54187" w:rsidRDefault="00A54187">
      <w:r>
        <w:separator/>
      </w:r>
    </w:p>
  </w:endnote>
  <w:endnote w:type="continuationSeparator" w:id="0">
    <w:p w14:paraId="3474F1D4" w14:textId="77777777" w:rsidR="00A54187" w:rsidRDefault="00A5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73D" w14:textId="4BCE84DE" w:rsidR="00F122A6" w:rsidRDefault="00F122A6">
    <w:pPr>
      <w:pStyle w:val="Footer"/>
    </w:pPr>
    <w:r>
      <w:rPr>
        <w:noProof/>
      </w:rPr>
      <mc:AlternateContent>
        <mc:Choice Requires="wps">
          <w:drawing>
            <wp:anchor distT="0" distB="0" distL="0" distR="0" simplePos="0" relativeHeight="251659264" behindDoc="0" locked="0" layoutInCell="1" allowOverlap="1" wp14:anchorId="4CCC1602" wp14:editId="665CCF54">
              <wp:simplePos x="0" y="0"/>
              <wp:positionH relativeFrom="page">
                <wp:posOffset>6965950</wp:posOffset>
              </wp:positionH>
              <wp:positionV relativeFrom="paragraph">
                <wp:posOffset>-1518920</wp:posOffset>
              </wp:positionV>
              <wp:extent cx="231775" cy="143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435100"/>
                      </a:xfrm>
                      <a:prstGeom prst="rect">
                        <a:avLst/>
                      </a:prstGeom>
                    </wps:spPr>
                    <wps:txbx>
                      <w:txbxContent>
                        <w:p w14:paraId="521BEB48" w14:textId="77777777" w:rsidR="00F122A6" w:rsidRDefault="00F122A6" w:rsidP="00F122A6">
                          <w:pPr>
                            <w:pStyle w:val="Bodytext20"/>
                          </w:pPr>
                          <w:r>
                            <w:rPr>
                              <w:rStyle w:val="Bodytext2"/>
                            </w:rPr>
                            <w:t>cve: BOE-A-2024-17371</w:t>
                          </w:r>
                        </w:p>
                        <w:p w14:paraId="141DFE5A" w14:textId="77777777" w:rsidR="00F122A6" w:rsidRDefault="00F122A6" w:rsidP="00F122A6">
                          <w:pPr>
                            <w:pStyle w:val="Bodytext20"/>
                          </w:pPr>
                          <w:r>
                            <w:rPr>
                              <w:rStyle w:val="Bodytext2"/>
                            </w:rPr>
                            <w:t xml:space="preserve">Lze ověřit na </w:t>
                          </w:r>
                          <w:hyperlink r:id="rId1" w:history="1">
                            <w:r>
                              <w:rPr>
                                <w:rStyle w:val="Bodytext2"/>
                              </w:rPr>
                              <w:t>https://www.boe.es</w:t>
                            </w:r>
                          </w:hyperlink>
                        </w:p>
                        <w:p w14:paraId="5DB38A53" w14:textId="77777777" w:rsidR="00F122A6" w:rsidRPr="00BB5B1F" w:rsidRDefault="00F122A6" w:rsidP="00F122A6">
                          <w:pPr>
                            <w:pStyle w:val="Bodytext20"/>
                            <w:textDirection w:val="btLr"/>
                          </w:pPr>
                        </w:p>
                      </w:txbxContent>
                    </wps:txbx>
                    <wps:bodyPr vert="vert270" wrap="square" lIns="0" tIns="0" rIns="0" bIns="0" rtlCol="0">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4CCC1602" id="_x0000_t202" coordsize="21600,21600" o:spt="202" path="m,l,21600r21600,l21600,xe">
              <v:stroke joinstyle="miter"/>
              <v:path gradientshapeok="t" o:connecttype="rect"/>
            </v:shapetype>
            <v:shape id="Textbox 14" o:spid="_x0000_s1028" type="#_x0000_t202" style="position:absolute;margin-left:548.5pt;margin-top:-119.6pt;width:18.25pt;height:113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" filled="f" stroked="f">
              <v:textbox style="layout-flow:vertical;mso-layout-flow-alt:bottom-to-top" inset="0,0,0,0">
                <w:txbxContent>
                  <w:p w14:paraId="521BEB48" w14:textId="77777777" w:rsidR="00F122A6" w:rsidRDefault="00F122A6" w:rsidP="00F122A6">
                    <w:pPr>
                      <w:pStyle w:val="Bodytext20"/>
                    </w:pPr>
                    <w:r>
                      <w:rPr>
                        <w:rStyle w:val="Bodytext2"/>
                      </w:rPr>
                      <w:t xml:space="preserve">cve:</w:t>
                    </w:r>
                    <w:r>
                      <w:rPr>
                        <w:rStyle w:val="Bodytext2"/>
                      </w:rPr>
                      <w:t xml:space="preserve"> </w:t>
                    </w:r>
                    <w:r>
                      <w:rPr>
                        <w:rStyle w:val="Bodytext2"/>
                      </w:rPr>
                      <w:t xml:space="preserve">BOE-A-2024-17371</w:t>
                    </w:r>
                  </w:p>
                  <w:p w14:paraId="141DFE5A" w14:textId="77777777" w:rsidR="00F122A6" w:rsidRDefault="00F122A6" w:rsidP="00F122A6">
                    <w:pPr>
                      <w:pStyle w:val="Bodytext20"/>
                    </w:pPr>
                    <w:r>
                      <w:rPr>
                        <w:rStyle w:val="Bodytext2"/>
                      </w:rPr>
                      <w:t xml:space="preserve">Lze ověřit na </w:t>
                    </w:r>
                    <w:hyperlink r:id="rId2" w:history="1">
                      <w:r>
                        <w:rPr>
                          <w:rStyle w:val="Bodytext2"/>
                        </w:rPr>
                        <w:t xml:space="preserve">https://www.boe.es</w:t>
                      </w:r>
                    </w:hyperlink>
                  </w:p>
                  <w:p w14:paraId="5DB38A53" w14:textId="77777777" w:rsidR="00F122A6" w:rsidRPr="00BB5B1F" w:rsidRDefault="00F122A6" w:rsidP="00F122A6">
                    <w:pPr>
                      <w:pStyle w:val="Bodytext20"/>
                      <w:textDirection w:val="btL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4130" w14:textId="77777777" w:rsidR="00A54187" w:rsidRDefault="00A54187"/>
  </w:footnote>
  <w:footnote w:type="continuationSeparator" w:id="0">
    <w:p w14:paraId="0E0430BD" w14:textId="77777777" w:rsidR="00A54187" w:rsidRDefault="00A54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04"/>
      <w:gridCol w:w="708"/>
      <w:gridCol w:w="1509"/>
    </w:tblGrid>
    <w:tr w:rsidR="00EE0D48" w:rsidRPr="00EE0D48" w14:paraId="29FF6C3D" w14:textId="77777777" w:rsidTr="0029462A">
      <w:trPr>
        <w:trHeight w:val="851"/>
      </w:trPr>
      <w:tc>
        <w:tcPr>
          <w:tcW w:w="2235" w:type="dxa"/>
          <w:tcBorders>
            <w:bottom w:val="single" w:sz="8" w:space="0" w:color="00447A"/>
          </w:tcBorders>
          <w:vAlign w:val="center"/>
        </w:tcPr>
        <w:p w14:paraId="4ECD7A44" w14:textId="77777777" w:rsidR="00EE0D48" w:rsidRPr="00EE0D48" w:rsidRDefault="00EE0D48" w:rsidP="00EE0D48">
          <w:pPr>
            <w:tabs>
              <w:tab w:val="center" w:pos="4680"/>
              <w:tab w:val="right" w:pos="9360"/>
            </w:tabs>
          </w:pPr>
          <w:r>
            <w:rPr>
              <w:noProof/>
            </w:rPr>
            <w:drawing>
              <wp:inline distT="0" distB="0" distL="0" distR="0" wp14:anchorId="4B258F07" wp14:editId="7AECED03">
                <wp:extent cx="762000" cy="323215"/>
                <wp:effectExtent l="0" t="0" r="0" b="0"/>
                <wp:docPr id="1376890813" name="Picture 1376890813"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87279781" name="Picture 787279781" descr="A blue circle with white text&#10;&#10;Description automatically generated"/>
                        <pic:cNvPicPr/>
                      </pic:nvPicPr>
                      <pic:blipFill>
                        <a:blip r:embed="rId1"/>
                        <a:stretch/>
                      </pic:blipFill>
                      <pic:spPr>
                        <a:xfrm>
                          <a:off x="0" y="0"/>
                          <a:ext cx="762000" cy="323215"/>
                        </a:xfrm>
                        <a:prstGeom prst="rect">
                          <a:avLst/>
                        </a:prstGeom>
                      </pic:spPr>
                    </pic:pic>
                  </a:graphicData>
                </a:graphic>
              </wp:inline>
            </w:drawing>
          </w:r>
        </w:p>
      </w:tc>
      <w:tc>
        <w:tcPr>
          <w:tcW w:w="7512" w:type="dxa"/>
          <w:gridSpan w:val="2"/>
          <w:tcBorders>
            <w:bottom w:val="single" w:sz="8" w:space="0" w:color="00447A"/>
          </w:tcBorders>
          <w:vAlign w:val="center"/>
        </w:tcPr>
        <w:p w14:paraId="3BD86AC7" w14:textId="77777777" w:rsidR="00EE0D48" w:rsidRPr="00EE0D48" w:rsidRDefault="00EE0D48" w:rsidP="00EE0D48">
          <w:pPr>
            <w:jc w:val="center"/>
            <w:rPr>
              <w:rFonts w:ascii="Arial" w:eastAsia="Times New Roman" w:hAnsi="Arial" w:cs="Arial"/>
              <w:sz w:val="20"/>
              <w:szCs w:val="20"/>
            </w:rPr>
          </w:pPr>
          <w:r>
            <w:rPr>
              <w:rFonts w:ascii="Arial" w:hAnsi="Arial"/>
              <w:b/>
              <w:color w:val="00447A"/>
              <w:sz w:val="40"/>
            </w:rPr>
            <w:t>ÚŘEDNÍ STÁTNÍ VĚSTNÍK</w:t>
          </w:r>
        </w:p>
      </w:tc>
      <w:tc>
        <w:tcPr>
          <w:tcW w:w="1509" w:type="dxa"/>
          <w:tcBorders>
            <w:bottom w:val="single" w:sz="8" w:space="0" w:color="00447A"/>
          </w:tcBorders>
          <w:vAlign w:val="center"/>
        </w:tcPr>
        <w:p w14:paraId="78853998" w14:textId="77777777" w:rsidR="00EE0D48" w:rsidRPr="00EE0D48" w:rsidRDefault="00EE0D48" w:rsidP="00EE0D48">
          <w:pPr>
            <w:tabs>
              <w:tab w:val="center" w:pos="4680"/>
              <w:tab w:val="right" w:pos="9360"/>
            </w:tabs>
            <w:jc w:val="right"/>
          </w:pPr>
          <w:r>
            <w:rPr>
              <w:noProof/>
            </w:rPr>
            <w:drawing>
              <wp:inline distT="0" distB="0" distL="0" distR="0" wp14:anchorId="6E4D7463" wp14:editId="2C76F42D">
                <wp:extent cx="384175" cy="408305"/>
                <wp:effectExtent l="0" t="0" r="0" b="0"/>
                <wp:docPr id="2068100945" name="Picture 2068100945" descr="A blue and white emblem&#10;&#10;Description automatically generated"/>
                <wp:cNvGraphicFramePr/>
                <a:graphic xmlns:a="http://schemas.openxmlformats.org/drawingml/2006/main">
                  <a:graphicData uri="http://schemas.openxmlformats.org/drawingml/2006/picture">
                    <pic:pic xmlns:pic="http://schemas.openxmlformats.org/drawingml/2006/picture">
                      <pic:nvPicPr>
                        <pic:cNvPr id="1630636042" name="Picture 1630636042" descr="A blue and white emblem&#10;&#10;Description automatically generated"/>
                        <pic:cNvPicPr/>
                      </pic:nvPicPr>
                      <pic:blipFill>
                        <a:blip r:embed="rId2"/>
                        <a:stretch/>
                      </pic:blipFill>
                      <pic:spPr>
                        <a:xfrm>
                          <a:off x="0" y="0"/>
                          <a:ext cx="384175" cy="408305"/>
                        </a:xfrm>
                        <a:prstGeom prst="rect">
                          <a:avLst/>
                        </a:prstGeom>
                      </pic:spPr>
                    </pic:pic>
                  </a:graphicData>
                </a:graphic>
              </wp:inline>
            </w:drawing>
          </w:r>
        </w:p>
      </w:tc>
    </w:tr>
    <w:tr w:rsidR="00EE0D48" w:rsidRPr="00EE0D48" w14:paraId="040EEF60" w14:textId="77777777" w:rsidTr="0029462A">
      <w:trPr>
        <w:trHeight w:val="350"/>
      </w:trPr>
      <w:tc>
        <w:tcPr>
          <w:tcW w:w="2235" w:type="dxa"/>
          <w:tcBorders>
            <w:top w:val="single" w:sz="8" w:space="0" w:color="00447A"/>
            <w:bottom w:val="single" w:sz="8" w:space="0" w:color="00447A"/>
          </w:tcBorders>
        </w:tcPr>
        <w:p w14:paraId="46E828EA" w14:textId="77777777" w:rsidR="00EE0D48" w:rsidRPr="00EE0D48" w:rsidRDefault="00EE0D48" w:rsidP="00EE0D48">
          <w:pPr>
            <w:tabs>
              <w:tab w:val="center" w:pos="4680"/>
              <w:tab w:val="right" w:pos="9360"/>
            </w:tabs>
            <w:spacing w:before="60"/>
            <w:rPr>
              <w:noProof/>
              <w:sz w:val="20"/>
              <w:szCs w:val="20"/>
            </w:rPr>
          </w:pPr>
          <w:r>
            <w:rPr>
              <w:rFonts w:ascii="Arial" w:hAnsi="Arial"/>
              <w:b/>
              <w:color w:val="00447A"/>
              <w:sz w:val="20"/>
            </w:rPr>
            <w:t>č. 208</w:t>
          </w:r>
        </w:p>
      </w:tc>
      <w:tc>
        <w:tcPr>
          <w:tcW w:w="6804" w:type="dxa"/>
          <w:tcBorders>
            <w:top w:val="single" w:sz="8" w:space="0" w:color="00447A"/>
            <w:bottom w:val="single" w:sz="8" w:space="0" w:color="00447A"/>
          </w:tcBorders>
        </w:tcPr>
        <w:p w14:paraId="53768128" w14:textId="77777777" w:rsidR="00EE0D48" w:rsidRPr="00EE0D48" w:rsidRDefault="00EE0D48" w:rsidP="00EE0D48">
          <w:pPr>
            <w:spacing w:before="60"/>
            <w:jc w:val="center"/>
            <w:rPr>
              <w:rFonts w:ascii="Arial" w:eastAsia="Arial" w:hAnsi="Arial" w:cs="Arial"/>
              <w:b/>
              <w:bCs/>
              <w:color w:val="00447A"/>
              <w:sz w:val="20"/>
              <w:szCs w:val="20"/>
            </w:rPr>
          </w:pPr>
          <w:r>
            <w:rPr>
              <w:rFonts w:ascii="Arial" w:hAnsi="Arial"/>
              <w:b/>
              <w:color w:val="00447A"/>
              <w:sz w:val="20"/>
            </w:rPr>
            <w:t>Pátek, 28. srpna 2024</w:t>
          </w:r>
        </w:p>
      </w:tc>
      <w:tc>
        <w:tcPr>
          <w:tcW w:w="2217" w:type="dxa"/>
          <w:gridSpan w:val="2"/>
          <w:tcBorders>
            <w:top w:val="single" w:sz="8" w:space="0" w:color="00447A"/>
            <w:bottom w:val="single" w:sz="8" w:space="0" w:color="00447A"/>
          </w:tcBorders>
        </w:tcPr>
        <w:p w14:paraId="0445C7CE" w14:textId="77777777" w:rsidR="00EE0D48" w:rsidRPr="00EE0D48" w:rsidRDefault="00EE0D48" w:rsidP="00EE0D48">
          <w:pPr>
            <w:tabs>
              <w:tab w:val="center" w:pos="4680"/>
              <w:tab w:val="right" w:pos="9360"/>
            </w:tabs>
            <w:spacing w:before="60"/>
            <w:jc w:val="right"/>
            <w:rPr>
              <w:noProof/>
              <w:sz w:val="20"/>
              <w:szCs w:val="20"/>
            </w:rPr>
          </w:pPr>
          <w:r>
            <w:rPr>
              <w:rFonts w:ascii="Arial" w:hAnsi="Arial"/>
              <w:b/>
              <w:color w:val="00447A"/>
              <w:sz w:val="20"/>
            </w:rPr>
            <w:t xml:space="preserve">část I. strana </w:t>
          </w:r>
          <w:r w:rsidRPr="00EE0D48">
            <w:rPr>
              <w:rFonts w:ascii="Arial" w:eastAsia="Arial" w:hAnsi="Arial" w:cs="Arial"/>
              <w:b/>
              <w:color w:val="00447A"/>
              <w:sz w:val="20"/>
            </w:rPr>
            <w:fldChar w:fldCharType="begin"/>
          </w:r>
          <w:r w:rsidRPr="00EE0D48">
            <w:rPr>
              <w:rFonts w:ascii="Arial" w:eastAsia="Arial" w:hAnsi="Arial" w:cs="Arial"/>
              <w:b/>
              <w:color w:val="00447A"/>
              <w:sz w:val="20"/>
            </w:rPr>
            <w:instrText xml:space="preserve"> PAGE   \* MERGEFORMAT </w:instrText>
          </w:r>
          <w:r w:rsidRPr="00EE0D48">
            <w:rPr>
              <w:rFonts w:ascii="Arial" w:eastAsia="Arial" w:hAnsi="Arial" w:cs="Arial"/>
              <w:b/>
              <w:color w:val="00447A"/>
              <w:sz w:val="20"/>
            </w:rPr>
            <w:fldChar w:fldCharType="separate"/>
          </w:r>
          <w:r w:rsidRPr="00EE0D48">
            <w:rPr>
              <w:rFonts w:ascii="Arial" w:eastAsia="Arial" w:hAnsi="Arial" w:cs="Arial"/>
              <w:b/>
              <w:color w:val="00447A"/>
              <w:sz w:val="20"/>
            </w:rPr>
            <w:t>108461</w:t>
          </w:r>
          <w:r w:rsidRPr="00EE0D48">
            <w:rPr>
              <w:rFonts w:ascii="Arial" w:eastAsia="Arial" w:hAnsi="Arial" w:cs="Arial"/>
              <w:b/>
              <w:color w:val="00447A"/>
              <w:sz w:val="20"/>
            </w:rPr>
            <w:fldChar w:fldCharType="end"/>
          </w:r>
        </w:p>
      </w:tc>
    </w:tr>
  </w:tbl>
  <w:p w14:paraId="7DDE1055" w14:textId="77777777" w:rsidR="00EE0D48" w:rsidRPr="00EE0D48" w:rsidRDefault="00EE0D48" w:rsidP="00EE0D48">
    <w:pPr>
      <w:tabs>
        <w:tab w:val="center" w:pos="4680"/>
        <w:tab w:val="right" w:pos="9360"/>
      </w:tabs>
    </w:pPr>
  </w:p>
  <w:p w14:paraId="6D3322AA" w14:textId="77777777" w:rsidR="00EE0D48" w:rsidRPr="00EE0D48" w:rsidRDefault="00EE0D48">
    <w:pPr>
      <w:pStyle w:val="Header"/>
      <w:rPr>
        <w:lang w:val="en-US"/>
      </w:rPr>
    </w:pPr>
  </w:p>
  <w:p w14:paraId="632BEF40" w14:textId="77777777" w:rsidR="00000000" w:rsidRDefault="00A541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00D8"/>
    <w:multiLevelType w:val="multilevel"/>
    <w:tmpl w:val="0428ED76"/>
    <w:lvl w:ilvl="0">
      <w:start w:val="8"/>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1BF6"/>
    <w:multiLevelType w:val="multilevel"/>
    <w:tmpl w:val="5DE44DB4"/>
    <w:lvl w:ilvl="0">
      <w:start w:val="1"/>
      <w:numFmt w:val="upperRoman"/>
      <w:lvlText w:val="%1."/>
      <w:lvlJc w:val="right"/>
      <w:rPr>
        <w:b/>
        <w:bCs/>
        <w:i w:val="0"/>
        <w:iCs w:val="0"/>
        <w:smallCaps w:val="0"/>
        <w:strike w:val="0"/>
        <w:color w:val="000000"/>
        <w:spacing w:val="0"/>
        <w:w w:val="100"/>
        <w:position w:val="0"/>
        <w:sz w:val="30"/>
        <w:szCs w:val="3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E37C9"/>
    <w:multiLevelType w:val="multilevel"/>
    <w:tmpl w:val="C79A1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D919AA"/>
    <w:multiLevelType w:val="multilevel"/>
    <w:tmpl w:val="A0A0B3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566924"/>
    <w:multiLevelType w:val="multilevel"/>
    <w:tmpl w:val="BA70EF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B75579"/>
    <w:multiLevelType w:val="multilevel"/>
    <w:tmpl w:val="9632A9C0"/>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C93299"/>
    <w:multiLevelType w:val="multilevel"/>
    <w:tmpl w:val="C100907A"/>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92"/>
    <w:rsid w:val="001C4407"/>
    <w:rsid w:val="0037644B"/>
    <w:rsid w:val="003A02E8"/>
    <w:rsid w:val="00503C92"/>
    <w:rsid w:val="006536D5"/>
    <w:rsid w:val="00695D6F"/>
    <w:rsid w:val="007C7F14"/>
    <w:rsid w:val="008A217F"/>
    <w:rsid w:val="008D51C9"/>
    <w:rsid w:val="00973FEB"/>
    <w:rsid w:val="00A51493"/>
    <w:rsid w:val="00A54187"/>
    <w:rsid w:val="00BB487E"/>
    <w:rsid w:val="00C10FCF"/>
    <w:rsid w:val="00EE0D48"/>
    <w:rsid w:val="00F122A6"/>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8557"/>
  <w15:docId w15:val="{14B7957D-F9B3-420D-ABEF-F04A5FA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4"/>
      <w:szCs w:val="14"/>
      <w:u w:val="none"/>
    </w:rPr>
  </w:style>
  <w:style w:type="character" w:customStyle="1" w:styleId="Bodytext4">
    <w:name w:val="Body text (4)_"/>
    <w:basedOn w:val="DefaultParagraphFont"/>
    <w:link w:val="Bodytext40"/>
    <w:rPr>
      <w:rFonts w:ascii="Arial" w:eastAsia="Arial" w:hAnsi="Arial" w:cs="Arial"/>
      <w:b/>
      <w:bCs/>
      <w:i w:val="0"/>
      <w:iCs w:val="0"/>
      <w:smallCaps w:val="0"/>
      <w:strike w:val="0"/>
      <w:sz w:val="30"/>
      <w:szCs w:val="3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34"/>
      <w:szCs w:val="34"/>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19"/>
      <w:szCs w:val="19"/>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19"/>
      <w:szCs w:val="19"/>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6"/>
      <w:szCs w:val="16"/>
      <w:u w:val="none"/>
    </w:rPr>
  </w:style>
  <w:style w:type="paragraph" w:customStyle="1" w:styleId="Bodytext20">
    <w:name w:val="Body text (2)"/>
    <w:basedOn w:val="Normal"/>
    <w:link w:val="Bodytext2"/>
    <w:rPr>
      <w:rFonts w:ascii="Arial" w:eastAsia="Arial" w:hAnsi="Arial" w:cs="Arial"/>
      <w:sz w:val="14"/>
      <w:szCs w:val="14"/>
    </w:rPr>
  </w:style>
  <w:style w:type="paragraph" w:customStyle="1" w:styleId="Bodytext40">
    <w:name w:val="Body text (4)"/>
    <w:basedOn w:val="Normal"/>
    <w:link w:val="Bodytext4"/>
    <w:pPr>
      <w:spacing w:after="260"/>
      <w:jc w:val="center"/>
    </w:pPr>
    <w:rPr>
      <w:rFonts w:ascii="Arial" w:eastAsia="Arial" w:hAnsi="Arial" w:cs="Arial"/>
      <w:b/>
      <w:bCs/>
      <w:sz w:val="30"/>
      <w:szCs w:val="3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60"/>
      <w:jc w:val="center"/>
      <w:outlineLvl w:val="0"/>
    </w:pPr>
    <w:rPr>
      <w:rFonts w:ascii="Arial" w:eastAsia="Arial" w:hAnsi="Arial" w:cs="Arial"/>
      <w:sz w:val="34"/>
      <w:szCs w:val="34"/>
    </w:rPr>
  </w:style>
  <w:style w:type="paragraph" w:styleId="BodyText">
    <w:name w:val="Body Text"/>
    <w:basedOn w:val="Normal"/>
    <w:link w:val="BodyTextChar"/>
    <w:qFormat/>
    <w:pPr>
      <w:spacing w:after="120" w:line="264" w:lineRule="auto"/>
      <w:ind w:firstLine="340"/>
    </w:pPr>
    <w:rPr>
      <w:rFonts w:ascii="Arial" w:eastAsia="Arial" w:hAnsi="Arial" w:cs="Arial"/>
      <w:sz w:val="19"/>
      <w:szCs w:val="19"/>
    </w:rPr>
  </w:style>
  <w:style w:type="paragraph" w:customStyle="1" w:styleId="Other0">
    <w:name w:val="Other"/>
    <w:basedOn w:val="Normal"/>
    <w:link w:val="Other"/>
    <w:pPr>
      <w:spacing w:after="120" w:line="264" w:lineRule="auto"/>
      <w:ind w:firstLine="340"/>
    </w:pPr>
    <w:rPr>
      <w:rFonts w:ascii="Arial" w:eastAsia="Arial" w:hAnsi="Arial" w:cs="Arial"/>
      <w:sz w:val="19"/>
      <w:szCs w:val="19"/>
    </w:rPr>
  </w:style>
  <w:style w:type="paragraph" w:customStyle="1" w:styleId="Bodytext30">
    <w:name w:val="Body text (3)"/>
    <w:basedOn w:val="Normal"/>
    <w:link w:val="Bodytext3"/>
    <w:pPr>
      <w:spacing w:line="278" w:lineRule="auto"/>
    </w:pPr>
    <w:rPr>
      <w:rFonts w:ascii="Arial" w:eastAsia="Arial" w:hAnsi="Arial" w:cs="Arial"/>
      <w:sz w:val="16"/>
      <w:szCs w:val="16"/>
    </w:rPr>
  </w:style>
  <w:style w:type="paragraph" w:styleId="Footer">
    <w:name w:val="footer"/>
    <w:basedOn w:val="Normal"/>
    <w:link w:val="FooterChar"/>
    <w:uiPriority w:val="99"/>
    <w:unhideWhenUsed/>
    <w:rsid w:val="00EE0D48"/>
    <w:pPr>
      <w:tabs>
        <w:tab w:val="center" w:pos="4680"/>
        <w:tab w:val="right" w:pos="9360"/>
      </w:tabs>
    </w:pPr>
  </w:style>
  <w:style w:type="character" w:customStyle="1" w:styleId="FooterChar">
    <w:name w:val="Footer Char"/>
    <w:basedOn w:val="DefaultParagraphFont"/>
    <w:link w:val="Footer"/>
    <w:uiPriority w:val="99"/>
    <w:rsid w:val="00EE0D48"/>
    <w:rPr>
      <w:color w:val="000000"/>
    </w:rPr>
  </w:style>
  <w:style w:type="paragraph" w:styleId="Header">
    <w:name w:val="header"/>
    <w:basedOn w:val="Normal"/>
    <w:link w:val="HeaderChar"/>
    <w:uiPriority w:val="99"/>
    <w:unhideWhenUsed/>
    <w:rsid w:val="00EE0D48"/>
    <w:pPr>
      <w:tabs>
        <w:tab w:val="center" w:pos="4680"/>
        <w:tab w:val="right" w:pos="9360"/>
      </w:tabs>
    </w:pPr>
  </w:style>
  <w:style w:type="character" w:customStyle="1" w:styleId="HeaderChar">
    <w:name w:val="Header Char"/>
    <w:basedOn w:val="DefaultParagraphFont"/>
    <w:link w:val="Header"/>
    <w:uiPriority w:val="99"/>
    <w:rsid w:val="00EE0D48"/>
    <w:rPr>
      <w:color w:val="000000"/>
    </w:rPr>
  </w:style>
  <w:style w:type="table" w:customStyle="1" w:styleId="TableGrid1">
    <w:name w:val="Table Grid1"/>
    <w:basedOn w:val="TableNormal"/>
    <w:next w:val="TableGrid"/>
    <w:uiPriority w:val="39"/>
    <w:rsid w:val="00EE0D48"/>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22A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7446"/>
    <w:pPr>
      <w:autoSpaceDE w:val="0"/>
      <w:autoSpaceDN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es/" TargetMode="External"/><Relationship Id="rId3" Type="http://schemas.openxmlformats.org/officeDocument/2006/relationships/settings" Target="settings.xml"/><Relationship Id="rId7" Type="http://schemas.openxmlformats.org/officeDocument/2006/relationships/hyperlink" Target="http://www.bo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boe.es" TargetMode="External"/><Relationship Id="rId1" Type="http://schemas.openxmlformats.org/officeDocument/2006/relationships/hyperlink" Target="https://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2674</Words>
  <Characters>15359</Characters>
  <Application>Microsoft Office Word</Application>
  <DocSecurity>0</DocSecurity>
  <Lines>291</Lines>
  <Paragraphs>107</Paragraphs>
  <ScaleCrop>false</ScaleCrop>
  <HeadingPairs>
    <vt:vector size="2" baseType="variant">
      <vt:variant>
        <vt:lpstr>Title</vt:lpstr>
      </vt:variant>
      <vt:variant>
        <vt:i4>1</vt:i4>
      </vt:variant>
    </vt:vector>
  </HeadingPairs>
  <TitlesOfParts>
    <vt:vector size="1" baseType="lpstr">
      <vt:lpstr>Disposición 17371 del BOE núm. 208 de 2024</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17371 del BOE núm. 208 de 2024</dc:title>
  <dc:subject>BOE-A-2024-17371</dc:subject>
  <dc:creator>MINISTERIO DE AGRICULTURA, PESCA Y ALIMENTACIÓN</dc:creator>
  <cp:keywords>DECRETO 840/2024 de 27/08/2024; MINISTERIO DE AGRICULTURA, PESCA Y ALIMENTACIÓN; BOE-A-2024-17371; BOE 208 de 2024; 17371; 28/08/2024;Class='Internal'</cp:keywords>
  <cp:lastModifiedBy>Ragnhild Efraimsson</cp:lastModifiedBy>
  <cp:revision>2</cp:revision>
  <dcterms:created xsi:type="dcterms:W3CDTF">2024-10-10T11:09:00Z</dcterms:created>
  <dcterms:modified xsi:type="dcterms:W3CDTF">2024-10-10T11:09:00Z</dcterms:modified>
</cp:coreProperties>
</file>