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42538E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Gníomhaireacht Chomhshaoil Chónaidhmeach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42538E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An ceathrú leasú ar an bhfógra athmhúnlaithe maidir leis an mbonn measúnaithe d’ábhair mhiotalacha a bhíonn i dteagmháil le huisce óil</w:t>
      </w:r>
    </w:p>
    <w:p w14:paraId="0FE7CF9E" w14:textId="3A56FB14" w:rsidR="00D21EA2" w:rsidRPr="003A3CEF" w:rsidRDefault="0042538E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(Bunús an Mheasúnaithe Mhiotail)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,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42538E">
      <w:pPr>
        <w:pStyle w:val="BodyText"/>
        <w:spacing w:before="221"/>
        <w:ind w:left="1691" w:right="1686"/>
        <w:jc w:val="center"/>
      </w:pPr>
      <w:r>
        <w:t>Arna dhátú 10 Meitheamh 2024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42538E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42538E">
      <w:pPr>
        <w:pStyle w:val="BodyText"/>
        <w:ind w:left="4433"/>
      </w:pPr>
      <w:r>
        <w:t>Leasuithe</w:t>
      </w:r>
    </w:p>
    <w:p w14:paraId="4AA685E8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I bpointe 1, cuirtear an mhír seo a leanas in ionad na chéad mhíre:</w:t>
      </w:r>
    </w:p>
    <w:p w14:paraId="55EF1C5A" w14:textId="7C931817" w:rsidR="00D21EA2" w:rsidRPr="003A3CEF" w:rsidRDefault="0042538E" w:rsidP="003A3CEF">
      <w:pPr>
        <w:pStyle w:val="BodyText"/>
        <w:spacing w:line="252" w:lineRule="auto"/>
      </w:pPr>
      <w:r>
        <w:t>Substaintí agus ábhair a úsáidtear chun gléasraí a athchóiriú nó a chothabháil chun uisce óil a tháirgeadh, a chóireáil nó a dháileadh, a mbíonn teagmháil acu le huisce óil, d’fhéadfadh sé</w:t>
      </w:r>
      <w:r>
        <w:t xml:space="preserve"> nach mbeidís sin i gcomhréir le § 14 de Reacht an Uisce Óil (TrinkwV)</w:t>
      </w:r>
    </w:p>
    <w:p w14:paraId="511F9DCF" w14:textId="77777777" w:rsidR="00D21EA2" w:rsidRPr="003A3CEF" w:rsidRDefault="0042538E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an chosaint atá beartaithe do shláinte an duine a laghdú, go díreach nó go hindíreach;</w:t>
      </w:r>
    </w:p>
    <w:p w14:paraId="44F5E45E" w14:textId="77777777" w:rsidR="00D21EA2" w:rsidRPr="003A3CEF" w:rsidRDefault="0042538E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dochar a dhéanamh do dhath, do bholadh nó do bhlas an uisce;</w:t>
      </w:r>
    </w:p>
    <w:p w14:paraId="2846BFA5" w14:textId="77777777" w:rsidR="00D21EA2" w:rsidRPr="003A3CEF" w:rsidRDefault="0042538E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>iomadú miocrorgánach a chur chun cinn</w:t>
      </w:r>
      <w:r>
        <w:rPr>
          <w:sz w:val="18"/>
        </w:rPr>
        <w:t>; nó</w:t>
      </w:r>
    </w:p>
    <w:p w14:paraId="3D32DA15" w14:textId="77777777" w:rsidR="00D21EA2" w:rsidRPr="003A3CEF" w:rsidRDefault="0042538E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>substaintí a scaoileadh isteach san uisce i gcainníochtaí atá níos mó ná mar atá dosheachanta má chomhlíonann siad na rialacha teicneolaíochta a nglactar leo go ginearálta.</w:t>
      </w:r>
    </w:p>
    <w:p w14:paraId="62E539DC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bpointe 1, cuirtear an mhír seo a leanas in ionad an dara mír:</w:t>
      </w:r>
    </w:p>
    <w:p w14:paraId="0EE98BC9" w14:textId="77777777" w:rsidR="00D21EA2" w:rsidRPr="003A3CEF" w:rsidRDefault="0042538E">
      <w:pPr>
        <w:pStyle w:val="BodyText"/>
        <w:spacing w:before="76" w:line="249" w:lineRule="auto"/>
      </w:pPr>
      <w:r>
        <w:t>Leis an mbonn measúnaithe reatha de bhun § 15(1) den Reacht maidir le hUisce Óil, sonraítear na ceanglais sláinteachais ghinearálta thuasluaite le haghaidh ábhair mhiotail a liostaítear sa ra</w:t>
      </w:r>
      <w:r>
        <w:t>on feidhme.</w:t>
      </w:r>
    </w:p>
    <w:p w14:paraId="30A44FD9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bpointe 1, cuirtear an abairt seo a leanas in ionad na chéad abairte den tríú mír:</w:t>
      </w:r>
    </w:p>
    <w:p w14:paraId="2A9809A8" w14:textId="77777777" w:rsidR="00D21EA2" w:rsidRPr="003A3CEF" w:rsidRDefault="0042538E">
      <w:pPr>
        <w:pStyle w:val="BodyText"/>
        <w:spacing w:line="249" w:lineRule="auto"/>
      </w:pPr>
      <w:r>
        <w:t>Tá liosta dearfach críochnaitheach (§ 15(3)(3) den Ordanás Uisce Óil) d’ábhair mhiotail mar iarscríbhinn sa bhunús measúnaithe.</w:t>
      </w:r>
    </w:p>
    <w:p w14:paraId="25B732FF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I bpointe 1, cuirtear an abairt</w:t>
      </w:r>
      <w:r>
        <w:rPr>
          <w:sz w:val="18"/>
        </w:rPr>
        <w:t xml:space="preserve"> seo a leanas in ionad na chéad abairte den cheathrú mír:</w:t>
      </w:r>
    </w:p>
    <w:p w14:paraId="002C26A0" w14:textId="5F4C4828" w:rsidR="00D21EA2" w:rsidRPr="003A3CEF" w:rsidRDefault="0042538E">
      <w:pPr>
        <w:pStyle w:val="BodyText"/>
        <w:spacing w:before="76" w:line="252" w:lineRule="auto"/>
      </w:pPr>
      <w:r>
        <w:t>Ní mór do mhonaróirí na dtáirgí a bhíonn i dteagmháil le huisce óil a dhearbhú an gcomhlíonann a dtáirgí ceanglais na bprionsabal measúnaithe i gcomhréir le § 15 den Reacht maidir le hUisce Óil.</w:t>
      </w:r>
    </w:p>
    <w:p w14:paraId="38D26E44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I b</w:t>
      </w:r>
      <w:r>
        <w:rPr>
          <w:sz w:val="18"/>
        </w:rPr>
        <w:t>pointe 1, cuirtear an abairt seo a leanas in ionad na chéad abairte den séú mír:</w:t>
      </w:r>
    </w:p>
    <w:p w14:paraId="7BDCEBA3" w14:textId="77777777" w:rsidR="00D21EA2" w:rsidRPr="003A3CEF" w:rsidRDefault="0042538E">
      <w:pPr>
        <w:pStyle w:val="BodyText"/>
        <w:spacing w:line="252" w:lineRule="auto"/>
        <w:ind w:right="124"/>
      </w:pPr>
      <w:r>
        <w:t>Faoi § 15(2)(2) Ordanás Uisce Óil, beidh feidhm ag an mbonn measúnaithe ar feadh dhá bhliain tar éis a fhoilsithe (i.e. ón 10 Aibreán 2017).</w:t>
      </w:r>
    </w:p>
    <w:p w14:paraId="6548B8A2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I bpointe 1, cuirtear an abairt se</w:t>
      </w:r>
      <w:r>
        <w:rPr>
          <w:sz w:val="18"/>
        </w:rPr>
        <w:t>o a leanas in ionad an ceathrú habairt den séú mír:</w:t>
      </w:r>
    </w:p>
    <w:p w14:paraId="31E018C3" w14:textId="1CCA6340" w:rsidR="00D21EA2" w:rsidRPr="003A3CEF" w:rsidRDefault="0042538E">
      <w:pPr>
        <w:pStyle w:val="BodyText"/>
        <w:spacing w:before="74" w:line="249" w:lineRule="auto"/>
        <w:ind w:right="106"/>
        <w:jc w:val="both"/>
      </w:pPr>
      <w:r>
        <w:t>Amhail ón dáta sin, áiritheoidh oibreoirí soláthair uisce, i gcomhréir le § 13(2) Reacht Uisce Óil, nach n-úsáidfear ach ábhair mhiotail atá liostaithe ar an liosta dearfach d’ábhair mhiotalacha atá oiriú</w:t>
      </w:r>
      <w:r>
        <w:t>nach do shláinteachas uisce óil chun uisce óil a thógáil nó a chothabháil, agus na teorainneacha (grúpaí táirgí nó úsáid le huisce óil áirithe) atá sa bhonn measúnaithe sin á gcur san áireamh.</w:t>
      </w:r>
    </w:p>
    <w:p w14:paraId="7D22B89E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I bpointe 1, cuirtear an mhír seo a leanas in ionad an ochtú mí</w:t>
      </w:r>
      <w:r>
        <w:rPr>
          <w:sz w:val="18"/>
        </w:rPr>
        <w:t>r:</w:t>
      </w:r>
    </w:p>
    <w:p w14:paraId="3811860D" w14:textId="77777777" w:rsidR="00D21EA2" w:rsidRPr="003A3CEF" w:rsidRDefault="0042538E">
      <w:pPr>
        <w:pStyle w:val="BodyText"/>
        <w:spacing w:line="249" w:lineRule="auto"/>
        <w:ind w:right="106"/>
        <w:jc w:val="both"/>
      </w:pPr>
      <w:r>
        <w:t>Faoin Treoir athbhreithnithe maidir le hUisce Óil (Treoir (AE) 2020/2184), forchuirfear amach anseo ceanglais atá aonfhoirmeach ar fud na hEorpa maidir le hábhair a bhíonn i dteagmháil le huisce óil. Tiocfaidh na rialacha sin in ionad an bhoinn measúnai</w:t>
      </w:r>
      <w:r>
        <w:t>the seo.</w:t>
      </w:r>
    </w:p>
    <w:p w14:paraId="135075EB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I bpointe 3.2.1, cuirtear an abairt seo a leanas in ionad na habairte leathdheireanaí:</w:t>
      </w:r>
    </w:p>
    <w:p w14:paraId="10C88001" w14:textId="77777777" w:rsidR="00D21EA2" w:rsidRPr="003A3CEF" w:rsidRDefault="0042538E">
      <w:pPr>
        <w:pStyle w:val="BodyText"/>
        <w:spacing w:line="252" w:lineRule="auto"/>
        <w:ind w:right="106"/>
        <w:jc w:val="both"/>
      </w:pPr>
      <w:r>
        <w:t>Liostaítear bratuithe a ndearnadh meastóireacht iomchuí orthu sa liosta dearfach d’ábhair mhiotalacha atá oiriúnach do shláinteachas uisce óil (féach Iarscríbhinn 3 Clúdaigh).</w:t>
      </w:r>
    </w:p>
    <w:p w14:paraId="76E372B6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I bpointe 5.1, cuirtear an abairt seo a leanas in ionad na chéad abairte den chéad mhír:</w:t>
      </w:r>
    </w:p>
    <w:p w14:paraId="0EB4B3D8" w14:textId="77777777" w:rsidR="00D21EA2" w:rsidRPr="003A3CEF" w:rsidRDefault="0042538E">
      <w:pPr>
        <w:pStyle w:val="BodyText"/>
        <w:spacing w:line="252" w:lineRule="auto"/>
        <w:ind w:right="106"/>
        <w:jc w:val="both"/>
      </w:pPr>
      <w:r>
        <w:t>Déanann UBA meastóireacht ar ábhair mhiotail arna iarraidh sin (§ 15(5) Reacht Uisce Óil) monaróra nó comhlachais (‘iarratasóir’).</w:t>
      </w:r>
    </w:p>
    <w:p w14:paraId="45642588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Cuirtear ‘suiteáil uisce óil’ in ion</w:t>
      </w:r>
      <w:r>
        <w:rPr>
          <w:sz w:val="18"/>
        </w:rPr>
        <w:t>ad an téarma ‘suiteáil-uisce óil’ ar fud an doiciméid.</w:t>
      </w:r>
    </w:p>
    <w:p w14:paraId="016FC2DD" w14:textId="52B8DD9F" w:rsidR="00D21EA2" w:rsidRPr="003A3CEF" w:rsidRDefault="0042538E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lastRenderedPageBreak/>
        <w:t>Cuirtear ‘oibreoir’ in ionad an téarma ‘fiontraí agus sealbhóir eile’ ar fud an doiciméid.</w:t>
      </w:r>
    </w:p>
    <w:p w14:paraId="37933A14" w14:textId="1B4E4E2B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>San Iarscríbhinn ‘Liosta dearfach d’ábhair mhiotalacha atá oiriúnach lena n-úsáid i gcórais uisce óil’, déanta</w:t>
      </w:r>
      <w:r>
        <w:rPr>
          <w:sz w:val="18"/>
        </w:rPr>
        <w:t>r na hathruithe seo a leanas sna hiontrálacha liosta atá ann cheana:</w:t>
      </w:r>
    </w:p>
    <w:p w14:paraId="2627E809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2.1.3.4 CW506L-DW (CuZn33): An méid a cuireadh isteach ‘-DW’ a scriosadh</w:t>
      </w:r>
    </w:p>
    <w:p w14:paraId="63FD6D3F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>2.1.3.5 CW507L-DW (CuZn36): eilimint tionlacain dhosheachanta Pb: Aguisín a ghabhann leis an tsaintréith *-</w:t>
      </w:r>
    </w:p>
    <w:p w14:paraId="0C54EAC6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2.1.3.</w:t>
      </w:r>
      <w:r>
        <w:rPr>
          <w:sz w:val="18"/>
        </w:rPr>
        <w:t>7 CW509L-DW (CuZn40): An cion cóimhiotail is fearr Cu: Athrú ar an íosteorainn ó 59.5 % (m/m) go 59.0 % (m/m)</w:t>
      </w:r>
    </w:p>
    <w:p w14:paraId="30BF5C16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Aguisín a ghabhann leis an ainmniú caighdeánach ‘CC773S’</w:t>
      </w:r>
    </w:p>
    <w:p w14:paraId="383C8DA3" w14:textId="3A3B23C3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CW511L (CuZn38As): </w:t>
      </w:r>
      <w:r>
        <w:rPr>
          <w:sz w:val="18"/>
        </w:rPr>
        <w:t>Aguisín a ghabhann leis an nóta míniúcháin a ghabhann leis an *-an tsaintréith: ‘* teorainneacha breise ar chomhdhéanamh (féach thíos) i gcomparáid le comhdhéanamh caighdeánaithe Eorpach CW511L’, aguisín a ghabhann leis *an tsaintréith maidir le hainmniú C</w:t>
      </w:r>
      <w:r>
        <w:rPr>
          <w:sz w:val="18"/>
        </w:rPr>
        <w:t>W511L agus aguisín an téacs bhreise ‘-DW’ a ghabhann leis an ainmniú caighdeánach</w:t>
      </w:r>
    </w:p>
    <w:p w14:paraId="0612714C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Aguisín ‘-C’ san ainm ceimiceach ‘CuZn36AlAsSb-C’</w:t>
      </w:r>
    </w:p>
    <w:p w14:paraId="0C91243D" w14:textId="09D7D5E5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 (uimhriú nua!) CW617N (CuZn40Pb2)/CW612N (CuZn39Pb2) agus 2.9.3.2 CW614N (CuZn39Pb3)/CW603N (CuZn36P</w:t>
      </w:r>
      <w:r>
        <w:rPr>
          <w:sz w:val="18"/>
        </w:rPr>
        <w:t>b3): Aguisín a ghabhann leis an méid breise ‘-DW’ leis na hainmneacha caighdeánacha agus na heilimintí dosheachanta Si a ghabhann leo: Aguisín a ghabhann leis an tsaintréith-*</w:t>
      </w:r>
    </w:p>
    <w:p w14:paraId="3727F168" w14:textId="383574CE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 xml:space="preserve">2.11.3.2 (uimhriú nua!) CW626N agus 2.11.3.3 CW625N: Aguisín a ghabhann leis an </w:t>
      </w:r>
      <w:r>
        <w:rPr>
          <w:sz w:val="18"/>
        </w:rPr>
        <w:t>méid breise ‘-DW’ a ghabhann leis na hainmníochtaí caighdeánacha</w:t>
      </w:r>
    </w:p>
    <w:p w14:paraId="1264F3EF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2.12.3.1 (uimhriú nua!) CC772S: Aguisín ‘-C’ san ainm ceimiceach: ‘CuZn36Pb1.5AsSbAl-C’.</w:t>
      </w:r>
    </w:p>
    <w:p w14:paraId="73594D65" w14:textId="67193422" w:rsidR="00D21EA2" w:rsidRPr="003A3CEF" w:rsidRDefault="0042538E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>2.13.3.1 (uimhriú nua!) CW725R (CuZn33Pb1AlSiAs): Comhpháirt chóimhiotalaithe Mar: An *-carachtar agus</w:t>
      </w:r>
      <w:r>
        <w:rPr>
          <w:sz w:val="18"/>
        </w:rPr>
        <w:t xml:space="preserve"> an t-aguisín a ghabhann leis an méid breise ‘-DW’ a ghabhann leis an ainmniú caighdeánach</w:t>
      </w:r>
    </w:p>
    <w:p w14:paraId="10E8EEB5" w14:textId="64942B27" w:rsidR="00D21EA2" w:rsidRPr="00693F62" w:rsidRDefault="0042538E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>2.14.3.1 (uimhriú nua!) CC499K* (CuSn5Zn5Pb2-C): Comhábhair chóimhiotail Pb agus Ni: Saintréith a scriosadh</w:t>
      </w:r>
    </w:p>
    <w:p w14:paraId="531A470E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(uimhriú nua!) CW724R: Aguisín a ghabhann leis a</w:t>
      </w:r>
      <w:r>
        <w:rPr>
          <w:sz w:val="18"/>
        </w:rPr>
        <w:t>n méid breise ‘-DW’ a ghabhann leis an ainmniú caighdeánach</w:t>
      </w:r>
    </w:p>
    <w:p w14:paraId="3224D1DB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(uimhriú nua!) CC768S: Aguisín ‘-C’ san ainm ceimiceach ‘CuZn21Si3P-C’.</w:t>
      </w:r>
    </w:p>
    <w:p w14:paraId="3EE2ABDF" w14:textId="3FAF457D" w:rsidR="00D21EA2" w:rsidRPr="003A3CEF" w:rsidRDefault="0042538E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2.19.3.1 (uimhriú nua!): CW453K (CuSn8): Aguisín a ghabhann leis an nóta míniúcháin a ghabhann leis an *-an tsaintr</w:t>
      </w:r>
      <w:r>
        <w:rPr>
          <w:sz w:val="18"/>
        </w:rPr>
        <w:t>éith: '* teorainneacha breise ar chomhdhéanamh (féach thíos) i gcomparáid le comhdhéanamh caighdeánaithe Eorpach CW453K.', aguisín a ghabhann leis an *-carachtar leis an ainmniú CW453K agus comhábhar cóimhiotail P: Aguisín a ghabhann leis an tsaintréith-*</w:t>
      </w:r>
    </w:p>
    <w:p w14:paraId="18E86F2B" w14:textId="77777777" w:rsidR="00D21EA2" w:rsidRPr="003A3CEF" w:rsidRDefault="0042538E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2.20.3.1 (uimhriú nua!) CuSn10-C: Comhábhar cóimhiotail Pb agus P: Aguisín a ghabhann leis an tsaintréith-*</w:t>
      </w:r>
    </w:p>
    <w:p w14:paraId="27FD8057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San Iarscríbhinn Liosta dearfach d’ábhair mhiotail atá oiriúnach do shláinteachas uisce óil, cuirtear an chatagóir 2.8 “cóimhiotail chopair-sinc-stán-fosfair” lena n-áirítear an t-ábhar “CW727R-DW (CuZn35Sn1P)” isteach i bpointe 2:</w:t>
      </w:r>
    </w:p>
    <w:p w14:paraId="43315A87" w14:textId="77777777" w:rsidR="00D21EA2" w:rsidRPr="003A3CEF" w:rsidRDefault="0042538E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Cóimhiotail copair-sinc-</w:t>
      </w:r>
      <w:r>
        <w:rPr>
          <w:sz w:val="18"/>
        </w:rPr>
        <w:t>stán-fosfara</w:t>
      </w:r>
    </w:p>
    <w:p w14:paraId="5E4220D1" w14:textId="77777777" w:rsidR="001D7495" w:rsidRPr="001D7495" w:rsidRDefault="0042538E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Comhábhair chóimhiotalacha</w:t>
      </w:r>
    </w:p>
    <w:p w14:paraId="576ACD79" w14:textId="04983551" w:rsidR="00D21EA2" w:rsidRPr="003A3CEF" w:rsidRDefault="0042538E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Comhábhair chóimhiotail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42538E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42538E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1D253FDC" w14:textId="77777777" w:rsidR="00D21EA2" w:rsidRPr="003A3CEF" w:rsidRDefault="0042538E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42538E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42538E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63.0 %</w:t>
            </w:r>
          </w:p>
        </w:tc>
        <w:tc>
          <w:tcPr>
            <w:tcW w:w="1621" w:type="dxa"/>
          </w:tcPr>
          <w:p w14:paraId="27E6A99D" w14:textId="77777777" w:rsidR="00D21EA2" w:rsidRPr="003A3CEF" w:rsidRDefault="0042538E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Fuílleach</w:t>
            </w:r>
          </w:p>
        </w:tc>
        <w:tc>
          <w:tcPr>
            <w:tcW w:w="1621" w:type="dxa"/>
          </w:tcPr>
          <w:p w14:paraId="5705B504" w14:textId="77777777" w:rsidR="00D21EA2" w:rsidRPr="003A3CEF" w:rsidRDefault="0042538E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0.5 % — 1.0 %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42538E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0.05 % — 0.2 %</w:t>
            </w:r>
          </w:p>
        </w:tc>
      </w:tr>
    </w:tbl>
    <w:p w14:paraId="3D6E9B5A" w14:textId="77777777" w:rsidR="00D21EA2" w:rsidRPr="003A3CEF" w:rsidRDefault="0042538E">
      <w:pPr>
        <w:pStyle w:val="BodyText"/>
        <w:spacing w:before="115"/>
      </w:pPr>
      <w:r>
        <w:t>Eilimintí dosheachanta a ghabhann leis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42538E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42538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42538E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42538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5E3C4DC7" w14:textId="77777777" w:rsidR="00D21EA2" w:rsidRPr="003A3CEF" w:rsidRDefault="0042538E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4A80A4AF" w14:textId="77777777" w:rsidR="00D21EA2" w:rsidRPr="003A3CEF" w:rsidRDefault="0042538E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37" w:type="dxa"/>
          </w:tcPr>
          <w:p w14:paraId="443A9BCD" w14:textId="77777777" w:rsidR="00D21EA2" w:rsidRPr="003A3CEF" w:rsidRDefault="0042538E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42538E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46CEFC27" w14:textId="77777777" w:rsidR="001D7495" w:rsidRPr="001D7495" w:rsidRDefault="0042538E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Ábhar tagartha</w:t>
      </w:r>
    </w:p>
    <w:p w14:paraId="7346C13D" w14:textId="7456F3AC" w:rsidR="00D21EA2" w:rsidRPr="003A3CEF" w:rsidRDefault="0042538E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Comhábhair chóimhiotail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42538E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42538E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585E737E" w14:textId="77777777" w:rsidR="00D21EA2" w:rsidRPr="003A3CEF" w:rsidRDefault="0042538E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42538E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42538E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63.5 % — 65.0 %</w:t>
            </w:r>
          </w:p>
        </w:tc>
        <w:tc>
          <w:tcPr>
            <w:tcW w:w="1621" w:type="dxa"/>
          </w:tcPr>
          <w:p w14:paraId="43DCD9FE" w14:textId="77777777" w:rsidR="00D21EA2" w:rsidRPr="003A3CEF" w:rsidRDefault="0042538E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Fuílleach</w:t>
            </w:r>
          </w:p>
        </w:tc>
        <w:tc>
          <w:tcPr>
            <w:tcW w:w="1621" w:type="dxa"/>
          </w:tcPr>
          <w:p w14:paraId="0AA3CEDA" w14:textId="77777777" w:rsidR="00D21EA2" w:rsidRPr="003A3CEF" w:rsidRDefault="0042538E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0.5 % — 1.0 %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42538E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0.05 % — 0.10 %</w:t>
            </w:r>
          </w:p>
        </w:tc>
      </w:tr>
    </w:tbl>
    <w:p w14:paraId="0E2F69C0" w14:textId="77777777" w:rsidR="00D21EA2" w:rsidRPr="003A3CEF" w:rsidRDefault="0042538E">
      <w:pPr>
        <w:pStyle w:val="BodyText"/>
        <w:spacing w:before="115"/>
      </w:pPr>
      <w:r>
        <w:t>Eilimintí dosheachanta a ghabhann leis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42538E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42538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42538E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42538E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0.05 %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42538E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42538E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0.06 % — 0.10 %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42538E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0.06 % — 0.10 %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42538E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00997B73" w14:textId="77777777" w:rsidR="00D21EA2" w:rsidRPr="003A3CEF" w:rsidRDefault="0042538E">
      <w:pPr>
        <w:pStyle w:val="BodyText"/>
        <w:spacing w:before="127" w:line="249" w:lineRule="auto"/>
      </w:pPr>
      <w:r>
        <w:t>Eilimintí atá le cinneadh i dtástáil chomparáideach de réir DIN EN 15,664-1 in uisce teagmhála: Luaidhe, copar, nicil, sinc</w:t>
      </w:r>
    </w:p>
    <w:p w14:paraId="2256FA56" w14:textId="77777777" w:rsidR="001D7495" w:rsidRDefault="0042538E">
      <w:pPr>
        <w:pStyle w:val="BodyText"/>
        <w:spacing w:before="74" w:line="336" w:lineRule="auto"/>
        <w:ind w:right="6536"/>
      </w:pPr>
      <w:r>
        <w:t xml:space="preserve">An t-uisce tástála is tábhachtaí: </w:t>
      </w:r>
    </w:p>
    <w:p w14:paraId="1B21A659" w14:textId="5A9507BE" w:rsidR="00D21EA2" w:rsidRPr="003A3CEF" w:rsidRDefault="0042538E" w:rsidP="001D7495">
      <w:pPr>
        <w:pStyle w:val="BodyText"/>
        <w:spacing w:before="0" w:line="336" w:lineRule="auto"/>
        <w:ind w:left="437" w:right="6538"/>
      </w:pPr>
      <w:r>
        <w:t>Uisce tástála 1 i gcomhréir le DIN EN 15664-2</w:t>
      </w:r>
    </w:p>
    <w:p w14:paraId="5243829A" w14:textId="77777777" w:rsidR="00D21EA2" w:rsidRPr="003A3CEF" w:rsidRDefault="0042538E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lastRenderedPageBreak/>
        <w:t>Ábhair atá oiriúnach lena n-úsáid i gcórais uisce ó</w:t>
      </w:r>
      <w:r>
        <w:rPr>
          <w:sz w:val="18"/>
        </w:rPr>
        <w:t>il</w:t>
      </w:r>
    </w:p>
    <w:p w14:paraId="02F62D09" w14:textId="77777777" w:rsidR="00D21EA2" w:rsidRPr="003A3CEF" w:rsidRDefault="0042538E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42538E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Ainmniú: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42538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Táirge</w:t>
            </w:r>
            <w:r>
              <w:rPr>
                <w:sz w:val="16"/>
              </w:rPr>
              <w:br/>
              <w:t>grúpa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42538E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42538E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 — D</w:t>
            </w:r>
          </w:p>
        </w:tc>
      </w:tr>
    </w:tbl>
    <w:p w14:paraId="245B33B4" w14:textId="77777777" w:rsidR="00D21EA2" w:rsidRPr="003A3CEF" w:rsidRDefault="0042538E">
      <w:pPr>
        <w:pStyle w:val="BodyText"/>
        <w:spacing w:before="117"/>
      </w:pPr>
      <w:r>
        <w:t>Comhábhair chóimhiotail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42538E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49" w:type="dxa"/>
          </w:tcPr>
          <w:p w14:paraId="2B49C0D1" w14:textId="77777777" w:rsidR="00D21EA2" w:rsidRPr="003A3CEF" w:rsidRDefault="0042538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42538E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42538E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63.5 % — 65.0 %</w:t>
            </w:r>
          </w:p>
        </w:tc>
        <w:tc>
          <w:tcPr>
            <w:tcW w:w="1649" w:type="dxa"/>
          </w:tcPr>
          <w:p w14:paraId="7BFD1BB2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Fuílleach</w:t>
            </w:r>
          </w:p>
        </w:tc>
        <w:tc>
          <w:tcPr>
            <w:tcW w:w="1649" w:type="dxa"/>
          </w:tcPr>
          <w:p w14:paraId="381C854F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0.5 % – 1.0 %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0.05 % – 0.15 %</w:t>
            </w:r>
          </w:p>
        </w:tc>
      </w:tr>
    </w:tbl>
    <w:p w14:paraId="3D50FA60" w14:textId="77777777" w:rsidR="00D21EA2" w:rsidRPr="003A3CEF" w:rsidRDefault="0042538E">
      <w:pPr>
        <w:pStyle w:val="BodyText"/>
        <w:spacing w:before="117"/>
      </w:pPr>
      <w:r>
        <w:t>Eilimintí dosheachanta a ghabhann leis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42538E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42538E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42538E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42538E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42538E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0.05 %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42538E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42538E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0.10 %</w:t>
            </w:r>
          </w:p>
        </w:tc>
      </w:tr>
    </w:tbl>
    <w:p w14:paraId="15D99F97" w14:textId="18F52D0D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San Iarscríbhinn Liosta dearfach d’ábhair mhiotail atá oiriúnach do shláinteachas uisce óil, is é an toradh a bhíonn ar chur isteach chatagóir nua 2.8 díláithriú na n-uimhrithe breise i bpointe 2.</w:t>
      </w:r>
    </w:p>
    <w:p w14:paraId="2CF4D805" w14:textId="08C1DD69" w:rsidR="00D21EA2" w:rsidRPr="00693F62" w:rsidRDefault="0042538E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>San Iarscríbhinn 'Liosta dearfach d’ábhair mhiotail atá oir</w:t>
      </w:r>
      <w:r>
        <w:rPr>
          <w:sz w:val="18"/>
        </w:rPr>
        <w:t>iúnach do shláinteachas uisce óil' cuirtear isteach i bpointe 3 ‘Bratuithe Galbhánacha Cu/Sn ar an dromchla seachtrach’ mar a leanas:</w:t>
      </w:r>
    </w:p>
    <w:p w14:paraId="48100BBC" w14:textId="77777777" w:rsidR="00D21EA2" w:rsidRPr="003A3CEF" w:rsidRDefault="0042538E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Bratuithe galbhánacha Cu/Sn ar an dromchla seachtrach</w:t>
      </w:r>
    </w:p>
    <w:p w14:paraId="2A9F15EC" w14:textId="77777777" w:rsidR="00D21EA2" w:rsidRPr="003A3CEF" w:rsidRDefault="0042538E">
      <w:pPr>
        <w:pStyle w:val="BodyText"/>
        <w:spacing w:before="78" w:line="249" w:lineRule="auto"/>
        <w:ind w:right="106"/>
        <w:jc w:val="both"/>
      </w:pPr>
      <w:r>
        <w:t>Is féidir comhpháirteanna atá déanta as gach ábhar miotail de réir p</w:t>
      </w:r>
      <w:r>
        <w:t>hointe 2 Ábhair le haghaidh gléasta, nascóirí píopaí, gairis agus caidéil (B) agus le haghaidh páirteanna tógála i ngléasta, nascóirí píopaí, gairis agus caidéil (C) sa liosta dearfach seo a leictreaphlátáil le bratú Cu/Sn.</w:t>
      </w:r>
    </w:p>
    <w:p w14:paraId="3418C46B" w14:textId="77777777" w:rsidR="00D21EA2" w:rsidRPr="003A3CEF" w:rsidRDefault="0042538E">
      <w:pPr>
        <w:pStyle w:val="BodyText"/>
        <w:spacing w:before="71"/>
      </w:pPr>
      <w:r>
        <w:t>Teorainneacha:</w:t>
      </w:r>
    </w:p>
    <w:p w14:paraId="353413DD" w14:textId="77777777" w:rsidR="00D21EA2" w:rsidRPr="003A3CEF" w:rsidRDefault="0042538E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 xml:space="preserve">Comhábhair an bhrataithe Cu/Sn: Cu 62 (± 1) % agus Sn 38 (± 1) % (mólchóimheas 1:1) </w:t>
      </w:r>
    </w:p>
    <w:p w14:paraId="29EADAB5" w14:textId="77777777" w:rsidR="00D21EA2" w:rsidRPr="003A3CEF" w:rsidRDefault="0042538E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Íonacht na n-anóidí a úsáidtear: ≥ 99.90 %</w:t>
      </w:r>
    </w:p>
    <w:p w14:paraId="06C76EB2" w14:textId="77777777" w:rsidR="001D7495" w:rsidRPr="001D7495" w:rsidRDefault="0042538E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Modh táirgthe bratuithe; leictreaphlátáil</w:t>
      </w:r>
    </w:p>
    <w:p w14:paraId="31D507EE" w14:textId="400479F4" w:rsidR="00D21EA2" w:rsidRPr="003A3CEF" w:rsidRDefault="0042538E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Ceanglas breise:</w:t>
      </w:r>
    </w:p>
    <w:p w14:paraId="549DF573" w14:textId="77777777" w:rsidR="00D21EA2" w:rsidRPr="003A3CEF" w:rsidRDefault="0042538E">
      <w:pPr>
        <w:pStyle w:val="BodyText"/>
        <w:spacing w:before="3" w:line="249" w:lineRule="auto"/>
        <w:ind w:right="106"/>
        <w:jc w:val="both"/>
      </w:pPr>
      <w:r>
        <w:t>Ní mór a léiriú don phróiseas táirgthe atá i gceist nach bhfuil na tá</w:t>
      </w:r>
      <w:r>
        <w:t>irgí críochnaithe éillithe le substaintí orgánacha agus neamhorgánacha a chuirtear leis an dabhach leictreaphlátála. Is féidir é sin a léiriú le tástáil ascnaimh de réir DIN EN 12,873-1.</w:t>
      </w:r>
    </w:p>
    <w:p w14:paraId="4ADE1B43" w14:textId="4DA0ECB6" w:rsidR="00D21EA2" w:rsidRPr="003A3CEF" w:rsidRDefault="0042538E">
      <w:pPr>
        <w:pStyle w:val="BodyText"/>
        <w:spacing w:before="70" w:line="249" w:lineRule="auto"/>
        <w:ind w:right="106"/>
        <w:jc w:val="both"/>
      </w:pPr>
      <w:r>
        <w:t>Is féidir an cruthúnas a sholáthar faoi chuimsiú nós imeachta ceada n</w:t>
      </w:r>
      <w:r>
        <w:t>ó deimhniúcháin. I nós imeachta den chineál seo, ní gá tástáil a dhéanamh ar an urscaoileadh miotail. Ina theannta sin, tá gá le córas rialaithe cáilíochta don phróiseas táirgthe.</w:t>
      </w:r>
    </w:p>
    <w:p w14:paraId="45C8B50D" w14:textId="77777777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San Iarscríbhinn 'Liosta dearfach d’ábhair mhiotail atá oiriúnach do shláint</w:t>
      </w:r>
      <w:r>
        <w:rPr>
          <w:sz w:val="18"/>
        </w:rPr>
        <w:t>eachas uisce óil', déantar na hábhair ‘NiCr80’ agus ‘TaCr’ a fhorlíonadh i bpointe 4 mar a leanas:</w:t>
      </w:r>
    </w:p>
    <w:p w14:paraId="3FD69A26" w14:textId="1D18AA04" w:rsidR="00D21EA2" w:rsidRPr="003A3CEF" w:rsidRDefault="0042538E">
      <w:pPr>
        <w:pStyle w:val="BodyText"/>
        <w:spacing w:before="70"/>
        <w:jc w:val="both"/>
      </w:pPr>
      <w:r>
        <w:t>4.3.2 NiCr8020;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42538E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Ainmniú: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42538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Táirge</w:t>
            </w:r>
            <w:r>
              <w:rPr>
                <w:sz w:val="16"/>
              </w:rPr>
              <w:br/>
              <w:t>grúpa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42538E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NiCr8020;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 — D</w:t>
            </w:r>
          </w:p>
        </w:tc>
      </w:tr>
    </w:tbl>
    <w:p w14:paraId="3F721A06" w14:textId="77777777" w:rsidR="00D21EA2" w:rsidRPr="003A3CEF" w:rsidRDefault="0042538E">
      <w:pPr>
        <w:pStyle w:val="BodyText"/>
        <w:spacing w:before="117"/>
        <w:jc w:val="both"/>
      </w:pPr>
      <w:r>
        <w:t>Comhábhair chóimhiotail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42538E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42538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42538E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42538E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75.0 %</w:t>
            </w:r>
          </w:p>
        </w:tc>
        <w:tc>
          <w:tcPr>
            <w:tcW w:w="1594" w:type="dxa"/>
          </w:tcPr>
          <w:p w14:paraId="351E876F" w14:textId="77777777" w:rsidR="00D21EA2" w:rsidRPr="003A3CEF" w:rsidRDefault="0042538E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19.0 % — 21.0 %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42538E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0.50 % — 2.0 %</w:t>
            </w:r>
          </w:p>
        </w:tc>
      </w:tr>
    </w:tbl>
    <w:p w14:paraId="026A0640" w14:textId="77777777" w:rsidR="00D21EA2" w:rsidRPr="003A3CEF" w:rsidRDefault="0042538E">
      <w:pPr>
        <w:pStyle w:val="BodyText"/>
        <w:spacing w:before="118"/>
        <w:jc w:val="both"/>
      </w:pPr>
      <w:r>
        <w:t>Eilimintí dosheachanta a ghabhann leis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42538E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42538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42538E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42538E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42538E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42538E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1035" w:type="dxa"/>
          </w:tcPr>
          <w:p w14:paraId="2D67EEF1" w14:textId="77777777" w:rsidR="00D21EA2" w:rsidRPr="003A3CEF" w:rsidRDefault="0042538E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42538E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42538E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42538E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0.30 %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42538E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42538E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1.5 %</w:t>
            </w:r>
          </w:p>
        </w:tc>
        <w:tc>
          <w:tcPr>
            <w:tcW w:w="1035" w:type="dxa"/>
          </w:tcPr>
          <w:p w14:paraId="05811A4B" w14:textId="77777777" w:rsidR="00D21EA2" w:rsidRPr="003A3CEF" w:rsidRDefault="0042538E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42538E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1.0 %</w:t>
            </w:r>
          </w:p>
        </w:tc>
        <w:tc>
          <w:tcPr>
            <w:tcW w:w="1035" w:type="dxa"/>
          </w:tcPr>
          <w:p w14:paraId="0B7CC8B0" w14:textId="77777777" w:rsidR="00D21EA2" w:rsidRPr="003A3CEF" w:rsidRDefault="0042538E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1.00 %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42538E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0.020 %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42538E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0.015 %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42538E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0.1 %</w:t>
            </w:r>
          </w:p>
        </w:tc>
      </w:tr>
    </w:tbl>
    <w:p w14:paraId="5B259DFB" w14:textId="70FF6A52" w:rsidR="00D21EA2" w:rsidRPr="003A3CEF" w:rsidRDefault="0042538E">
      <w:pPr>
        <w:pStyle w:val="BodyText"/>
        <w:spacing w:before="118"/>
        <w:jc w:val="both"/>
      </w:pPr>
      <w:r>
        <w:t>4.3.9 TaCr</w:t>
      </w:r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42538E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Ainmniú: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42538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Táirge</w:t>
            </w:r>
            <w:r>
              <w:rPr>
                <w:sz w:val="16"/>
              </w:rPr>
              <w:br/>
              <w:t>grúpa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42538E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TACR</w:t>
            </w:r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42538E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agus D</w:t>
            </w:r>
          </w:p>
        </w:tc>
      </w:tr>
    </w:tbl>
    <w:p w14:paraId="4A6B373D" w14:textId="77777777" w:rsidR="00D21EA2" w:rsidRPr="003A3CEF" w:rsidRDefault="0042538E">
      <w:pPr>
        <w:pStyle w:val="BodyText"/>
        <w:spacing w:before="118"/>
        <w:jc w:val="both"/>
      </w:pPr>
      <w:r>
        <w:t>Comhábhair chóimhiotail (% (m/m)):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42538E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CT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42538E">
            <w:pPr>
              <w:pStyle w:val="TableParagraph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42538E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74.7 % — 80.7 %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42538E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19.3 % — 25.3 %</w:t>
            </w:r>
          </w:p>
        </w:tc>
      </w:tr>
    </w:tbl>
    <w:p w14:paraId="5EE4EB9C" w14:textId="13FC0156" w:rsidR="00D21EA2" w:rsidRPr="003A3CEF" w:rsidRDefault="0042538E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lastRenderedPageBreak/>
        <w:t>San Iarscríbhinn ‘Liosta dearfach d’ábhair mhiotail atá oiriúnach do shláinteachas uisce óil’, is é an toradh a bhíonn ar na hábhair nua a chur isteach faoi 4.3.2 agus 4.3.9 ná díláithriú na n-uimhreacha breise i bpointe 4.</w:t>
      </w:r>
    </w:p>
    <w:p w14:paraId="33544368" w14:textId="77777777" w:rsidR="00D21EA2" w:rsidRPr="003A3CEF" w:rsidRDefault="0042538E" w:rsidP="007B018D">
      <w:pPr>
        <w:pStyle w:val="BodyText"/>
        <w:keepNext/>
        <w:keepLines/>
        <w:spacing w:before="101"/>
        <w:ind w:left="1690" w:right="1684"/>
        <w:jc w:val="center"/>
      </w:pPr>
      <w:r>
        <w:t>II.</w:t>
      </w:r>
    </w:p>
    <w:p w14:paraId="42AAAE92" w14:textId="77777777" w:rsidR="00D21EA2" w:rsidRPr="003A3CEF" w:rsidRDefault="0042538E" w:rsidP="007B018D">
      <w:pPr>
        <w:pStyle w:val="BodyText"/>
        <w:keepNext/>
        <w:keepLines/>
        <w:spacing w:before="73"/>
        <w:ind w:left="1690" w:right="1684"/>
        <w:jc w:val="center"/>
      </w:pPr>
      <w:r>
        <w:t>Teacht i bhfeidhm</w:t>
      </w:r>
    </w:p>
    <w:p w14:paraId="28F7DCF3" w14:textId="77777777" w:rsidR="00D21EA2" w:rsidRPr="003A3CEF" w:rsidRDefault="0042538E">
      <w:pPr>
        <w:pStyle w:val="BodyText"/>
        <w:spacing w:before="73"/>
        <w:ind w:left="113"/>
      </w:pPr>
      <w:r>
        <w:t>Tiocfaidh na leasuithe seo i bhfeidhm an lá tar éis lá a bhfoilsithe in Iris na Cónaidhme.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42538E">
      <w:pPr>
        <w:pStyle w:val="BodyText"/>
        <w:spacing w:before="1"/>
        <w:ind w:left="113"/>
      </w:pPr>
      <w:r>
        <w:t>Dessau-Roßlau, 10 Meitheamh 2024</w:t>
      </w:r>
    </w:p>
    <w:p w14:paraId="698C0C34" w14:textId="77777777" w:rsidR="00634AF4" w:rsidRDefault="0042538E">
      <w:pPr>
        <w:pStyle w:val="BodyText"/>
        <w:spacing w:before="2" w:line="320" w:lineRule="atLeast"/>
        <w:ind w:left="4078" w:right="4071"/>
        <w:jc w:val="center"/>
      </w:pPr>
      <w:r>
        <w:t>Gníomhaireacht Chomhshaoil Chónaidhmeach</w:t>
      </w:r>
    </w:p>
    <w:p w14:paraId="7F5C620E" w14:textId="09C1C415" w:rsidR="00D21EA2" w:rsidRPr="003A3CEF" w:rsidRDefault="0042538E">
      <w:pPr>
        <w:pStyle w:val="BodyText"/>
        <w:spacing w:before="2" w:line="320" w:lineRule="atLeast"/>
        <w:ind w:left="4078" w:right="4071"/>
        <w:jc w:val="center"/>
      </w:pPr>
      <w:r>
        <w:t>An tUachtarán</w:t>
      </w:r>
    </w:p>
    <w:p w14:paraId="162AB53D" w14:textId="77777777" w:rsidR="00D21EA2" w:rsidRPr="003A3CEF" w:rsidRDefault="0042538E">
      <w:pPr>
        <w:pStyle w:val="BodyText"/>
        <w:spacing w:before="11"/>
        <w:ind w:left="1691" w:right="1687"/>
        <w:jc w:val="center"/>
      </w:pPr>
      <w:r>
        <w:t>An tOllamh Dr. Dirk Messner</w:t>
      </w:r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13A4" w14:textId="77777777" w:rsidR="0042538E" w:rsidRDefault="0042538E">
      <w:r>
        <w:separator/>
      </w:r>
    </w:p>
  </w:endnote>
  <w:endnote w:type="continuationSeparator" w:id="0">
    <w:p w14:paraId="3D924FE4" w14:textId="77777777" w:rsidR="0042538E" w:rsidRDefault="0042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6460" w14:textId="77777777" w:rsidR="0042538E" w:rsidRDefault="0042538E">
      <w:r>
        <w:separator/>
      </w:r>
    </w:p>
  </w:footnote>
  <w:footnote w:type="continuationSeparator" w:id="0">
    <w:p w14:paraId="7B9284C8" w14:textId="77777777" w:rsidR="0042538E" w:rsidRDefault="0042538E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Ar tugadh fógra ina leith i gcomhréir le Treoir (AE) 2015/1535 ó Pharlaimint na hEorpa agus ón gComhairle 9 Meán Fómhair 2015 lena leagtar síos nós imeachta chun faisnéis a sholáthar i réimse na rialachán teicniúil agus na rialacha maidir le seirbhísí na Sochaí Faisnéise (IO L 241, 17.9.2015, lch. 1).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</w:rPr>
        <w:t xml:space="preserve">Fógra </w:t>
      </w:r>
      <w:r>
        <w:rPr>
          <w:sz w:val="14"/>
        </w:rPr>
        <w:t>tugtha faoi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sz w:val="48"/>
            </w:rPr>
            <w:t>lris Chónaidhme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Arna fhoilsiú ag an Aireacht Chónaidhme Dlí agus Cirt</w:t>
          </w:r>
        </w:p>
        <w:p w14:paraId="4FF48002" w14:textId="17CB5157" w:rsidR="003A3CEF" w:rsidRDefault="0042538E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Fógraíocht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Foilsithe ar an Aoine, 21 Meitheamh 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Iris Chónaidhme AT 21.6.2024 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Leathanach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 xml:space="preserve"> de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42538E"/>
    <w:rsid w:val="0061047D"/>
    <w:rsid w:val="00634AF4"/>
    <w:rsid w:val="00693F62"/>
    <w:rsid w:val="007B018D"/>
    <w:rsid w:val="00BB11D9"/>
    <w:rsid w:val="00C532D2"/>
    <w:rsid w:val="00C752E8"/>
    <w:rsid w:val="00D21EA2"/>
    <w:rsid w:val="00E3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ga-IE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ga-IE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8129</Characters>
  <Application>Microsoft Office Word</Application>
  <DocSecurity>0</DocSecurity>
  <Lines>246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2024-07-24T13:18:00Z</dcterms:created>
  <dcterms:modified xsi:type="dcterms:W3CDTF">2024-07-24T13:18:00Z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