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894919" w14:textId="77777777" w:rsidR="00BB5F5A" w:rsidRDefault="001364FA">
      <w:pPr>
        <w:spacing w:after="324" w:line="259" w:lineRule="auto"/>
        <w:ind w:left="0" w:right="1" w:firstLine="0"/>
        <w:jc w:val="center"/>
      </w:pPr>
      <w:r>
        <w:rPr>
          <w:rFonts w:ascii="Calibri" w:hAnsi="Calibri"/>
          <w:color w:val="0093D1"/>
          <w:sz w:val="43"/>
        </w:rPr>
        <w:t xml:space="preserve">Διατάγματα, αποφάσεις, εγκύκλιοι </w:t>
      </w:r>
    </w:p>
    <w:p w14:paraId="4AC62185" w14:textId="77777777" w:rsidR="00BB5F5A" w:rsidRDefault="001364FA">
      <w:pPr>
        <w:spacing w:after="420" w:line="259" w:lineRule="auto"/>
        <w:ind w:left="0" w:right="1" w:firstLine="0"/>
        <w:jc w:val="center"/>
      </w:pPr>
      <w:r>
        <w:rPr>
          <w:rFonts w:ascii="Calibri" w:hAnsi="Calibri"/>
          <w:color w:val="393C96"/>
          <w:sz w:val="28"/>
        </w:rPr>
        <w:t xml:space="preserve">ΓΕΝΙΚΑ ΚΕΙΜΕΝΑ </w:t>
      </w:r>
    </w:p>
    <w:p w14:paraId="2E00BDAA" w14:textId="77777777" w:rsidR="00BB5F5A" w:rsidRDefault="001364FA">
      <w:pPr>
        <w:pStyle w:val="Heading1"/>
        <w:spacing w:after="273"/>
        <w:ind w:right="0"/>
        <w:jc w:val="center"/>
      </w:pPr>
      <w:r>
        <w:rPr>
          <w:rFonts w:ascii="Calibri" w:hAnsi="Calibri"/>
          <w:b/>
          <w:color w:val="393C96"/>
          <w:sz w:val="20"/>
        </w:rPr>
        <w:t xml:space="preserve">ΥΠΟΥΡΓΕΙΟ ΟΙΚΟΝΟΜΙΑΣ, ΟΙΚΟΝΟΜΙΚΩΝ ΚΑΙ ΒΙΟΜΗΧΑΝΙΑΣ </w:t>
      </w:r>
    </w:p>
    <w:p w14:paraId="6D78EE22" w14:textId="77777777" w:rsidR="00BB5F5A" w:rsidRDefault="001364FA">
      <w:pPr>
        <w:spacing w:after="130" w:line="216" w:lineRule="auto"/>
        <w:ind w:right="1" w:hanging="215"/>
      </w:pPr>
      <w:r>
        <w:rPr>
          <w:rFonts w:ascii="Calibri" w:hAnsi="Calibri"/>
          <w:b/>
          <w:color w:val="5C5D61"/>
        </w:rPr>
        <w:t xml:space="preserve">Διάταγμα αριθ. 2024-978 της 6ης Νοεμβρίου 2024 για την τροποποίηση του νόμου αριθ. 2023-451 της 9ης Ιουνίου 2023 με σκοπό τη ρύθμιση της εμπορικής επιρροής και την καταπολέμηση των καταχρήσεων των επηρεαστών γνώμης (influencers) στα κοινωνικά δίκτυα </w:t>
      </w:r>
    </w:p>
    <w:p w14:paraId="53548437" w14:textId="77777777" w:rsidR="00BB5F5A" w:rsidRDefault="001364FA">
      <w:pPr>
        <w:spacing w:after="317" w:line="259" w:lineRule="auto"/>
        <w:ind w:left="0" w:right="1" w:firstLine="0"/>
        <w:jc w:val="center"/>
      </w:pPr>
      <w:r>
        <w:rPr>
          <w:rFonts w:ascii="Calibri" w:hAnsi="Calibri"/>
          <w:color w:val="2053A6"/>
          <w:sz w:val="16"/>
        </w:rPr>
        <w:t>ΑΡΙΘ.</w:t>
      </w:r>
      <w:r>
        <w:rPr>
          <w:rFonts w:ascii="Calibri" w:hAnsi="Calibri"/>
          <w:color w:val="2053A6"/>
          <w:sz w:val="16"/>
        </w:rPr>
        <w:t xml:space="preserve"> ΑΝΑΦΟΡΑΣ: </w:t>
      </w:r>
      <w:r>
        <w:rPr>
          <w:rFonts w:ascii="Calibri" w:hAnsi="Calibri"/>
          <w:i/>
          <w:sz w:val="16"/>
        </w:rPr>
        <w:t xml:space="preserve">ECOI2418969R </w:t>
      </w:r>
    </w:p>
    <w:p w14:paraId="6C61012D" w14:textId="77777777" w:rsidR="00BB5F5A" w:rsidRDefault="001364FA">
      <w:pPr>
        <w:ind w:firstLine="0"/>
      </w:pPr>
      <w:r>
        <w:t xml:space="preserve">Ο Πρόεδρος της Δημοκρατίας, </w:t>
      </w:r>
    </w:p>
    <w:p w14:paraId="60771B53" w14:textId="77777777" w:rsidR="00BB5F5A" w:rsidRDefault="001364FA">
      <w:pPr>
        <w:spacing w:after="88"/>
        <w:ind w:firstLine="0"/>
      </w:pPr>
      <w:r>
        <w:t xml:space="preserve">Κατόπιν έκθεσης του Πρωθυπουργού και του Υπουργού Οικονομίας, Οικονομικών και Βιομηχανίας, </w:t>
      </w:r>
    </w:p>
    <w:p w14:paraId="54602248" w14:textId="77777777" w:rsidR="00BB5F5A" w:rsidRDefault="001364FA">
      <w:pPr>
        <w:spacing w:after="30"/>
        <w:ind w:firstLine="0"/>
      </w:pPr>
      <w:r>
        <w:t xml:space="preserve">Έχοντας υπόψη το Σύνταγμα, ιδίως το άρθρο 38 αυτού· </w:t>
      </w:r>
    </w:p>
    <w:p w14:paraId="071009EA" w14:textId="77777777" w:rsidR="00BB5F5A" w:rsidRDefault="001364FA">
      <w:pPr>
        <w:spacing w:after="24"/>
        <w:ind w:left="-15"/>
      </w:pPr>
      <w:r>
        <w:t>Έχοντας υπόψη την οδηγία 2000/31/ΕΚ του Ευρωπαϊκού Κοινοβ</w:t>
      </w:r>
      <w:r>
        <w:t xml:space="preserve">ουλίου και του Συμβουλίου, της 8ης Ιουνίου 2000, για ορισμένες νομικές πτυχές των υπηρεσιών της κοινωνίας της πληροφορίας, ιδίως του ηλεκτρονικού εμπορίου, στην εσωτερική αγορά («οδηγία για το ηλεκτρονικό εμπόριο»)· </w:t>
      </w:r>
    </w:p>
    <w:p w14:paraId="0D58FCC0" w14:textId="77777777" w:rsidR="00BB5F5A" w:rsidRDefault="001364FA">
      <w:pPr>
        <w:spacing w:after="24"/>
        <w:ind w:left="-15"/>
      </w:pPr>
      <w:r>
        <w:t>Έχοντας υπόψη την οδηγία 2005/29/ΕΚ του</w:t>
      </w:r>
      <w:r>
        <w:t xml:space="preserve"> Ευρωπαϊκού Κοινοβουλίου και του Συμβουλίου, της 11ης Μαΐου 2005, για τις αθέμιτες εμπορικές πρακτικές των επιχειρήσεων προς τους καταναλωτές στην εσωτερική αγορά και για την τροποποίηση της οδηγίας 84/450/ΕΟΚ του Συμβουλίου, των οδηγιών 97/7/ΕΚ, 98/27/ΕΚ </w:t>
      </w:r>
      <w:r>
        <w:t xml:space="preserve">και 2002/65/ΕΚ του Ευρωπαϊκού Κοινοβουλίου και του Συμβουλίου και του κανονισμού (ΕΚ) αριθ. 2006/2004 του Ευρωπαϊκού Κοινοβουλίου και του Συμβουλίου («οδηγία για τις αθέμιτες εμπορικές πρακτικές»)· </w:t>
      </w:r>
    </w:p>
    <w:p w14:paraId="29E501B5" w14:textId="77777777" w:rsidR="00BB5F5A" w:rsidRDefault="001364FA">
      <w:pPr>
        <w:spacing w:after="23"/>
        <w:ind w:left="-15"/>
      </w:pPr>
      <w:r>
        <w:t>Έχοντας υπόψη την οδηγία 2010/13/ΕΕ του Ευρωπαϊκού Κοινοβ</w:t>
      </w:r>
      <w:r>
        <w:t xml:space="preserve">ουλίου και του Συμβουλίου, της 10ης Μαρτίου 2010, για τον συντονισμό ορισμένων νομοθετικών, κανονιστικών και διοικητικών διατάξεων των κρατών μελών σχετικά με την παροχή υπηρεσιών οπτικοακουστικών μέσων (οδηγία για τις υπηρεσίες οπτικοακουστικών μέσων)· </w:t>
      </w:r>
    </w:p>
    <w:p w14:paraId="517F39D2" w14:textId="77777777" w:rsidR="00BB5F5A" w:rsidRDefault="001364FA">
      <w:pPr>
        <w:ind w:left="-15"/>
      </w:pPr>
      <w:r>
        <w:t>Έ</w:t>
      </w:r>
      <w:r>
        <w:t>χοντας υπόψη την οδηγία (ΕΕ) 2015/1535 του Ευρωπαϊκού Κοινοβουλίου και του Συμβουλίου, της 9ης Σεπτεμβρίου 2015, για την καθιέρωση μιας διαδικασίας πληροφόρησης στον τομέα των τεχνικών προδιαγραφών και των κανόνων σχετικά με τις υπηρεσίες της κοινωνίας των</w:t>
      </w:r>
      <w:r>
        <w:t xml:space="preserve"> πληροφοριών, </w:t>
      </w:r>
    </w:p>
    <w:p w14:paraId="18DA088E" w14:textId="77777777" w:rsidR="00BB5F5A" w:rsidRDefault="001364FA">
      <w:pPr>
        <w:spacing w:after="30"/>
        <w:ind w:firstLine="0"/>
      </w:pPr>
      <w:r>
        <w:t xml:space="preserve">Έχοντας υπόψη τον κώδικα διοικητικής δικαιοσύνης, ιδίως το άρθρο R. 123-20 αυτού· </w:t>
      </w:r>
    </w:p>
    <w:p w14:paraId="7F86EC33" w14:textId="77777777" w:rsidR="00BB5F5A" w:rsidRDefault="001364FA">
      <w:pPr>
        <w:spacing w:after="25"/>
        <w:ind w:left="-15"/>
      </w:pPr>
      <w:r>
        <w:t xml:space="preserve">Έχοντας υπόψη τον νόμο αριθ. 2023-451, της 9ης Ιουνίου 2023, με σκοπό τη ρύθμιση της εμπορικής επιρροής και την καταπολέμηση των καταχρήσεων των επηρεαστών γνώμης στα κοινωνικά δίκτυα· </w:t>
      </w:r>
    </w:p>
    <w:p w14:paraId="76205EB4" w14:textId="77777777" w:rsidR="00BB5F5A" w:rsidRDefault="001364FA">
      <w:pPr>
        <w:ind w:left="-15"/>
      </w:pPr>
      <w:r>
        <w:t>Έχοντας υπόψη τον νόμο αριθ. 2024-364, της 22ας Απριλίου 2024, που θεσ</w:t>
      </w:r>
      <w:r>
        <w:t xml:space="preserve">πίζει διάφορες διατάξεις για την προσαρμογή στο δίκαιο της Ευρωπαϊκής Ένωσης θεμάτων που αφορούν στην οικονομία, τα χρηματοοικονομικά, την οικολογική μετάβαση, το ποινικό δίκαιο, το κοινωνικό δίκαιο και τα γεωργικά θέματα, ιδίως το άρθρο 3 αυτού· </w:t>
      </w:r>
    </w:p>
    <w:p w14:paraId="52DE1B19" w14:textId="77777777" w:rsidR="00BB5F5A" w:rsidRDefault="001364FA">
      <w:pPr>
        <w:ind w:firstLine="0"/>
      </w:pPr>
      <w:r>
        <w:t xml:space="preserve">Έχοντας </w:t>
      </w:r>
      <w:r>
        <w:t xml:space="preserve">υπόψη την κοινοποίηση αριθ. 2024/0379/FR που εστάλη στην Ευρωπαϊκή Επιτροπή στις 3 Ιουλίου 2024, </w:t>
      </w:r>
    </w:p>
    <w:p w14:paraId="2DC263BA" w14:textId="77777777" w:rsidR="00BB5F5A" w:rsidRDefault="001364FA">
      <w:pPr>
        <w:spacing w:after="214"/>
        <w:ind w:right="5040" w:firstLine="0"/>
      </w:pPr>
      <w:r>
        <w:t xml:space="preserve">Αφού άκουσε το Συμβούλιο της Επικρατείας (Τμήμα Οικονομικών), αφού άκουσε το Υπουργικό Συμβούλιο, </w:t>
      </w:r>
    </w:p>
    <w:p w14:paraId="1578A1A7" w14:textId="77777777" w:rsidR="00BB5F5A" w:rsidRDefault="001364FA">
      <w:pPr>
        <w:spacing w:after="146"/>
        <w:ind w:left="1077" w:firstLine="0"/>
      </w:pPr>
      <w:r>
        <w:t xml:space="preserve">Αποφασίζει: </w:t>
      </w:r>
    </w:p>
    <w:p w14:paraId="4FDE374B" w14:textId="77777777" w:rsidR="00BB5F5A" w:rsidRDefault="001364FA">
      <w:pPr>
        <w:spacing w:after="105" w:line="259" w:lineRule="auto"/>
        <w:ind w:left="10" w:right="1" w:hanging="10"/>
        <w:jc w:val="center"/>
      </w:pPr>
      <w:r>
        <w:rPr>
          <w:rFonts w:ascii="Calibri" w:hAnsi="Calibri"/>
          <w:b/>
        </w:rPr>
        <w:t>Άρθρο 1</w:t>
      </w:r>
      <w:r>
        <w:rPr>
          <w:rFonts w:ascii="Calibri" w:hAnsi="Calibri"/>
          <w:b/>
          <w:sz w:val="17"/>
          <w:vertAlign w:val="superscript"/>
        </w:rPr>
        <w:t xml:space="preserve"> </w:t>
      </w:r>
    </w:p>
    <w:p w14:paraId="1AFC17DB" w14:textId="77777777" w:rsidR="00BB5F5A" w:rsidRDefault="001364FA">
      <w:pPr>
        <w:spacing w:after="119"/>
        <w:ind w:left="-15"/>
      </w:pPr>
      <w:r>
        <w:t>Ο νόμος αριθ. 2023-451 της 9ης Ιουνίο</w:t>
      </w:r>
      <w:r>
        <w:t xml:space="preserve">υ 2023 για τη ρύθμιση της εμπορικής επιρροής και την καταπολέμηση των καταχρήσεων των επηρεαστών στα μέσα κοινωνικής δικτύωσης τροποποιείται ως εξής: </w:t>
      </w:r>
    </w:p>
    <w:p w14:paraId="542BFDB4" w14:textId="77777777" w:rsidR="00BB5F5A" w:rsidRDefault="001364FA">
      <w:pPr>
        <w:numPr>
          <w:ilvl w:val="0"/>
          <w:numId w:val="1"/>
        </w:numPr>
        <w:spacing w:after="85"/>
        <w:ind w:hanging="305"/>
      </w:pPr>
      <w:r>
        <w:t xml:space="preserve">– Το άρθρο 1 αντικαθίσταται από τις ακόλουθες διατάξεις: </w:t>
      </w:r>
    </w:p>
    <w:p w14:paraId="36B0D7BB" w14:textId="77777777" w:rsidR="00BB5F5A" w:rsidRDefault="001364FA">
      <w:pPr>
        <w:spacing w:after="135"/>
        <w:ind w:left="-15"/>
      </w:pPr>
      <w:r>
        <w:t xml:space="preserve">« </w:t>
      </w:r>
      <w:r>
        <w:rPr>
          <w:i/>
        </w:rPr>
        <w:t xml:space="preserve">«Άρθρο 1. – </w:t>
      </w:r>
      <w:r>
        <w:t>Φυσικά ή νομικά πρόσωπα τα οποία,</w:t>
      </w:r>
      <w:r>
        <w:t xml:space="preserve"> εξ επαχθούς αιτίας, χρησιμοποιούν τη φήμη τους στο ακροατήριό τους για να παρουσιάσουν στο κοινό με ηλεκτρονικά μέσα περιεχόμενο που προορίζεται να προωθήσει, άμεσα ή έμμεσα, αγαθά, υπηρεσίες ή οποιονδήποτε σκοπό, ασκούν δραστηριότητα εμπορικής επιρροής μ</w:t>
      </w:r>
      <w:r>
        <w:t xml:space="preserve">ε ηλεκτρονικά μέσα.» </w:t>
      </w:r>
    </w:p>
    <w:p w14:paraId="3950E5A5" w14:textId="77777777" w:rsidR="00BB5F5A" w:rsidRDefault="001364FA">
      <w:pPr>
        <w:numPr>
          <w:ilvl w:val="0"/>
          <w:numId w:val="1"/>
        </w:numPr>
        <w:spacing w:after="79"/>
        <w:ind w:hanging="305"/>
      </w:pPr>
      <w:r>
        <w:t xml:space="preserve">– Το άρθρο 4 αντικαθίσταται από τις ακόλουθες διατάξεις: </w:t>
      </w:r>
    </w:p>
    <w:p w14:paraId="6F86B412" w14:textId="77777777" w:rsidR="00BB5F5A" w:rsidRDefault="001364FA">
      <w:pPr>
        <w:ind w:left="-15"/>
      </w:pPr>
      <w:r>
        <w:lastRenderedPageBreak/>
        <w:t xml:space="preserve">« </w:t>
      </w:r>
      <w:r>
        <w:rPr>
          <w:i/>
        </w:rPr>
        <w:t xml:space="preserve">Άρθρο 4. – </w:t>
      </w:r>
      <w:r>
        <w:t xml:space="preserve">I. – Απαγορεύεται στα πρόσωπα που ασκούν δραστηριότητα εμπορικής επιρροής με ηλεκτρονικά μέσα η άμεση ή έμμεση προώθηση πράξεων, διαδικασιών, τεχνικών και μεθόδων </w:t>
      </w:r>
      <w:r>
        <w:t xml:space="preserve">αισθητικού σκοπού, οι οποίες ενδέχεται να θέσουν σε κίνδυνο την υγεία των προσώπων που αναφέρονται στο άρθρο L. 1151-2 του κώδικα δημόσιας υγείας, καθώς και η προώθηση παρεμβάσεων που αναφέρονται στο άρθρο L. 6322-1 του κώδικα αυτού. </w:t>
      </w:r>
    </w:p>
    <w:p w14:paraId="1DB6FB2C" w14:textId="77777777" w:rsidR="00BB5F5A" w:rsidRDefault="001364FA">
      <w:pPr>
        <w:ind w:left="-15"/>
      </w:pPr>
      <w:r>
        <w:t>«II. – Απαγορεύεται σ</w:t>
      </w:r>
      <w:r>
        <w:t>τα πρόσωπα που ασκούν δραστηριότητα εμπορικής επιρροής με ηλεκτρονικά μέσα κάθε άμεση ή έμμεση προώθηση μη θεραπευτικών προϊόντων, πράξεων, διεργασιών, τεχνικών και μεθόδων που παρουσιάζονται ως συγκρίσιμα ή προτιμότερα ή ως υποκατάστατα θεραπευτικών πράξε</w:t>
      </w:r>
      <w:r>
        <w:t xml:space="preserve">ων, πρωτοκόλλων ή συνταγών. </w:t>
      </w:r>
    </w:p>
    <w:p w14:paraId="0FCE785E" w14:textId="77777777" w:rsidR="00BB5F5A" w:rsidRDefault="001364FA">
      <w:pPr>
        <w:ind w:left="-15"/>
      </w:pPr>
      <w:r>
        <w:t>«III. – Απαγορεύεται στα πρόσωπα που ασκούν δραστηριότητα εμπορικής επιρροής με ηλεκτρονικά μέσα κάθε άμεση ή έμμεση προώθηση προϊόντων που θεωρούνται νικοτινούχα προϊόντα τα οποία μπορούν να καταναλωθούν και κατασκευάζονται, έ</w:t>
      </w:r>
      <w:r>
        <w:t xml:space="preserve">στω και εν μέρει, από νικοτίνη. </w:t>
      </w:r>
    </w:p>
    <w:p w14:paraId="7EEC5628" w14:textId="77777777" w:rsidR="00BB5F5A" w:rsidRDefault="001364FA">
      <w:pPr>
        <w:spacing w:after="130"/>
        <w:ind w:left="-15"/>
      </w:pPr>
      <w:r>
        <w:t>«IV. – Απαγορεύεται στα πρόσωπα που ασκούν δραστηριότητα εμπορικής επιρροής με ηλεκτρονικά μέσα κάθε άμεση ή έμμεση προώθηση ζώων που δεν περιλαμβάνονται στον κατάλογο του άρθρου L. 413-1 A παράγραφος Ι του κώδικα περιβάλλο</w:t>
      </w:r>
      <w:r>
        <w:t xml:space="preserve">ντος. H απαγόρευση αυτή δεν ισχύει για τις εγκαταστάσεις που είναι εξουσιοδοτημένες να διατηρούν τα εν λόγω ζώα σύμφωνα με το άρθρο L. 413-3 του εν λόγω κώδικα. </w:t>
      </w:r>
    </w:p>
    <w:p w14:paraId="4BB23C95" w14:textId="77777777" w:rsidR="00BB5F5A" w:rsidRDefault="001364FA">
      <w:pPr>
        <w:spacing w:after="77"/>
        <w:ind w:left="-15"/>
      </w:pPr>
      <w:r>
        <w:t>«V. – Απαγορεύεται στα πρόσωπα που ασκούν δραστηριότητα εμπορικής επιρροής με ηλεκτρονικά μέσα</w:t>
      </w:r>
      <w:r>
        <w:t xml:space="preserve"> κάθε άμεση ή έμμεση προώθηση των ακόλουθων χρηματοπιστωτικών προϊόντων και υπηρεσιών:  </w:t>
      </w:r>
    </w:p>
    <w:p w14:paraId="0FCB0A4E" w14:textId="77777777" w:rsidR="00BB5F5A" w:rsidRDefault="001364FA">
      <w:pPr>
        <w:ind w:firstLine="0"/>
      </w:pPr>
      <w:r>
        <w:t>«1</w:t>
      </w:r>
      <w:r>
        <w:rPr>
          <w:sz w:val="17"/>
          <w:vertAlign w:val="superscript"/>
        </w:rPr>
        <w:t>o</w:t>
      </w:r>
      <w:r>
        <w:t xml:space="preserve"> Οι χρηματοοικονομικές συμβάσεις που ορίζονται στο άρθρο L. 533-12-7 του Νομισματικού και Δημοσιονομικού Κώδικα· </w:t>
      </w:r>
    </w:p>
    <w:p w14:paraId="7B571492" w14:textId="77777777" w:rsidR="00BB5F5A" w:rsidRDefault="001364FA">
      <w:pPr>
        <w:spacing w:after="34"/>
        <w:ind w:left="-15"/>
      </w:pPr>
      <w:r>
        <w:t>2</w:t>
      </w:r>
      <w:r>
        <w:rPr>
          <w:sz w:val="17"/>
          <w:vertAlign w:val="superscript"/>
        </w:rPr>
        <w:t>o</w:t>
      </w:r>
      <w:r>
        <w:t xml:space="preserve"> Παροχή υπηρεσιών ψηφιακών περιουσιακών στοιχείων, κατά την έννοια του άρθρου L. 54-10-2 του εν λόγω κώδικα, εξαιρουμένων εκείνων για τις οποίες ο διαφημιζόμενος είναι εγγεγραμμένος υπό τις προϋποθέσεις του άρθρου L. 54-10-3 του εν λόγω κώδικα ή έχει λάβει</w:t>
      </w:r>
      <w:r>
        <w:t xml:space="preserve"> άδεια υπό τις προϋποθέσεις του άρθρου L. 54-10-5 του εν λόγω κώδικα· </w:t>
      </w:r>
    </w:p>
    <w:p w14:paraId="56BD14C2" w14:textId="77777777" w:rsidR="00BB5F5A" w:rsidRDefault="001364FA">
      <w:pPr>
        <w:spacing w:after="31"/>
        <w:ind w:left="-15"/>
      </w:pPr>
      <w:r>
        <w:t>3</w:t>
      </w:r>
      <w:r>
        <w:rPr>
          <w:sz w:val="17"/>
          <w:vertAlign w:val="superscript"/>
        </w:rPr>
        <w:t>o</w:t>
      </w:r>
      <w:r>
        <w:t xml:space="preserve"> Δημόσιες προσφορές εικονικών νομισμάτων, κατά την έννοια του άρθρου L. 552-3 του ίδιου κώδικα, εκτός εάν ο διαφημιζόμενος έχει λάβει τη θεώρηση που προβλέπεται στο άρθρο L. 552-4 του</w:t>
      </w:r>
      <w:r>
        <w:t xml:space="preserve"> παρόντος κώδικα· </w:t>
      </w:r>
    </w:p>
    <w:p w14:paraId="2ED229B9" w14:textId="77777777" w:rsidR="00BB5F5A" w:rsidRDefault="001364FA">
      <w:pPr>
        <w:ind w:left="-15"/>
      </w:pPr>
      <w:r>
        <w:t>4</w:t>
      </w:r>
      <w:r>
        <w:rPr>
          <w:sz w:val="17"/>
          <w:vertAlign w:val="superscript"/>
        </w:rPr>
        <w:t>o</w:t>
      </w:r>
      <w:r>
        <w:t xml:space="preserve"> Ψηφιακά περιουσιακά στοιχεία, εκτός από εκείνα που σχετίζονται με υπηρεσίες για την παροχή των οποίων είναι εγγεγραμμένος ο διαφημιζόμενος υπό τους όρους του άρθρου L. 5410-3 του κώδικα αυτού ή έχει εγκριθεί υπό τις προϋποθέσεις του ά</w:t>
      </w:r>
      <w:r>
        <w:t xml:space="preserve">ρθρου L. 54-10-5 του εν λόγω κώδικα, δηλαδή όταν ο διαφημιζόμενος δεν εμπίπτει στο πεδίο εφαρμογής των άρθρων L. 54-10-3 και L. 54-10-5 του εν λόγω κώδικα. </w:t>
      </w:r>
    </w:p>
    <w:p w14:paraId="4F97707A" w14:textId="77777777" w:rsidR="00BB5F5A" w:rsidRDefault="001364FA">
      <w:pPr>
        <w:ind w:left="-15"/>
      </w:pPr>
      <w:r>
        <w:t>« «Οι παραβάσεις των διατάξεων της παρούσας παραγράφου V επισύρουν τις κυρώσεις που προβλέπονται στ</w:t>
      </w:r>
      <w:r>
        <w:t xml:space="preserve">ο άρθρο L. 222-16-1, πέμπτο εδάφιο, και στο προτελευταίο εδάφιο του άρθρου L. 222-16-2 του κώδικα προστασίας του καταναλωτή. </w:t>
      </w:r>
    </w:p>
    <w:p w14:paraId="7FC2E317" w14:textId="77777777" w:rsidR="00BB5F5A" w:rsidRDefault="001364FA">
      <w:pPr>
        <w:ind w:left="-15"/>
      </w:pPr>
      <w:r>
        <w:t>« VI. – Απαγορεύεται στα πρόσωπα που ασκούν δραστηριότητα εμπορικής επιρροής με ηλεκτρονικά μέσα κάθε άμεση ή έμμεση προώθηση συνδ</w:t>
      </w:r>
      <w:r>
        <w:t xml:space="preserve">ρομών για αθλητικές συμβουλές ή στοιχήματα. </w:t>
      </w:r>
    </w:p>
    <w:p w14:paraId="728EE356" w14:textId="77777777" w:rsidR="00BB5F5A" w:rsidRDefault="001364FA">
      <w:pPr>
        <w:ind w:left="-15"/>
      </w:pPr>
      <w:r>
        <w:t>«VII. – Οι εμπορικές επικοινωνίες με ηλεκτρονικά μέσα από τα πρόσωπα του άρθρου 1 του παρόντος νόμου σχετικά με τα τυχερά παιχνίδια, όπως αυτά ορίζονται στα άρθρα L. 320-1 και L. 320-6 του κώδικα εσωτερικής ασφά</w:t>
      </w:r>
      <w:r>
        <w:t>λειας, επιτρέπονται μόνο σε επιγραμμικές πλατφόρμες που προσφέρουν την τεχνική δυνατότητα αποκλεισμού από το κοινό του περιεχομένου αυτού όλων των χρηστών ηλικίας κάτω των δεκαοκτώ ετών και εφόσον ο εν λόγω μηχανισμός αποκλεισμού ενεργοποιείται πράγματι απ</w:t>
      </w:r>
      <w:r>
        <w:t xml:space="preserve">ό τα πρόσωπα αυτά.  </w:t>
      </w:r>
    </w:p>
    <w:p w14:paraId="6EB44F5A" w14:textId="77777777" w:rsidR="00BB5F5A" w:rsidRDefault="001364FA">
      <w:pPr>
        <w:ind w:left="-15"/>
      </w:pPr>
      <w:r>
        <w:t xml:space="preserve">«Οι εν λόγω εμπορικές ανακοινώσεις συνοδεύονται από αναφορά στην απαγόρευση τέτοιου περιεχομένου για πρόσωπα ηλικίας κάτω των 18 ετών.  Η δήλωση αυτή πρέπει να είναι σαφής, ευανάγνωστη και κατανοητή σε κάθε χρησιμοποιούμενο μέσο. </w:t>
      </w:r>
    </w:p>
    <w:p w14:paraId="16552C4E" w14:textId="77777777" w:rsidR="00BB5F5A" w:rsidRDefault="001364FA">
      <w:pPr>
        <w:ind w:left="-15"/>
      </w:pPr>
      <w:r>
        <w:t xml:space="preserve">«Οι </w:t>
      </w:r>
      <w:r>
        <w:t>μηχανισμοί αποκλεισμού που προβλέπονται στην παρούσα παράγραφο VII είναι σύμφωνοι με ένα πλαίσιο αναφοράς που καταρτίζει η Ρυθμιστική Αρχή Οπτικοακουστικών Μέσων και Ψηφιακής Επικοινωνίας μετά από διαβούλευση με την Εθνική Αρχή Τυχερών Παιχνιδιών και την Ε</w:t>
      </w:r>
      <w:r>
        <w:t xml:space="preserve">θνική Επιτροπή για την Πληροφορική και τις Ελευθερίες.  </w:t>
      </w:r>
    </w:p>
    <w:p w14:paraId="5C916282" w14:textId="77777777" w:rsidR="00BB5F5A" w:rsidRDefault="001364FA">
      <w:pPr>
        <w:ind w:left="-15"/>
      </w:pPr>
      <w:r>
        <w:t>«Οι συμβάσεις προώθησης με τους φορείς εκμετάλλευσης τυχερών παιχνιδιών περιλαμβάνουν ρήτρα με την οποία τα πρόσωπα που ορίζονται στο άρθρο 1 του παρόντος νόμου βεβαιώνουν ότι έχουν λάβει γνώση των ν</w:t>
      </w:r>
      <w:r>
        <w:t xml:space="preserve">ομοθετικών και κανονιστικών διατάξεων που ισχύουν για τις εμπορικές ανακοινώσεις σχετικά με τα τυχερά παιχνίδια και δεσμεύονται να τις τηρούν.  </w:t>
      </w:r>
    </w:p>
    <w:p w14:paraId="507CFB94" w14:textId="77777777" w:rsidR="00BB5F5A" w:rsidRDefault="001364FA">
      <w:pPr>
        <w:spacing w:after="122"/>
        <w:ind w:left="-15"/>
      </w:pPr>
      <w:r>
        <w:t>«Οι παραβάσεις των διατάξεων της παρούσας παραγράφου VII επισύρουν το πρόστιμο που προβλέπεται στο άρθρο L. 324</w:t>
      </w:r>
      <w:r>
        <w:t xml:space="preserve">-8-1 του κώδικα εσωτερικής ασφάλειας.  </w:t>
      </w:r>
    </w:p>
    <w:p w14:paraId="65CC3B40" w14:textId="77777777" w:rsidR="00BB5F5A" w:rsidRDefault="001364FA">
      <w:pPr>
        <w:spacing w:after="93"/>
        <w:ind w:firstLine="0"/>
      </w:pPr>
      <w:r>
        <w:t>« VIII. – Μετά το 2</w:t>
      </w:r>
      <w:r>
        <w:rPr>
          <w:sz w:val="17"/>
          <w:vertAlign w:val="superscript"/>
        </w:rPr>
        <w:t xml:space="preserve">o </w:t>
      </w:r>
      <w:r>
        <w:t xml:space="preserve"> του άρθρου L. 6323-8-1 του εργατικού κώδικα, παρεμβάλλεται το ακόλουθο εδάφιο: </w:t>
      </w:r>
    </w:p>
    <w:p w14:paraId="6709E1F6" w14:textId="77777777" w:rsidR="00BB5F5A" w:rsidRDefault="001364FA">
      <w:pPr>
        <w:ind w:left="-15"/>
      </w:pPr>
      <w:r>
        <w:t>«Απαγορεύεται, επίσης, κάθε πώληση ή προσφορά προϊόντος ή κάθε πληρωμή έναντι συνδρομής σε προγράμματα που αναφέρο</w:t>
      </w:r>
      <w:r>
        <w:t xml:space="preserve">νται στο ίδιο άρθρο L. 6323-6.» </w:t>
      </w:r>
    </w:p>
    <w:p w14:paraId="012E80CC" w14:textId="77777777" w:rsidR="00BB5F5A" w:rsidRDefault="001364FA">
      <w:pPr>
        <w:ind w:left="-15"/>
      </w:pPr>
      <w:r>
        <w:lastRenderedPageBreak/>
        <w:t xml:space="preserve">« IX. – Η παράβαση των διατάξεων των I έως IV και VI του παρόντος άρθρου τιμωρείται με την κύρωση που προβλέπεται στο άρθρο L. 132-2 του κώδικα προστασίας του καταναλωτή. </w:t>
      </w:r>
    </w:p>
    <w:p w14:paraId="700FD132" w14:textId="77777777" w:rsidR="00BB5F5A" w:rsidRDefault="001364FA">
      <w:pPr>
        <w:spacing w:after="143"/>
        <w:ind w:left="-15"/>
      </w:pPr>
      <w:r>
        <w:t>« Για τα αδικήματα αυτά και για το αδίκημα που προβ</w:t>
      </w:r>
      <w:r>
        <w:t>λέπεται στο VII, μπορεί επίσης να απαγορευθεί στον παραβάτη, είτε οριστικώς είτε προσωρινώς, σύμφωνα με τις διαδικασίες του άρθρου 131-27 του ποινικού κώδικα, η άσκηση της επαγγελματικής ή κοινωνικής δραστηριότητας κατά την άσκηση της οποίας διαπράχθηκε το</w:t>
      </w:r>
      <w:r>
        <w:t xml:space="preserve"> αδίκημα ή η δραστηριότητα εμπορικής επιρροής με ηλεκτρονικά μέσα που ορίζεται στο άρθρο 1 του παρόντος νόμου. </w:t>
      </w:r>
    </w:p>
    <w:p w14:paraId="29D9691F" w14:textId="77777777" w:rsidR="00BB5F5A" w:rsidRDefault="001364FA">
      <w:pPr>
        <w:spacing w:after="81"/>
        <w:ind w:firstLine="0"/>
      </w:pPr>
      <w:r>
        <w:t>« X. – Μετά το 31</w:t>
      </w:r>
      <w:r>
        <w:rPr>
          <w:sz w:val="17"/>
          <w:vertAlign w:val="superscript"/>
        </w:rPr>
        <w:t xml:space="preserve">o </w:t>
      </w:r>
      <w:r>
        <w:t xml:space="preserve"> του άρθρου L. 511-7 του κώδικα προστασίας του καταναλωτή, παρεμβάλλεται το ακόλουθο 32</w:t>
      </w:r>
      <w:r>
        <w:rPr>
          <w:sz w:val="17"/>
          <w:vertAlign w:val="superscript"/>
        </w:rPr>
        <w:t>o</w:t>
      </w:r>
      <w:r>
        <w:t xml:space="preserve">: </w:t>
      </w:r>
    </w:p>
    <w:p w14:paraId="14A29651" w14:textId="77777777" w:rsidR="00BB5F5A" w:rsidRDefault="001364FA">
      <w:pPr>
        <w:spacing w:after="0" w:line="302" w:lineRule="auto"/>
        <w:ind w:left="-15" w:right="-15"/>
        <w:jc w:val="left"/>
      </w:pPr>
      <w:r>
        <w:t>32</w:t>
      </w:r>
      <w:r>
        <w:rPr>
          <w:sz w:val="17"/>
          <w:vertAlign w:val="superscript"/>
        </w:rPr>
        <w:t>o</w:t>
      </w:r>
      <w:r>
        <w:t xml:space="preserve"> Με το V του άρθρου 4 του νόμου</w:t>
      </w:r>
      <w:r>
        <w:t xml:space="preserve"> αριθ. 2023-451, της 9ης Ιουνίου 2023 με σκοπό τη ρύθμιση της εμπορικής επιρροής και την καταπολέμηση των καταχρήσεων των επηρεαστών γνώμης στα κοινωνικά δίκτυα.» III. – Το άρθρο 5 αντικαθίσταται από τις ακόλουθες διατάξεις: </w:t>
      </w:r>
    </w:p>
    <w:p w14:paraId="3C6D62EA" w14:textId="77777777" w:rsidR="00BB5F5A" w:rsidRDefault="001364FA">
      <w:pPr>
        <w:ind w:left="-15"/>
      </w:pPr>
      <w:r>
        <w:t xml:space="preserve">« </w:t>
      </w:r>
      <w:r>
        <w:rPr>
          <w:i/>
        </w:rPr>
        <w:t xml:space="preserve">Άρθρο 5. – </w:t>
      </w:r>
      <w:r>
        <w:t xml:space="preserve">I. – Περιεχόμενο </w:t>
      </w:r>
      <w:r>
        <w:t xml:space="preserve">που γνωστοποιείται από τα πρόσωπα που αναφέρονται στο άρθρο 1 του παρόντος νόμου, το οποίο περιλαμβάνει εικόνες οι οποίες έχουν υποβληθεί σε: </w:t>
      </w:r>
    </w:p>
    <w:p w14:paraId="4B787B68" w14:textId="77777777" w:rsidR="00BB5F5A" w:rsidRDefault="001364FA">
      <w:pPr>
        <w:spacing w:after="31"/>
        <w:ind w:left="-15"/>
      </w:pPr>
      <w:r>
        <w:t>‘1</w:t>
      </w:r>
      <w:r>
        <w:rPr>
          <w:sz w:val="17"/>
          <w:vertAlign w:val="superscript"/>
        </w:rPr>
        <w:t xml:space="preserve">o </w:t>
      </w:r>
      <w:r>
        <w:t xml:space="preserve">Τροποποίηση με οποιαδήποτε διαδικασία επεξεργασίας εικόνας για τη βελτίωση ή την πάχυνση της σιλουέτας ή για </w:t>
      </w:r>
      <w:r>
        <w:t xml:space="preserve">τη μεταβολή της εμφάνισης του προσώπου συνοδεύεται από τους όρους: “Επεξεργασμένες εικόνες”· </w:t>
      </w:r>
    </w:p>
    <w:p w14:paraId="68231ACC" w14:textId="77777777" w:rsidR="00BB5F5A" w:rsidRDefault="001364FA">
      <w:pPr>
        <w:ind w:left="-15"/>
      </w:pPr>
      <w:r>
        <w:t>2</w:t>
      </w:r>
      <w:r>
        <w:rPr>
          <w:sz w:val="17"/>
          <w:vertAlign w:val="superscript"/>
        </w:rPr>
        <w:t xml:space="preserve">o </w:t>
      </w:r>
      <w:r>
        <w:t>Παραγωγή με οποιαδήποτε διαδικασία τεχνητής νοημοσύνης για την απεικόνιση προσώπου ή σιλουέτας συνοδεύεται από τους όρους: “Εικόνες με τη βοήθεια τεχνητής νοημ</w:t>
      </w:r>
      <w:r>
        <w:t xml:space="preserve">οσύνης”. </w:t>
      </w:r>
    </w:p>
    <w:p w14:paraId="25C7F208" w14:textId="77777777" w:rsidR="00BB5F5A" w:rsidRDefault="001364FA">
      <w:pPr>
        <w:ind w:left="-15"/>
      </w:pPr>
      <w:r>
        <w:t xml:space="preserve">« Οι όροι που παρατίθενται στο παρόν Ι θα είναι σαφείς, ευανάγνωστοι και κατανοητοί σε κάθε χρησιμοποιούμενο μέσο. </w:t>
      </w:r>
      <w:r>
        <w:t xml:space="preserve">Μπορούν να αντικατασταθούν από ισοδύναμο όρο προσαρμοσμένο στα χαρακτηριστικά της δραστηριότητας επιρροής και στη μορφή του χρησιμοποιούμενου μέσου επικοινωνίας. </w:t>
      </w:r>
    </w:p>
    <w:p w14:paraId="029CE24B" w14:textId="77777777" w:rsidR="00BB5F5A" w:rsidRDefault="001364FA">
      <w:pPr>
        <w:ind w:left="-15"/>
      </w:pPr>
      <w:r>
        <w:t>« II. – Όταν η προώθηση πραγματοποιείται από τα πρόσωπα που αναφέρονται στο άρθρο 1 του παρόν</w:t>
      </w:r>
      <w:r>
        <w:t>τος νόμου και αφορά στην εγγραφή για δραστηριότητα επαγγελματικής κατάρτισης του άρθρου L. 6313-1 του εργατικού κώδικα, η οποία χρηματοδοτείται από έναν από τους φορείς του άρθρου L. 6316-1 του εν λόγω κώδικα, η μνεία που προβλέπεται στο άρθρο 5-2 του παρό</w:t>
      </w:r>
      <w:r>
        <w:t>ντος νόμου περιλαμβάνει πληροφορίες σχετικά με τη σχετική χρηματοδότηση, τις δεσμεύσεις και τους κανόνες επιλεξιμότητας, τον προσδιορισμό του ή των παρόχων που είναι υπεύθυνοι για τα εν λόγω προγράμματα κατάρτισης και του παρόχου που αναφέρεται στην ηλεκτρ</w:t>
      </w:r>
      <w:r>
        <w:t xml:space="preserve">ονική υπηρεσία του άρθρου L. 6323-9 του ίδιου κώδικα. </w:t>
      </w:r>
    </w:p>
    <w:p w14:paraId="57A2125D" w14:textId="77777777" w:rsidR="00BB5F5A" w:rsidRDefault="001364FA">
      <w:pPr>
        <w:ind w:left="-15"/>
      </w:pPr>
      <w:r>
        <w:t xml:space="preserve">« III. – Η παράβαση των διατάξεων του Ι και ΙΙ του παρόντος άρθρου τιμωρείται με φυλάκιση ενός έτους και χρηματική ποινή 4 500 EUR. </w:t>
      </w:r>
    </w:p>
    <w:p w14:paraId="7FA75FB0" w14:textId="77777777" w:rsidR="00BB5F5A" w:rsidRDefault="001364FA">
      <w:pPr>
        <w:spacing w:after="143"/>
        <w:ind w:firstLine="0"/>
      </w:pPr>
      <w:r>
        <w:t>« IV. – Οι λεπτομερείς κανόνες για την εφαρμογή των Ι και ΙΙ του παρ</w:t>
      </w:r>
      <w:r>
        <w:t xml:space="preserve">όντος άρθρου καθορίζονται με διάταγμα που εκδίδεται μετά από ακρόαση του Συμβουλίου της Επικρατείας.» </w:t>
      </w:r>
    </w:p>
    <w:p w14:paraId="530ED4FA" w14:textId="77777777" w:rsidR="00BB5F5A" w:rsidRDefault="001364FA">
      <w:pPr>
        <w:spacing w:after="92"/>
        <w:ind w:firstLine="0"/>
      </w:pPr>
      <w:r>
        <w:t xml:space="preserve">IV. — Μετά το άρθρο 5, παρεμβάλλονται δύο άρθρα 5-1 και 5-2 ως εξής: </w:t>
      </w:r>
    </w:p>
    <w:p w14:paraId="7B0D6657" w14:textId="77777777" w:rsidR="00BB5F5A" w:rsidRDefault="001364FA">
      <w:pPr>
        <w:ind w:left="-15"/>
      </w:pPr>
      <w:r>
        <w:t xml:space="preserve">« </w:t>
      </w:r>
      <w:r>
        <w:rPr>
          <w:i/>
        </w:rPr>
        <w:t xml:space="preserve">«Άρθρο 5-1. – </w:t>
      </w:r>
      <w:r>
        <w:t>I. — Οι διατάξεις του I έως III του άρθρου 4 δεν εφαρμόζονται σε πα</w:t>
      </w:r>
      <w:r>
        <w:t>ρόχους υπηρεσιών πολυμέσων κατά την έννοια της οδηγίας 2010/13/ΕΕ του Ευρωπαϊκού Κοινοβουλίου και του Συμβουλίου, της 10ης Μαρτίου 2010, οι οποίοι εμπίπτουν στην αρμοδιότητα άλλου κράτους μέλους του Ευρωπαϊκού Οικονομικού Χώρου κατά την έννοια του άρθρου 2</w:t>
      </w:r>
      <w:r>
        <w:t xml:space="preserve"> παράγραφος 2 της εν λόγω οδηγίας. Αντιθέτως, εφαρμόζονται στους εν λόγω προμηθευτές όταν εμπίπτουν στην αρμοδιότητα της Γαλλίας. </w:t>
      </w:r>
    </w:p>
    <w:p w14:paraId="4C1C0A8C" w14:textId="77777777" w:rsidR="00BB5F5A" w:rsidRDefault="001364FA">
      <w:pPr>
        <w:ind w:left="-15"/>
      </w:pPr>
      <w:r>
        <w:t>« Ωστόσο, όταν πληρούνται οι προϋποθέσεις που αναφέρονται στο άρθρο 3 παράγραφοι 2 έως 3 ή στο άρθρο 4 παράγραφοι 2 έως 5 της</w:t>
      </w:r>
      <w:r>
        <w:t xml:space="preserve"> εν λόγω οδηγίας και μετά το πέρας της διαδικασίας που προβλέπεται στις εν λόγω διατάξεις, η διοικητική αρχή προσδιορίζει στον ενδιαφερόμενο τις διατάξεις που ισχύουν γι’ αυτόν, με την επιφύλαξη των σχετικών κυρώσεων, και τη σχετική υπηρεσία. </w:t>
      </w:r>
    </w:p>
    <w:p w14:paraId="6ACD68E9" w14:textId="77777777" w:rsidR="00BB5F5A" w:rsidRDefault="001364FA">
      <w:pPr>
        <w:ind w:left="-15"/>
      </w:pPr>
      <w:r>
        <w:t>« II. — Με τ</w:t>
      </w:r>
      <w:r>
        <w:t xml:space="preserve">ην επιφύλαξη Ι, όσον αφορά στην εφαρμογή των διατάξεων Ι έως ΙΙΙ του άρθρου 4 στους παρόχους υπηρεσιών πολυμέσων, οι διατάξεις των άρθρων 4 και 5 δεν εφαρμόζονται στα πρόσωπα που είναι εγκατεστημένα σε άλλο κράτος μέλος του Ευρωπαϊκού Οικονομικού Χώρου. </w:t>
      </w:r>
    </w:p>
    <w:p w14:paraId="653E9A7E" w14:textId="77777777" w:rsidR="00BB5F5A" w:rsidRDefault="001364FA">
      <w:pPr>
        <w:ind w:left="-15"/>
      </w:pPr>
      <w:r>
        <w:t>«</w:t>
      </w:r>
      <w:r>
        <w:t xml:space="preserve"> Ωστόσο, όταν πληρούνται οι προϋποθέσεις που αναφέρονται στις παραγράφους 4 έως 5 του άρθρου 3 της οδηγίας 2000/31/ΕΚ του Ευρωπαϊκού Κοινοβουλίου και του Συμβουλίου της 8ης Ιουνίου 2000 και στο τέλος της διαδικασίας που προβλέπεται στις εν λόγω διατάξεις, </w:t>
      </w:r>
      <w:r>
        <w:t xml:space="preserve">η διοικητική αρχή προσδιορίζει στον ενδιαφερόμενο τις διατάξεις που ισχύουν γι’ αυτόν, με την επιφύλαξη των σχετικών κυρώσεων, και τη σχετική υπηρεσία. </w:t>
      </w:r>
    </w:p>
    <w:p w14:paraId="2DB9CAB0" w14:textId="77777777" w:rsidR="00BB5F5A" w:rsidRDefault="001364FA">
      <w:pPr>
        <w:spacing w:after="92"/>
        <w:ind w:firstLine="0"/>
      </w:pPr>
      <w:r>
        <w:t>« III. — Οι διαδικασίες εφαρμογής του παρόντος άρθρου καθορίζονται με διάταγμα του Συμβουλίου της Επικρ</w:t>
      </w:r>
      <w:r>
        <w:t xml:space="preserve">ατείας. </w:t>
      </w:r>
    </w:p>
    <w:p w14:paraId="4BA17F87" w14:textId="77777777" w:rsidR="00BB5F5A" w:rsidRDefault="001364FA">
      <w:pPr>
        <w:ind w:left="-15"/>
      </w:pPr>
      <w:r>
        <w:t xml:space="preserve">« </w:t>
      </w:r>
      <w:r>
        <w:rPr>
          <w:i/>
        </w:rPr>
        <w:t xml:space="preserve">«Άρθρο 5-2. – </w:t>
      </w:r>
      <w:r>
        <w:t>Αποτελεί παραπλανητική εμπορική πρακτική κατά την έννοια του άρθρου L. 121-3 του κώδικα για την προστασία του καταναλωτή και υπό τις προϋποθέσεις που προβλέπονται στο εν λόγω άρθρο, για φυσικό ή νομικό πρόσωπο που ασκεί δραστηριότη</w:t>
      </w:r>
      <w:r>
        <w:t xml:space="preserve">τα επιρροής κατά την έννοια του άρθρου 1 του παρόντος νόμου να μην </w:t>
      </w:r>
      <w:r>
        <w:lastRenderedPageBreak/>
        <w:t>αναφέρει, με σαφή, ευανάγνωστο και κατανοητό τρόπο, σε οποιοδήποτε χρησιμοποιούμενο μέσο, την εμπορική πρόθεση που έχει, εφόσον η πρόθεση αυτή δεν προκύπτει ήδη από το συγκεκριμένο πλαίσιο.</w:t>
      </w:r>
      <w:r>
        <w:t xml:space="preserve"> </w:t>
      </w:r>
    </w:p>
    <w:p w14:paraId="0DA643B9" w14:textId="77777777" w:rsidR="00BB5F5A" w:rsidRDefault="001364FA">
      <w:pPr>
        <w:spacing w:after="149"/>
        <w:ind w:left="-15"/>
      </w:pPr>
      <w:r>
        <w:t xml:space="preserve">« Η εμπορική πρόθεση μπορεί να δηλώνεται ρητά με τη χρήση των όρων “διαφήμιση” ή “εμπορική συνεργασία” ή με ισοδύναμο όρο προσαρμοσμένο στα χαρακτηριστικά της δραστηριότητας επιρροής και στη μορφή του χρησιμοποιούμενου μέσου.» </w:t>
      </w:r>
    </w:p>
    <w:p w14:paraId="3E80D657" w14:textId="77777777" w:rsidR="00BB5F5A" w:rsidRDefault="001364FA">
      <w:pPr>
        <w:spacing w:after="86"/>
        <w:ind w:firstLine="0"/>
      </w:pPr>
      <w:r>
        <w:t>V. – Το άρθρο 9 αντικαθίστ</w:t>
      </w:r>
      <w:r>
        <w:t xml:space="preserve">αται από τις ακόλουθες διατάξεις: </w:t>
      </w:r>
    </w:p>
    <w:p w14:paraId="6FABA20B" w14:textId="77777777" w:rsidR="00BB5F5A" w:rsidRDefault="001364FA">
      <w:pPr>
        <w:ind w:left="-15"/>
      </w:pPr>
      <w:r>
        <w:t xml:space="preserve">« </w:t>
      </w:r>
      <w:r>
        <w:rPr>
          <w:i/>
        </w:rPr>
        <w:t xml:space="preserve">Άρθρο 9. – </w:t>
      </w:r>
      <w:r>
        <w:t>I. – Όταν ασκούν τη δραστηριότητα που ορίζεται στο άρθρο 1 και δεν είναι εγκατεστημένοι στο έδαφος κράτους μέλους της Ευρωπαϊκής Ένωσης, της Ελβετικής Συνομοσπονδίας ή του Ευρωπαϊκού Οικονομικού Χώρου και απε</w:t>
      </w:r>
      <w:r>
        <w:t>υθύνονται σε κοινό στη Γαλλία, νομικά πρόσωπα ή φυσικά πρόσωπα που ασκούν ανεξάρτητη δραστηριότητα υπό το καθεστώς που ορίζεται στα άρθρα L. 526-6 έως L. 526-21 του εμπορικού κώδικα ή στα άρθρα L. 526-22 έως L. 526-26 του εν λόγω κώδικα ορίζουν εγγράφως έν</w:t>
      </w:r>
      <w:r>
        <w:t xml:space="preserve">α νομικό ή φυσικό πρόσωπο για τη διασφάλιση της εκπροσώπησής τους στο έδαφος της Ευρωπαϊκής Ένωσης. </w:t>
      </w:r>
    </w:p>
    <w:p w14:paraId="2674630E" w14:textId="77777777" w:rsidR="00BB5F5A" w:rsidRDefault="001364FA">
      <w:pPr>
        <w:ind w:left="-15"/>
      </w:pPr>
      <w:r>
        <w:t>« Η εκπροσώπηση αυτή αποσκοπεί στη διασφάλιση της συμμόρφωσης των συμβάσεων που έχουν ως αντικείμενο ή ως αποτέλεσμα την άσκηση δραστηριότητας εμπορικής επ</w:t>
      </w:r>
      <w:r>
        <w:t>ιρροής με ηλεκτρονικά μέσα, η οποία απευθύνεται ιδίως σε ακροατήριο εγκατεστημένο στη γαλλική επικράτεια. Η καθορισμένη εκπροσώπηση είναι επίσης υπεύθυνη να απαντά, επιπλέον ή αντί των προσώπων που αναφέρονται στο πρώτο εδάφιο του παρόντος Ι, σε κάθε αίτημ</w:t>
      </w:r>
      <w:r>
        <w:t xml:space="preserve">α των αρμόδιων διοικητικών ή δικαστικών αρχών για συμμόρφωση με τον παρόντα νόμο. </w:t>
      </w:r>
    </w:p>
    <w:p w14:paraId="5A08C8A8" w14:textId="77777777" w:rsidR="00BB5F5A" w:rsidRDefault="001364FA">
      <w:pPr>
        <w:ind w:left="-15"/>
      </w:pPr>
      <w:r>
        <w:t>« Τα πρόσωπα του πρώτου εδαφίου παρέχουν στο πρόσωπο που ορίζεται με τον τρόπο αυτό τις αναγκαίες εξουσίες και επαρκείς πόρους για τη διασφάλιση της αποτελεσματικής συνεργασ</w:t>
      </w:r>
      <w:r>
        <w:t xml:space="preserve">ίας με τις αρμόδιες αρχές για την τήρηση του παρόντος νόμου. </w:t>
      </w:r>
    </w:p>
    <w:p w14:paraId="1E06B431" w14:textId="77777777" w:rsidR="00BB5F5A" w:rsidRDefault="001364FA">
      <w:pPr>
        <w:ind w:left="-15"/>
      </w:pPr>
      <w:r>
        <w:t xml:space="preserve">« </w:t>
      </w:r>
      <w:r>
        <w:t>Τα πρόσωπα που αναφέρονται στο εν λόγω πρώτο εδάφιο κοινοποιούν, κατόπιν αιτήματος, στις αρμόδιες διοικητικές αρχές το όνομα, την ταχυδρομική διεύθυνση, τη διεύθυνση ηλεκτρονικού ταχυδρομείου και τον αριθμό τηλεφώνου του προσώπου που έχει οριστεί σύμφωνα μ</w:t>
      </w:r>
      <w:r>
        <w:t xml:space="preserve">ε το εν λόγω πρώτο εδάφιο. </w:t>
      </w:r>
    </w:p>
    <w:p w14:paraId="023B8981" w14:textId="77777777" w:rsidR="00BB5F5A" w:rsidRDefault="001364FA">
      <w:pPr>
        <w:ind w:firstLine="0"/>
      </w:pPr>
      <w:r>
        <w:t xml:space="preserve">«Ο ορισμός αυτός δεν συνιστά εγκατάσταση στην Ευρωπαϊκή Ένωση.  </w:t>
      </w:r>
    </w:p>
    <w:p w14:paraId="4116DB33" w14:textId="77777777" w:rsidR="00BB5F5A" w:rsidRDefault="001364FA">
      <w:pPr>
        <w:ind w:left="-15"/>
      </w:pPr>
      <w:r>
        <w:t>« II. – Το πρόσωπο που ασκεί τη δραστηριότητα του άρθρου 1 και είναι εγκατεστημένο εκτός της Ευρωπαϊκής Ένωσης, της Ελβετικής Συνομοσπονδίας ή του Ευρωπαϊκού Οικον</w:t>
      </w:r>
      <w:r>
        <w:t>ομικού Χώρου υποχρεούται να συνάπτει σύμβαση αστικής ασφάλισης με ασφαλιστή εγκατεστημένο στην Ευρωπαϊκή Ένωση, διασφαλίζοντας τις οικονομικές συνέπειες της επαγγελματικής τους αποζημίωσης, εφόσον η δραστηριότητα αυτή απευθύνεται, έστω και τυχαία, σε ακροα</w:t>
      </w:r>
      <w:r>
        <w:t xml:space="preserve">τήριο εγκατεστημένο στη γαλλική επικράτεια. «III. – Οι λεπτομέρειες εφαρμογής του παρόντος άρθρου καθορίζονται με διάταγμα που εκδίδεται κατόπιν διαβουλεύσεως με το Συμβούλιο της Επικρατείας.» </w:t>
      </w:r>
    </w:p>
    <w:p w14:paraId="24E41C5B" w14:textId="77777777" w:rsidR="00BB5F5A" w:rsidRDefault="001364FA">
      <w:pPr>
        <w:spacing w:after="45" w:line="259" w:lineRule="auto"/>
        <w:ind w:left="10" w:right="1" w:hanging="10"/>
        <w:jc w:val="center"/>
      </w:pPr>
      <w:r>
        <w:rPr>
          <w:rFonts w:ascii="Calibri" w:hAnsi="Calibri"/>
          <w:b/>
        </w:rPr>
        <w:t xml:space="preserve">Άρθρο 2 </w:t>
      </w:r>
    </w:p>
    <w:p w14:paraId="5E209DF5" w14:textId="77777777" w:rsidR="00BB5F5A" w:rsidRDefault="001364FA">
      <w:pPr>
        <w:spacing w:after="76" w:line="216" w:lineRule="auto"/>
        <w:ind w:left="-15" w:right="-15"/>
        <w:jc w:val="left"/>
      </w:pPr>
      <w:r>
        <w:t xml:space="preserve">Ο Πρωθυπουργός και ο Υπουργός Οικονομίας, Οικονομικών και Βιομηχανίας είναι υπεύθυνοι, στον βαθμό που τους αφορά, για την εφαρμογή του παρόντος διατάγματος, το οποίο δημοσιεύεται στην </w:t>
      </w:r>
      <w:r>
        <w:rPr>
          <w:i/>
        </w:rPr>
        <w:t>Επίσημη Εφημερίδα της Γαλλικής Δημοκρατίας</w:t>
      </w:r>
      <w:r>
        <w:t xml:space="preserve">. </w:t>
      </w:r>
    </w:p>
    <w:p w14:paraId="2458A41C" w14:textId="77777777" w:rsidR="00BB5F5A" w:rsidRDefault="001364FA">
      <w:pPr>
        <w:ind w:firstLine="0"/>
      </w:pPr>
      <w:r>
        <w:t>Έγινε στις 6 Νοεμβρίου 2024</w:t>
      </w:r>
      <w:r>
        <w:t xml:space="preserve">. </w:t>
      </w:r>
    </w:p>
    <w:p w14:paraId="779C936B" w14:textId="77777777" w:rsidR="00BB5F5A" w:rsidRDefault="001364FA">
      <w:pPr>
        <w:spacing w:after="70" w:line="259" w:lineRule="auto"/>
        <w:ind w:left="10" w:right="416" w:hanging="10"/>
        <w:jc w:val="right"/>
      </w:pPr>
      <w:r>
        <w:t>E</w:t>
      </w:r>
      <w:r>
        <w:rPr>
          <w:sz w:val="15"/>
        </w:rPr>
        <w:t xml:space="preserve">MMANUEL </w:t>
      </w:r>
      <w:r>
        <w:t>M</w:t>
      </w:r>
      <w:r>
        <w:rPr>
          <w:sz w:val="15"/>
        </w:rPr>
        <w:t xml:space="preserve">ACRON </w:t>
      </w:r>
    </w:p>
    <w:p w14:paraId="4CD07A7D" w14:textId="77777777" w:rsidR="00BB5F5A" w:rsidRDefault="001364FA">
      <w:pPr>
        <w:spacing w:after="73" w:line="259" w:lineRule="auto"/>
        <w:ind w:left="544" w:firstLine="0"/>
        <w:jc w:val="left"/>
      </w:pPr>
      <w:r>
        <w:rPr>
          <w:sz w:val="18"/>
        </w:rPr>
        <w:t xml:space="preserve">Για τον Πρόεδρο της Δημοκρατίας: </w:t>
      </w:r>
    </w:p>
    <w:p w14:paraId="74F7E8BF" w14:textId="77777777" w:rsidR="00BB5F5A" w:rsidRDefault="001364FA">
      <w:pPr>
        <w:spacing w:after="8" w:line="259" w:lineRule="auto"/>
        <w:ind w:left="0" w:firstLine="0"/>
        <w:jc w:val="left"/>
      </w:pPr>
      <w:r>
        <w:rPr>
          <w:i/>
        </w:rPr>
        <w:t xml:space="preserve">Η πρωθυπουργός, </w:t>
      </w:r>
    </w:p>
    <w:p w14:paraId="65A8D155" w14:textId="77777777" w:rsidR="00BB5F5A" w:rsidRDefault="001364FA">
      <w:pPr>
        <w:pStyle w:val="Heading1"/>
        <w:spacing w:after="47"/>
        <w:ind w:left="206" w:right="0"/>
      </w:pPr>
      <w:r>
        <w:rPr>
          <w:sz w:val="22"/>
        </w:rPr>
        <w:t>M</w:t>
      </w:r>
      <w:r>
        <w:t xml:space="preserve">ICHEL </w:t>
      </w:r>
      <w:r>
        <w:rPr>
          <w:sz w:val="22"/>
        </w:rPr>
        <w:t>B</w:t>
      </w:r>
      <w:r>
        <w:t xml:space="preserve">ARNIER </w:t>
      </w:r>
    </w:p>
    <w:p w14:paraId="1873A417" w14:textId="2CF6FE33" w:rsidR="00BB5F5A" w:rsidRDefault="001364FA">
      <w:pPr>
        <w:spacing w:after="54" w:line="216" w:lineRule="auto"/>
        <w:ind w:left="7307" w:firstLine="0"/>
        <w:jc w:val="center"/>
      </w:pPr>
      <w:r>
        <w:rPr>
          <w:i/>
        </w:rPr>
        <w:t xml:space="preserve">Ο Υπουργός Οικονομίας, Οικονομικών και Βιομηχανίας </w:t>
      </w:r>
    </w:p>
    <w:p w14:paraId="276AC3A6" w14:textId="23F96FBD" w:rsidR="00BB5F5A" w:rsidRDefault="001364FA">
      <w:pPr>
        <w:spacing w:after="70" w:line="259" w:lineRule="auto"/>
        <w:ind w:left="10" w:right="544" w:hanging="10"/>
        <w:jc w:val="right"/>
      </w:pPr>
      <w:r>
        <w:t>A</w:t>
      </w:r>
      <w:r>
        <w:rPr>
          <w:sz w:val="15"/>
        </w:rPr>
        <w:t xml:space="preserve">NTOINE </w:t>
      </w:r>
      <w:r>
        <w:t>A</w:t>
      </w:r>
      <w:r>
        <w:rPr>
          <w:sz w:val="15"/>
        </w:rPr>
        <w:t>RMAND</w:t>
      </w:r>
    </w:p>
    <w:sectPr w:rsidR="00BB5F5A">
      <w:headerReference w:type="even" r:id="rId7"/>
      <w:headerReference w:type="default" r:id="rId8"/>
      <w:headerReference w:type="first" r:id="rId9"/>
      <w:pgSz w:w="11906" w:h="16838"/>
      <w:pgMar w:top="1420" w:right="992" w:bottom="782" w:left="992" w:header="743"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2BEBF" w14:textId="77777777" w:rsidR="001364FA" w:rsidRDefault="001364FA">
      <w:pPr>
        <w:spacing w:after="0" w:line="240" w:lineRule="auto"/>
      </w:pPr>
      <w:r>
        <w:separator/>
      </w:r>
    </w:p>
  </w:endnote>
  <w:endnote w:type="continuationSeparator" w:id="0">
    <w:p w14:paraId="31672B8C" w14:textId="77777777" w:rsidR="001364FA" w:rsidRDefault="00136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CDB7F" w14:textId="77777777" w:rsidR="001364FA" w:rsidRDefault="001364FA">
      <w:pPr>
        <w:spacing w:after="0" w:line="240" w:lineRule="auto"/>
      </w:pPr>
      <w:r>
        <w:separator/>
      </w:r>
    </w:p>
  </w:footnote>
  <w:footnote w:type="continuationSeparator" w:id="0">
    <w:p w14:paraId="4A8A76D4" w14:textId="77777777" w:rsidR="001364FA" w:rsidRDefault="00136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687C3" w14:textId="77777777" w:rsidR="00BB5F5A" w:rsidRDefault="001364FA">
    <w:pPr>
      <w:tabs>
        <w:tab w:val="center" w:pos="4818"/>
        <w:tab w:val="right" w:pos="9922"/>
      </w:tabs>
      <w:spacing w:after="0" w:line="259" w:lineRule="auto"/>
      <w:ind w:left="0" w:firstLine="0"/>
      <w:jc w:val="left"/>
    </w:pPr>
    <w:r>
      <w:rPr>
        <w:rFonts w:ascii="Calibri" w:hAnsi="Calibri"/>
        <w:sz w:val="16"/>
      </w:rPr>
      <w:t xml:space="preserve">07 Νοεμβρίου 2024 </w:t>
    </w:r>
    <w:r>
      <w:rPr>
        <w:rFonts w:ascii="Calibri" w:hAnsi="Calibri"/>
        <w:sz w:val="16"/>
      </w:rPr>
      <w:tab/>
    </w:r>
    <w:r>
      <w:rPr>
        <w:rFonts w:ascii="Calibri" w:hAnsi="Calibri"/>
        <w:color w:val="0060B0"/>
        <w:sz w:val="18"/>
      </w:rPr>
      <w:t>ΕΠΙΣΗΜΗ ΕΦΗΜΕΡΙΔΑ ΤΗΣ ΓΑΛΛΙΚΗΣ ΔΗΜΟΚΡΑΤΙΑΣ</w:t>
    </w:r>
    <w:r>
      <w:rPr>
        <w:rFonts w:ascii="Calibri" w:hAnsi="Calibri"/>
        <w:color w:val="0060B0"/>
        <w:sz w:val="18"/>
      </w:rPr>
      <w:tab/>
    </w:r>
    <w:r>
      <w:rPr>
        <w:rFonts w:ascii="Calibri" w:hAnsi="Calibri"/>
      </w:rPr>
      <w:t xml:space="preserve"> </w:t>
    </w:r>
    <w:r>
      <w:rPr>
        <w:rFonts w:ascii="Calibri" w:hAnsi="Calibri"/>
        <w:sz w:val="16"/>
      </w:rPr>
      <w:t xml:space="preserve">Κείμενο 18 από 120 </w:t>
    </w:r>
  </w:p>
  <w:p w14:paraId="7D2344F0" w14:textId="77777777" w:rsidR="00BB5F5A" w:rsidRDefault="001364FA">
    <w:r>
      <w:rPr>
        <w:rFonts w:ascii="Calibri" w:hAnsi="Calibri"/>
        <w:noProof/>
      </w:rPr>
      <mc:AlternateContent>
        <mc:Choice Requires="wpg">
          <w:drawing>
            <wp:anchor distT="0" distB="0" distL="114300" distR="114300" simplePos="0" relativeHeight="251658240" behindDoc="1" locked="0" layoutInCell="1" allowOverlap="1" wp14:anchorId="32303E79" wp14:editId="7FD982B1">
              <wp:simplePos x="0" y="0"/>
              <wp:positionH relativeFrom="page">
                <wp:posOffset>0</wp:posOffset>
              </wp:positionH>
              <wp:positionV relativeFrom="page">
                <wp:posOffset>2</wp:posOffset>
              </wp:positionV>
              <wp:extent cx="7562164" cy="10694162"/>
              <wp:effectExtent l="0" t="0" r="0" b="0"/>
              <wp:wrapNone/>
              <wp:docPr id="6394" name="Group 6394"/>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95" name="Picture 6395"/>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94" style="width:595.446pt;height:842.06pt;position:absolute;z-index:-2147483648;mso-position-horizontal-relative:page;mso-position-horizontal:absolute;margin-left:0pt;mso-position-vertical-relative:page;margin-top:0.00012207pt;" coordsize="75621,106941">
              <v:shape id="Picture 6395" style="position:absolute;width:75621;height:106941;left:0;top:0;" filled="f">
                <v:imagedata r:id="rId4"/>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5EF25" w14:textId="77777777" w:rsidR="00BB5F5A" w:rsidRDefault="001364FA">
    <w:pPr>
      <w:tabs>
        <w:tab w:val="center" w:pos="4818"/>
        <w:tab w:val="right" w:pos="9922"/>
      </w:tabs>
      <w:spacing w:after="0" w:line="259" w:lineRule="auto"/>
      <w:ind w:left="0" w:firstLine="0"/>
      <w:jc w:val="left"/>
    </w:pPr>
    <w:r>
      <w:rPr>
        <w:rFonts w:ascii="Calibri" w:hAnsi="Calibri"/>
        <w:sz w:val="16"/>
      </w:rPr>
      <w:t xml:space="preserve">07 Νοεμβρίου 2024 </w:t>
    </w:r>
    <w:r>
      <w:rPr>
        <w:rFonts w:ascii="Calibri" w:hAnsi="Calibri"/>
        <w:sz w:val="16"/>
      </w:rPr>
      <w:tab/>
    </w:r>
    <w:r>
      <w:rPr>
        <w:rFonts w:ascii="Calibri" w:hAnsi="Calibri"/>
        <w:color w:val="0060B0"/>
        <w:sz w:val="18"/>
      </w:rPr>
      <w:t>ΕΠΙΣΗΜΗ ΕΦΗΜΕΡΙΔΑ ΤΗΣ ΓΑΛΛΙΚΗΣ ΔΗΜΟΚΡΑΤΙΑΣ</w:t>
    </w:r>
    <w:r>
      <w:rPr>
        <w:rFonts w:ascii="Calibri" w:hAnsi="Calibri"/>
        <w:color w:val="0060B0"/>
        <w:sz w:val="18"/>
      </w:rPr>
      <w:tab/>
    </w:r>
    <w:r>
      <w:rPr>
        <w:rFonts w:ascii="Calibri" w:hAnsi="Calibri"/>
      </w:rPr>
      <w:t xml:space="preserve"> </w:t>
    </w:r>
    <w:r>
      <w:rPr>
        <w:rFonts w:ascii="Calibri" w:hAnsi="Calibri"/>
        <w:sz w:val="16"/>
      </w:rPr>
      <w:t xml:space="preserve">Κείμενο 18 από 120 </w:t>
    </w:r>
  </w:p>
  <w:p w14:paraId="03F43403" w14:textId="77777777" w:rsidR="00BB5F5A" w:rsidRDefault="001364FA">
    <w:r>
      <w:rPr>
        <w:rFonts w:ascii="Calibri" w:hAnsi="Calibri"/>
        <w:noProof/>
      </w:rPr>
      <mc:AlternateContent>
        <mc:Choice Requires="wpg">
          <w:drawing>
            <wp:anchor distT="0" distB="0" distL="114300" distR="114300" simplePos="0" relativeHeight="251659264" behindDoc="1" locked="0" layoutInCell="1" allowOverlap="1" wp14:anchorId="5677BF3A" wp14:editId="4AF008E2">
              <wp:simplePos x="0" y="0"/>
              <wp:positionH relativeFrom="page">
                <wp:posOffset>0</wp:posOffset>
              </wp:positionH>
              <wp:positionV relativeFrom="page">
                <wp:posOffset>2</wp:posOffset>
              </wp:positionV>
              <wp:extent cx="7562164" cy="10694162"/>
              <wp:effectExtent l="0" t="0" r="0" b="0"/>
              <wp:wrapNone/>
              <wp:docPr id="6375" name="Group 6375"/>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76" name="Picture 6376"/>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75" style="width:595.446pt;height:842.06pt;position:absolute;z-index:-2147483648;mso-position-horizontal-relative:page;mso-position-horizontal:absolute;margin-left:0pt;mso-position-vertical-relative:page;margin-top:0.00012207pt;" coordsize="75621,106941">
              <v:shape id="Picture 6376" style="position:absolute;width:75621;height:106941;left:0;top:0;" filled="f">
                <v:imagedata r:id="rId4"/>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C51A4" w14:textId="77777777" w:rsidR="00BB5F5A" w:rsidRDefault="001364FA">
    <w:pPr>
      <w:tabs>
        <w:tab w:val="center" w:pos="4818"/>
        <w:tab w:val="right" w:pos="9922"/>
      </w:tabs>
      <w:spacing w:after="0" w:line="259" w:lineRule="auto"/>
      <w:ind w:left="0" w:firstLine="0"/>
      <w:jc w:val="left"/>
    </w:pPr>
    <w:r>
      <w:rPr>
        <w:rFonts w:ascii="Calibri" w:hAnsi="Calibri"/>
        <w:sz w:val="16"/>
      </w:rPr>
      <w:t xml:space="preserve">07 Νοεμβρίου 2024 </w:t>
    </w:r>
    <w:r>
      <w:rPr>
        <w:rFonts w:ascii="Calibri" w:hAnsi="Calibri"/>
        <w:sz w:val="16"/>
      </w:rPr>
      <w:tab/>
    </w:r>
    <w:r>
      <w:rPr>
        <w:rFonts w:ascii="Calibri" w:hAnsi="Calibri"/>
        <w:color w:val="0060B0"/>
        <w:sz w:val="18"/>
      </w:rPr>
      <w:t>ΕΠΙΣΗΜΗ ΕΦΗΜΕΡΙΔΑ ΤΗΣ ΓΑΛΛΙΚΗΣ ΔΗΜΟΚΡΑΤΙΑΣ</w:t>
    </w:r>
    <w:r>
      <w:rPr>
        <w:rFonts w:ascii="Calibri" w:hAnsi="Calibri"/>
        <w:color w:val="0060B0"/>
        <w:sz w:val="18"/>
      </w:rPr>
      <w:tab/>
    </w:r>
    <w:r>
      <w:rPr>
        <w:rFonts w:ascii="Calibri" w:hAnsi="Calibri"/>
      </w:rPr>
      <w:t xml:space="preserve"> </w:t>
    </w:r>
    <w:r>
      <w:rPr>
        <w:rFonts w:ascii="Calibri" w:hAnsi="Calibri"/>
        <w:sz w:val="16"/>
      </w:rPr>
      <w:t xml:space="preserve">Κείμενο 18 από 120 </w:t>
    </w:r>
  </w:p>
  <w:p w14:paraId="3D44B973" w14:textId="77777777" w:rsidR="00BB5F5A" w:rsidRDefault="001364FA">
    <w:r>
      <w:rPr>
        <w:rFonts w:ascii="Calibri" w:hAnsi="Calibri"/>
        <w:noProof/>
      </w:rPr>
      <mc:AlternateContent>
        <mc:Choice Requires="wpg">
          <w:drawing>
            <wp:anchor distT="0" distB="0" distL="114300" distR="114300" simplePos="0" relativeHeight="251660288" behindDoc="1" locked="0" layoutInCell="1" allowOverlap="1" wp14:anchorId="7591A6C2" wp14:editId="6FB74674">
              <wp:simplePos x="0" y="0"/>
              <wp:positionH relativeFrom="page">
                <wp:posOffset>0</wp:posOffset>
              </wp:positionH>
              <wp:positionV relativeFrom="page">
                <wp:posOffset>2</wp:posOffset>
              </wp:positionV>
              <wp:extent cx="7562164" cy="10694162"/>
              <wp:effectExtent l="0" t="0" r="0" b="0"/>
              <wp:wrapNone/>
              <wp:docPr id="6356" name="Group 6356"/>
              <wp:cNvGraphicFramePr/>
              <a:graphic xmlns:a="http://schemas.openxmlformats.org/drawingml/2006/main">
                <a:graphicData uri="http://schemas.microsoft.com/office/word/2010/wordprocessingGroup">
                  <wpg:wgp>
                    <wpg:cNvGrpSpPr/>
                    <wpg:grpSpPr>
                      <a:xfrm>
                        <a:off x="0" y="0"/>
                        <a:ext cx="7562164" cy="10694162"/>
                        <a:chOff x="0" y="0"/>
                        <a:chExt cx="7562164" cy="10694162"/>
                      </a:xfrm>
                    </wpg:grpSpPr>
                    <pic:pic xmlns:pic="http://schemas.openxmlformats.org/drawingml/2006/picture">
                      <pic:nvPicPr>
                        <pic:cNvPr id="6357" name="Picture 6357"/>
                        <pic:cNvPicPr/>
                      </pic:nvPicPr>
                      <pic:blipFill>
                        <a:blip r:embed="rId1"/>
                        <a:stretch>
                          <a:fillRect/>
                        </a:stretch>
                      </pic:blipFill>
                      <pic:spPr>
                        <a:xfrm>
                          <a:off x="0" y="0"/>
                          <a:ext cx="7562164" cy="10694162"/>
                        </a:xfrm>
                        <a:prstGeom prst="rect">
                          <a:avLst/>
                        </a:prstGeom>
                      </pic:spPr>
                    </pic:pic>
                  </wpg:wgp>
                </a:graphicData>
              </a:graphic>
            </wp:anchor>
          </w:drawing>
        </mc:Choice>
        <mc:Fallback xmlns:a="http://schemas.openxmlformats.org/drawingml/2006/main" xmlns:w16du="http://schemas.microsoft.com/office/word/2023/wordml/word16du" xmlns:oel="http://schemas.microsoft.com/office/2019/extlst">
          <w:pict>
            <v:group id="Group 6356" style="width:595.446pt;height:842.06pt;position:absolute;z-index:-2147483648;mso-position-horizontal-relative:page;mso-position-horizontal:absolute;margin-left:0pt;mso-position-vertical-relative:page;margin-top:0.00012207pt;" coordsize="75621,106941">
              <v:shape id="Picture 6357" style="position:absolute;width:75621;height:106941;left:0;top:0;" filled="f">
                <v:imagedata r:id="rId4"/>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60A7B"/>
    <w:multiLevelType w:val="hybridMultilevel"/>
    <w:tmpl w:val="81E49FE6"/>
    <w:lvl w:ilvl="0" w:tplc="AA867C62">
      <w:start w:val="1"/>
      <w:numFmt w:val="upperRoman"/>
      <w:lvlText w:val="%1."/>
      <w:lvlJc w:val="left"/>
      <w:pPr>
        <w:ind w:left="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204FD0">
      <w:start w:val="1"/>
      <w:numFmt w:val="lowerLetter"/>
      <w:lvlText w:val="%2"/>
      <w:lvlJc w:val="left"/>
      <w:pPr>
        <w:ind w:left="1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ED000F2">
      <w:start w:val="1"/>
      <w:numFmt w:val="lowerRoman"/>
      <w:lvlText w:val="%3"/>
      <w:lvlJc w:val="left"/>
      <w:pPr>
        <w:ind w:left="2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CEAA90">
      <w:start w:val="1"/>
      <w:numFmt w:val="decimal"/>
      <w:lvlText w:val="%4"/>
      <w:lvlJc w:val="left"/>
      <w:pPr>
        <w:ind w:left="2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938C92A">
      <w:start w:val="1"/>
      <w:numFmt w:val="lowerLetter"/>
      <w:lvlText w:val="%5"/>
      <w:lvlJc w:val="left"/>
      <w:pPr>
        <w:ind w:left="3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54786A">
      <w:start w:val="1"/>
      <w:numFmt w:val="lowerRoman"/>
      <w:lvlText w:val="%6"/>
      <w:lvlJc w:val="left"/>
      <w:pPr>
        <w:ind w:left="4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4E6C7E">
      <w:start w:val="1"/>
      <w:numFmt w:val="decimal"/>
      <w:lvlText w:val="%7"/>
      <w:lvlJc w:val="left"/>
      <w:pPr>
        <w:ind w:left="4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E217EC">
      <w:start w:val="1"/>
      <w:numFmt w:val="lowerLetter"/>
      <w:lvlText w:val="%8"/>
      <w:lvlJc w:val="left"/>
      <w:pPr>
        <w:ind w:left="5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DEF09C">
      <w:start w:val="1"/>
      <w:numFmt w:val="lowerRoman"/>
      <w:lvlText w:val="%9"/>
      <w:lvlJc w:val="left"/>
      <w:pPr>
        <w:ind w:left="6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F5A"/>
    <w:rsid w:val="00123678"/>
    <w:rsid w:val="001364FA"/>
    <w:rsid w:val="00AC55CF"/>
    <w:rsid w:val="00BB5F5A"/>
    <w:rsid w:val="00C256E0"/>
    <w:rsid w:val="00D13B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005B5"/>
  <w15:docId w15:val="{9644DAF2-F404-4830-B1A9-A4FAC1D1A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5" w:line="225" w:lineRule="auto"/>
      <w:ind w:left="215" w:firstLine="205"/>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70"/>
      <w:ind w:right="431"/>
      <w:outlineLvl w:val="0"/>
    </w:pPr>
    <w:rPr>
      <w:rFonts w:ascii="Times New Roman" w:eastAsia="Times New Roman" w:hAnsi="Times New Roman" w:cs="Times New Roman"/>
      <w:color w:val="000000"/>
      <w:sz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 Id="rId4" Type="http://schemas.openxmlformats.org/officeDocument/2006/relationships/image" Target="media/image0.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2360</Words>
  <Characters>13589</Characters>
  <Application>Microsoft Office Word</Application>
  <DocSecurity>0</DocSecurity>
  <Lines>201</Lines>
  <Paragraphs>76</Paragraphs>
  <ScaleCrop>false</ScaleCrop>
  <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 officiel de la République française - N° 264 du 7 novembre 2024</dc:title>
  <dc:subject>Lois et décrets</dc:subject>
  <dc:creator>Direction de l'information légale et administrative</dc:creator>
  <cp:keywords>ISSN:2261-5385;class='Internal'</cp:keywords>
  <cp:lastModifiedBy>Ragnhild Efraimsson</cp:lastModifiedBy>
  <cp:revision>2</cp:revision>
  <dcterms:created xsi:type="dcterms:W3CDTF">2024-12-17T14:39:00Z</dcterms:created>
  <dcterms:modified xsi:type="dcterms:W3CDTF">2024-12-17T14:39:00Z</dcterms:modified>
</cp:coreProperties>
</file>