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>EL GOBIERNO DE HUNGRÍA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Publicado en</w:t>
      </w:r>
      <w:r>
        <w:rPr>
          <w:rFonts w:ascii="Times New Roman" w:hAnsi="Times New Roman"/>
          <w:sz w:val="24"/>
        </w:rPr>
        <w:t>: el Boletín Oficial de Hungría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>DECRETO DEL GOBIERNO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>por el que se modifica el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Decreto del Gobierno n.º 210/2009, de 29 de septiembre de 2009, relativo a las condiciones de ejercicio de actividades comerciales en el contexto de la protección de la salud de niños y menores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</w:rPr>
        <w:t xml:space="preserve">Sobre la base de la autorización concedida en el artículo 55, apartado 5, de la Ley CLV sobre la protección de los consumidores de 1997;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</w:rPr>
        <w:t xml:space="preserve"> Con respecto al artículo 2</w:t>
      </w:r>
      <w:r>
        <w:t xml:space="preserve">, </w:t>
      </w:r>
      <w:r>
        <w:rPr>
          <w:rFonts w:ascii="Times" w:hAnsi="Times"/>
          <w:color w:val="000000"/>
          <w:sz w:val="24"/>
        </w:rPr>
        <w:t xml:space="preserve">de conformidad con la autorización concedida en el artículo 12, apartado 1, letra a), de la Ley CLXIV sobre comercio de 2005;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</w:rPr>
        <w:t xml:space="preserve">y en el marco de sus funciones definidas en el artículo 15, apartado 1, de la Ley fundamental, el Gobierno establece lo siguiente: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Artículo 1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En el Decreto del Gobierno n.º 210/2009, de 29 de septiembre de 2009, relativo a las condiciones de ejercicio de actividades comerciales (en adelante, «Decreto del Gobierno n.º 210/2009, de 29 de septiembre de 2009»), se añade el artículo 20 </w:t>
      </w:r>
      <w:r>
        <w:rPr>
          <w:rFonts w:ascii="Times New Roman" w:hAnsi="Times New Roman"/>
          <w:i/>
          <w:iCs/>
          <w:sz w:val="24"/>
        </w:rPr>
        <w:t>quater</w:t>
      </w:r>
      <w:r>
        <w:rPr>
          <w:rFonts w:ascii="Times New Roman" w:hAnsi="Times New Roman"/>
          <w:sz w:val="24"/>
        </w:rPr>
        <w:t xml:space="preserve"> siguiente: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</w:rPr>
        <w:t xml:space="preserve">«Artículo 20 </w:t>
      </w:r>
      <w:r>
        <w:rPr>
          <w:rFonts w:ascii="Times New Roman" w:hAnsi="Times New Roman"/>
          <w:i/>
          <w:iCs/>
          <w:sz w:val="24"/>
        </w:rPr>
        <w:t>quater</w:t>
      </w:r>
      <w:r>
        <w:rPr>
          <w:rFonts w:ascii="Times New Roman" w:hAnsi="Times New Roman"/>
          <w:sz w:val="24"/>
        </w:rPr>
        <w:t xml:space="preserve">. De conformidad con el artículo 16 </w:t>
      </w:r>
      <w:r>
        <w:rPr>
          <w:rFonts w:ascii="Times New Roman" w:hAnsi="Times New Roman"/>
          <w:i/>
          <w:iCs/>
          <w:sz w:val="24"/>
        </w:rPr>
        <w:t>bis</w:t>
      </w:r>
      <w:r>
        <w:rPr>
          <w:rFonts w:ascii="Times New Roman" w:hAnsi="Times New Roman"/>
          <w:sz w:val="24"/>
        </w:rPr>
        <w:t xml:space="preserve">, apartado 1 </w:t>
      </w:r>
      <w:r>
        <w:rPr>
          <w:rFonts w:ascii="Times New Roman" w:hAnsi="Times New Roman"/>
          <w:i/>
          <w:iCs/>
          <w:sz w:val="24"/>
        </w:rPr>
        <w:t>bis</w:t>
      </w:r>
      <w:r>
        <w:rPr>
          <w:rFonts w:ascii="Times New Roman" w:hAnsi="Times New Roman"/>
          <w:sz w:val="24"/>
        </w:rPr>
        <w:t>, de la Ley CLV sobre la protección de los consumidores de 1997 (en adelante, la “Ley de protección de los consumidores”), las bebidas energéticas clasificadas en las partidas 2009 o 2202 como bebidas no alcohólicas no podrán venderse ni suministrarse a personas menores de dieciocho años si: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a) </w:t>
      </w:r>
      <w:r>
        <w:rPr>
          <w:rFonts w:ascii="Times New Roman" w:hAnsi="Times New Roman"/>
          <w:sz w:val="24"/>
        </w:rPr>
        <w:t>contienen al menos 15 mg/100 ml de cualquier compuesto perteneciente al grupo metilxantina (en adelante, “metilxantina”); o</w:t>
      </w:r>
    </w:p>
    <w:p w14:paraId="53208FA8" w14:textId="77777777" w:rsidR="00DD755C" w:rsidRPr="00EB75FD" w:rsidRDefault="00DD755C" w:rsidP="00DD7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contienen metilxantina y cualquiera de las sustancias siguientes:</w:t>
      </w:r>
    </w:p>
    <w:p w14:paraId="23340410" w14:textId="77777777" w:rsidR="00DD755C" w:rsidRPr="00BE57BA" w:rsidRDefault="00DD755C" w:rsidP="00DD7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 bis)</w:t>
      </w:r>
      <w:r>
        <w:rPr>
          <w:rFonts w:ascii="Times New Roman" w:hAnsi="Times New Roman"/>
          <w:sz w:val="24"/>
        </w:rPr>
        <w:t xml:space="preserve"> ginseng; </w:t>
      </w:r>
    </w:p>
    <w:p w14:paraId="1D8CA019" w14:textId="77777777" w:rsidR="00DD755C" w:rsidRPr="00BE57BA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 ter)</w:t>
      </w:r>
      <w:r>
        <w:rPr>
          <w:rFonts w:ascii="Times New Roman" w:hAnsi="Times New Roman"/>
          <w:sz w:val="24"/>
        </w:rPr>
        <w:t xml:space="preserve"> L-arginina;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 quater)</w:t>
      </w:r>
      <w:r>
        <w:rPr>
          <w:rFonts w:ascii="Times New Roman" w:hAnsi="Times New Roman"/>
          <w:sz w:val="24"/>
        </w:rPr>
        <w:t xml:space="preserve"> inositol;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 quinquies)</w:t>
      </w:r>
      <w:r>
        <w:rPr>
          <w:rFonts w:ascii="Times New Roman" w:hAnsi="Times New Roman"/>
          <w:sz w:val="24"/>
        </w:rPr>
        <w:t xml:space="preserve"> glucuronolactona;</w:t>
      </w:r>
    </w:p>
    <w:p w14:paraId="601E70F0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 sexies)</w:t>
      </w:r>
      <w:r>
        <w:rPr>
          <w:rFonts w:ascii="Times New Roman" w:hAnsi="Times New Roman"/>
          <w:sz w:val="24"/>
        </w:rPr>
        <w:t xml:space="preserve"> taurina.».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Artículo 2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En el Decreto del Gobierno n.º 210/2009, de 29 de septiembre de 2009, en el artículo 26, apartado 1, la letra </w:t>
      </w: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se sustituye por el texto siguiente: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[La autoridad de protección de los consumidores actuará:]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«</w:t>
      </w: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tal como se establece en las normas de la Ley de protección de los consumidores, en caso de infracción de las disposiciones del artículo 18, apartado 1, letras a) a f) y h) a i), el artículo 18, apartados 2 y 3, los artículos 19 a 20 </w:t>
      </w:r>
      <w:r>
        <w:rPr>
          <w:rFonts w:ascii="Times New Roman" w:hAnsi="Times New Roman"/>
          <w:i/>
          <w:iCs/>
          <w:sz w:val="24"/>
        </w:rPr>
        <w:t>quater</w:t>
      </w:r>
      <w:r>
        <w:rPr>
          <w:rFonts w:ascii="Times New Roman" w:hAnsi="Times New Roman"/>
          <w:sz w:val="24"/>
        </w:rPr>
        <w:t xml:space="preserve"> y el artículo 23; y».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Artículo 3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</w:rPr>
        <w:t>En el Decreto del Gobierno n.º 210/2009, de 29 de septiembre de 2009, el artículo 32 se sustituye por el texto siguiente: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«Artículo 32. Se han notificado previamente los proyectos del artículo 13, apartado 1, el artículo 19 y el artículo 20, apartado 3, así como los proyectos del artículo 20 </w:t>
      </w:r>
      <w:r>
        <w:rPr>
          <w:rFonts w:ascii="Times New Roman" w:hAnsi="Times New Roman"/>
          <w:i/>
          <w:iCs/>
          <w:sz w:val="24"/>
        </w:rPr>
        <w:t>ter</w:t>
      </w:r>
      <w:r>
        <w:rPr>
          <w:rFonts w:ascii="Times New Roman" w:hAnsi="Times New Roman"/>
          <w:sz w:val="24"/>
        </w:rPr>
        <w:t xml:space="preserve"> y el artículo 20 </w:t>
      </w:r>
      <w:r>
        <w:rPr>
          <w:rFonts w:ascii="Times New Roman" w:hAnsi="Times New Roman"/>
          <w:i/>
          <w:iCs/>
          <w:sz w:val="24"/>
        </w:rPr>
        <w:t>quater</w:t>
      </w:r>
      <w:r>
        <w:rPr>
          <w:rFonts w:ascii="Times New Roman" w:hAnsi="Times New Roman"/>
          <w:sz w:val="24"/>
        </w:rPr>
        <w:t xml:space="preserve">, tal como se establece en los artículos 5 a 7 de la Directiva (UE) 2015/1535 del Parlamento Europeo y del Consejo, de 9 de septiembre de 2015, por la que se establece un procedimiento de información en materia de reglamentaciones técnicas y de reglas relativas a los servicios de la sociedad de la información.».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Artículo 4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En el Decreto del Gobierno n.º 210/2009, de 29 de septiembre de 2009, se añade el artículo 34 siguiente: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«Artículo 34. El proyecto del artículo 20 </w:t>
      </w:r>
      <w:r>
        <w:rPr>
          <w:rFonts w:ascii="Times New Roman" w:hAnsi="Times New Roman"/>
          <w:i/>
          <w:iCs/>
          <w:sz w:val="24"/>
        </w:rPr>
        <w:t>quater</w:t>
      </w:r>
      <w:r>
        <w:rPr>
          <w:rFonts w:ascii="Times New Roman" w:hAnsi="Times New Roman"/>
          <w:sz w:val="24"/>
        </w:rPr>
        <w:t xml:space="preserve"> ha sido notificado previamente de conformidad con el artículo 39, apartado 5, de la Directiva 2006/123/CE del Parlamento Europeo y del Consejo, de 12 de diciembre de 2006, relativa a los servicios en el mercado interior.».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Artículo 5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</w:rPr>
      </w:pPr>
      <w:r>
        <w:rPr>
          <w:rFonts w:ascii="Times New Roman" w:hAnsi="Times New Roman"/>
          <w:sz w:val="24"/>
        </w:rPr>
        <w:t>El presente Decreto entrará en vigor el trigésimo día tras su publicación.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Artículo 6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</w:rPr>
      </w:pPr>
      <w:r>
        <w:rPr>
          <w:rFonts w:ascii="Times New Roman" w:hAnsi="Times New Roman"/>
          <w:sz w:val="24"/>
        </w:rPr>
        <w:t>El presente Decreto tiene por objeto cumplir la Directiva 2006/123/CE del Parlamento Europeo y del Consejo, de 12 de diciembre de 2006, relativa a los servicios en el mercado interior.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Artículo 7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</w:rPr>
      </w:pPr>
      <w:r>
        <w:rPr>
          <w:rFonts w:ascii="Times New Roman" w:hAnsi="Times New Roman"/>
          <w:sz w:val="24"/>
        </w:rPr>
        <w:t>El proyecto de este Decreto ha sido objeto de notificación previa, tal como se establece en el artículo 39, apartado 5, de la Directiva 2006/123/CE del Parlamento Europeo y del Consejo, de 12 de diciembre de 2006, relativa a los servicios en el mercado interior.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b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Artículo 8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4835FB34" w14:textId="1D77F500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</w:rPr>
        <w:t>Este proyecto de Decreto ha sido objeto de notificación previa, tal como se establece en los artículos 5 a 7 de la Directiva (UE) 2015/1535 del Parlamento Europeo y del Consejo, de 9 de septiembre de 2015, por la que se establece un procedimiento de información en materia de reglamentaciones técnicas y de reglas relativas a los servicios de la sociedad de la información.</w:t>
      </w: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966F7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C2F16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es-ES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Dimitris Dimitriadis</cp:lastModifiedBy>
  <cp:revision>4</cp:revision>
  <dcterms:created xsi:type="dcterms:W3CDTF">2024-07-12T13:03:00Z</dcterms:created>
  <dcterms:modified xsi:type="dcterms:W3CDTF">2024-07-23T10:33:00Z</dcterms:modified>
</cp:coreProperties>
</file>