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Ovo je strojni prijevod</w:t>
      </w:r>
    </w:p>
    <w:p w14:paraId="48A46481" w14:textId="77777777">
      <w:pPr>
        <w:pStyle w:val="P68B1DB1-Title1"/>
        <w:spacing w:before="0"/>
        <w:ind w:left="0"/>
      </w:pPr>
    </w:p>
    <w:p w14:paraId="5DDBFD33" w14:textId="3AD4A40E">
      <w:pPr>
        <w:pStyle w:val="P68B1DB1-Title1"/>
        <w:spacing w:before="0"/>
        <w:ind w:left="0"/>
      </w:pPr>
      <w:r>
        <w:t xml:space="preserve">Sudska praksa o Direktivi (EU) 2015/1535</w:t>
      </w:r>
    </w:p>
    <w:p w14:paraId="5AFCD03C" w14:textId="77777777">
      <w:pPr>
        <w:pStyle w:val="BodyText"/>
      </w:pPr>
    </w:p>
    <w:p w14:paraId="55805DA1" w14:textId="3A3D4AA9">
      <w:pPr>
        <w:pStyle w:val="BodyText"/>
      </w:pPr>
      <w:r>
        <w:t xml:space="preserve">U ovom se dokumentu utvrđuju glavne presude i rješenja Suda Europske unije o području primjene i primjeni Direktive (EU) 2015/1535, kojom se uspostavlja postupak pružanja informacija u području tehničkih propisa i pravila o uslugama informacijskog društva. Cilj mu je poslužiti kao vodič za uprave država članica, industriju i građane.</w:t>
      </w:r>
    </w:p>
    <w:p w14:paraId="4F3E66AE" w14:textId="77777777">
      <w:pPr>
        <w:pStyle w:val="BodyText"/>
        <w:rPr>
          <w:sz w:val="22"/>
          <w:szCs w:val="18"/>
        </w:rPr>
      </w:pPr>
    </w:p>
    <w:p w14:paraId="53D6EBA0" w14:textId="77777777">
      <w:pPr>
        <w:pStyle w:val="BodyText"/>
      </w:pPr>
      <w:r>
        <w:t xml:space="preserve">Budući da ovaj dokument nije iscrpan, neke relevantne odluke možda neće biti uključene.</w:t>
      </w:r>
    </w:p>
    <w:p w14:paraId="771A43E5" w14:textId="77777777">
      <w:pPr>
        <w:pStyle w:val="BodyText"/>
      </w:pPr>
    </w:p>
    <w:p w14:paraId="45186CE0" w14:textId="45ABA22D">
      <w:pPr>
        <w:pStyle w:val="BodyText"/>
      </w:pPr>
      <w:r>
        <w:t xml:space="preserve">Presude su prikazane kronološkim redoslijedom, a dokument je strukturiran u četiri dijela:</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Odluke iz kojih su sastavljeni izvaci u ovom dokumentu odnose se na uzastopne direktive kojima se utvrđuje postupak pružanja informacija u području tehničkih propisa. U sljedećoj tablici jednakovrijednosti prikazan je kontinuitet njihovih glavnih odredaba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Tablica ekvivalentnosti glavnih odredaba </w:t>
      </w:r>
    </w:p>
    <w:p w14:paraId="74F41B86" w14:textId="7258661E">
      <w:pPr>
        <w:pStyle w:val="P68B1DB1-Normal5"/>
        <w:spacing w:after="0" w:line="240" w:lineRule="auto"/>
        <w:jc w:val="center"/>
        <w:rPr>
          <w:bCs/>
        </w:rPr>
      </w:pPr>
      <w:r>
        <w:t xml:space="preserve">Direktive (EU) 2015/1535, 98/34/EZ i 83/189/EEZ</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Sadržaj odredaba</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Direktiva (EU)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Direktiva 98/34/EZ</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Direktiva 83/189/EEZ</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Definicija „proizvoda”</w:t>
            </w:r>
          </w:p>
        </w:tc>
        <w:tc>
          <w:tcPr>
            <w:tcW w:w="2457" w:type="dxa"/>
          </w:tcPr>
          <w:p w14:paraId="4A418F3D" w14:textId="11CADE6C">
            <w:pPr>
              <w:pStyle w:val="P68B1DB1-Normal7"/>
              <w:spacing w:line="240" w:lineRule="auto"/>
            </w:pPr>
            <w:r>
              <w:t xml:space="preserve">Članak 1. stavak 1.a</w:t>
            </w:r>
          </w:p>
        </w:tc>
        <w:tc>
          <w:tcPr>
            <w:tcW w:w="2315" w:type="dxa"/>
          </w:tcPr>
          <w:p w14:paraId="5020F0EC" w14:textId="29FBC8B8">
            <w:pPr>
              <w:pStyle w:val="P68B1DB1-Normal7"/>
              <w:spacing w:line="240" w:lineRule="auto"/>
            </w:pPr>
            <w:r>
              <w:t xml:space="preserve">Članak 1. stavak 1.</w:t>
            </w:r>
          </w:p>
        </w:tc>
        <w:tc>
          <w:tcPr>
            <w:tcW w:w="2315" w:type="dxa"/>
          </w:tcPr>
          <w:p w14:paraId="1AC77ECE" w14:textId="6BC392C6">
            <w:pPr>
              <w:pStyle w:val="P68B1DB1-Normal7"/>
              <w:spacing w:line="240" w:lineRule="auto"/>
            </w:pPr>
            <w:r>
              <w:t xml:space="preserve">Članak 1. stavak 7.</w:t>
            </w:r>
          </w:p>
        </w:tc>
      </w:tr>
      <w:tr w14:paraId="4F3F95AF" w14:textId="77777777">
        <w:trPr>
          <w:trHeight w:val="599"/>
        </w:trPr>
        <w:tc>
          <w:tcPr>
            <w:tcW w:w="3119" w:type="dxa"/>
          </w:tcPr>
          <w:p w14:paraId="42CDA066" w14:textId="77777777">
            <w:pPr>
              <w:pStyle w:val="P68B1DB1-Normal7"/>
              <w:spacing w:line="240" w:lineRule="auto"/>
            </w:pPr>
            <w:r>
              <w:t xml:space="preserve">Definicija „usluga”</w:t>
            </w:r>
          </w:p>
        </w:tc>
        <w:tc>
          <w:tcPr>
            <w:tcW w:w="2457" w:type="dxa"/>
          </w:tcPr>
          <w:p w14:paraId="658F3867" w14:textId="6E2F4A98">
            <w:pPr>
              <w:pStyle w:val="P68B1DB1-Normal7"/>
              <w:spacing w:line="240" w:lineRule="auto"/>
            </w:pPr>
            <w:r>
              <w:t xml:space="preserve">Članak 1. stavak 1. točka (b)</w:t>
            </w:r>
          </w:p>
        </w:tc>
        <w:tc>
          <w:tcPr>
            <w:tcW w:w="2315" w:type="dxa"/>
          </w:tcPr>
          <w:p w14:paraId="4273AEF8" w14:textId="51C8B937">
            <w:pPr>
              <w:pStyle w:val="P68B1DB1-Normal7"/>
              <w:spacing w:line="240" w:lineRule="auto"/>
            </w:pPr>
            <w:r>
              <w:t xml:space="preserve">Članak 1. stavak 2.</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Definicija „tehničke specifikacije”</w:t>
            </w:r>
          </w:p>
        </w:tc>
        <w:tc>
          <w:tcPr>
            <w:tcW w:w="2457" w:type="dxa"/>
          </w:tcPr>
          <w:p w14:paraId="1CD6781C" w14:textId="4816FB95">
            <w:pPr>
              <w:pStyle w:val="P68B1DB1-Normal7"/>
              <w:spacing w:line="240" w:lineRule="auto"/>
            </w:pPr>
            <w:r>
              <w:t xml:space="preserve">Članak 1. stavak 1. točka (c)</w:t>
            </w:r>
          </w:p>
        </w:tc>
        <w:tc>
          <w:tcPr>
            <w:tcW w:w="2315" w:type="dxa"/>
          </w:tcPr>
          <w:p w14:paraId="6ACA8AFC" w14:textId="5CBBFC47">
            <w:pPr>
              <w:pStyle w:val="P68B1DB1-Normal7"/>
              <w:spacing w:line="240" w:lineRule="auto"/>
            </w:pPr>
            <w:r>
              <w:t xml:space="preserve">Članak 1. stavak 3.</w:t>
            </w:r>
          </w:p>
        </w:tc>
        <w:tc>
          <w:tcPr>
            <w:tcW w:w="2315" w:type="dxa"/>
          </w:tcPr>
          <w:p w14:paraId="7742C3F4" w14:textId="668574B6">
            <w:pPr>
              <w:pStyle w:val="P68B1DB1-Normal7"/>
              <w:spacing w:line="240" w:lineRule="auto"/>
            </w:pPr>
            <w:r>
              <w:t xml:space="preserve">Članak 1. stavak 1.</w:t>
            </w:r>
          </w:p>
        </w:tc>
      </w:tr>
      <w:tr w14:paraId="39DCA993" w14:textId="77777777">
        <w:trPr>
          <w:trHeight w:val="599"/>
        </w:trPr>
        <w:tc>
          <w:tcPr>
            <w:tcW w:w="3119" w:type="dxa"/>
          </w:tcPr>
          <w:p w14:paraId="412D2403" w14:textId="77777777">
            <w:pPr>
              <w:pStyle w:val="P68B1DB1-Normal7"/>
              <w:spacing w:line="240" w:lineRule="auto"/>
            </w:pPr>
            <w:r>
              <w:t xml:space="preserve">Definicija „ostalih zahtjeva”</w:t>
            </w:r>
          </w:p>
        </w:tc>
        <w:tc>
          <w:tcPr>
            <w:tcW w:w="2457" w:type="dxa"/>
          </w:tcPr>
          <w:p w14:paraId="7BCB4CC5" w14:textId="4C804DFA">
            <w:pPr>
              <w:pStyle w:val="P68B1DB1-Normal7"/>
              <w:spacing w:line="240" w:lineRule="auto"/>
            </w:pPr>
            <w:r>
              <w:t xml:space="preserve">Članak 1. stavak 1. točka (d)</w:t>
            </w:r>
          </w:p>
        </w:tc>
        <w:tc>
          <w:tcPr>
            <w:tcW w:w="2315" w:type="dxa"/>
          </w:tcPr>
          <w:p w14:paraId="414D1EEC" w14:textId="18CAA0FE">
            <w:pPr>
              <w:pStyle w:val="P68B1DB1-Normal7"/>
              <w:spacing w:line="240" w:lineRule="auto"/>
            </w:pPr>
            <w:r>
              <w:t xml:space="preserve">Članak 1. stavak 4.</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Definicija „pravila o uslugama”</w:t>
            </w:r>
          </w:p>
        </w:tc>
        <w:tc>
          <w:tcPr>
            <w:tcW w:w="2457" w:type="dxa"/>
          </w:tcPr>
          <w:p w14:paraId="136F7BB7" w14:textId="4AA67A90">
            <w:pPr>
              <w:pStyle w:val="P68B1DB1-Normal7"/>
              <w:spacing w:line="240" w:lineRule="auto"/>
            </w:pPr>
            <w:r>
              <w:t xml:space="preserve">Članak 1. stavak 1. točka (e)</w:t>
            </w:r>
          </w:p>
        </w:tc>
        <w:tc>
          <w:tcPr>
            <w:tcW w:w="2315" w:type="dxa"/>
          </w:tcPr>
          <w:p w14:paraId="36E9CD4F" w14:textId="1B75247A">
            <w:pPr>
              <w:pStyle w:val="P68B1DB1-Normal7"/>
              <w:spacing w:line="240" w:lineRule="auto"/>
            </w:pPr>
            <w:r>
              <w:t xml:space="preserve">Članak 1. stavak 5.</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Definicija „tehničkog propisa”</w:t>
            </w:r>
          </w:p>
        </w:tc>
        <w:tc>
          <w:tcPr>
            <w:tcW w:w="2457" w:type="dxa"/>
          </w:tcPr>
          <w:p w14:paraId="46C85599" w14:textId="1342B29E">
            <w:pPr>
              <w:pStyle w:val="P68B1DB1-Normal7"/>
              <w:spacing w:line="240" w:lineRule="auto"/>
            </w:pPr>
            <w:r>
              <w:t xml:space="preserve">Članak 1. stavak 1. točka (f)</w:t>
            </w:r>
          </w:p>
        </w:tc>
        <w:tc>
          <w:tcPr>
            <w:tcW w:w="2315" w:type="dxa"/>
          </w:tcPr>
          <w:p w14:paraId="0E88B9E2" w14:textId="31F951B8">
            <w:pPr>
              <w:pStyle w:val="P68B1DB1-Normal7"/>
              <w:spacing w:line="240" w:lineRule="auto"/>
            </w:pPr>
            <w:r>
              <w:t xml:space="preserve">Članak 1. stavak 11.</w:t>
            </w:r>
          </w:p>
        </w:tc>
        <w:tc>
          <w:tcPr>
            <w:tcW w:w="2315" w:type="dxa"/>
          </w:tcPr>
          <w:p w14:paraId="2E4FCAC6" w14:textId="1930FF48">
            <w:pPr>
              <w:pStyle w:val="P68B1DB1-Normal7"/>
              <w:spacing w:line="240" w:lineRule="auto"/>
            </w:pPr>
            <w:r>
              <w:t xml:space="preserve">Članak 1. stavak 5.</w:t>
            </w:r>
          </w:p>
        </w:tc>
      </w:tr>
      <w:tr w14:paraId="0C829266" w14:textId="77777777">
        <w:trPr>
          <w:trHeight w:val="599"/>
        </w:trPr>
        <w:tc>
          <w:tcPr>
            <w:tcW w:w="3119" w:type="dxa"/>
          </w:tcPr>
          <w:p w14:paraId="2E36B6FC" w14:textId="77777777">
            <w:pPr>
              <w:pStyle w:val="P68B1DB1-Normal7"/>
              <w:spacing w:line="240" w:lineRule="auto"/>
            </w:pPr>
            <w:r>
              <w:t xml:space="preserve">Obveza obavješćivanja</w:t>
            </w:r>
          </w:p>
        </w:tc>
        <w:tc>
          <w:tcPr>
            <w:tcW w:w="2457" w:type="dxa"/>
          </w:tcPr>
          <w:p w14:paraId="04169FF7" w14:textId="77777777">
            <w:pPr>
              <w:pStyle w:val="P68B1DB1-Normal7"/>
              <w:spacing w:line="240" w:lineRule="auto"/>
            </w:pPr>
            <w:r>
              <w:t xml:space="preserve">Članak 5. stavak 1. prva rečenica</w:t>
            </w:r>
          </w:p>
        </w:tc>
        <w:tc>
          <w:tcPr>
            <w:tcW w:w="2315" w:type="dxa"/>
          </w:tcPr>
          <w:p w14:paraId="730385F8" w14:textId="77777777">
            <w:pPr>
              <w:pStyle w:val="P68B1DB1-Normal7"/>
              <w:spacing w:line="240" w:lineRule="auto"/>
            </w:pPr>
            <w:r>
              <w:t xml:space="preserve">Članak 8. stavak 1. prva rečenica</w:t>
            </w:r>
          </w:p>
        </w:tc>
        <w:tc>
          <w:tcPr>
            <w:tcW w:w="2315" w:type="dxa"/>
          </w:tcPr>
          <w:p w14:paraId="6937609F" w14:textId="5A2377E0">
            <w:pPr>
              <w:pStyle w:val="P68B1DB1-Normal8"/>
              <w:spacing w:line="240" w:lineRule="auto"/>
            </w:pPr>
            <w:r>
              <w:t xml:space="preserve">Članak 8. stavak 1.</w:t>
            </w:r>
          </w:p>
        </w:tc>
      </w:tr>
      <w:tr w14:paraId="4472DE96" w14:textId="77777777">
        <w:trPr>
          <w:trHeight w:val="599"/>
        </w:trPr>
        <w:tc>
          <w:tcPr>
            <w:tcW w:w="3119" w:type="dxa"/>
          </w:tcPr>
          <w:p w14:paraId="08371658" w14:textId="2AE2569B">
            <w:pPr>
              <w:pStyle w:val="P68B1DB1-Normal7"/>
              <w:spacing w:line="240" w:lineRule="auto"/>
            </w:pPr>
            <w:r>
              <w:t xml:space="preserve">Obavješćivanje o osnovnim ili relevantnim odredbama</w:t>
            </w:r>
          </w:p>
        </w:tc>
        <w:tc>
          <w:tcPr>
            <w:tcW w:w="2457" w:type="dxa"/>
          </w:tcPr>
          <w:p w14:paraId="4460E5CA" w14:textId="77777777">
            <w:pPr>
              <w:pStyle w:val="P68B1DB1-Normal7"/>
              <w:spacing w:line="240" w:lineRule="auto"/>
            </w:pPr>
            <w:r>
              <w:t xml:space="preserve">Članak 5. stavak 1. druga rečenica</w:t>
            </w:r>
          </w:p>
        </w:tc>
        <w:tc>
          <w:tcPr>
            <w:tcW w:w="2315" w:type="dxa"/>
          </w:tcPr>
          <w:p w14:paraId="545C5C96" w14:textId="77777777">
            <w:pPr>
              <w:pStyle w:val="P68B1DB1-Normal7"/>
              <w:spacing w:line="240" w:lineRule="auto"/>
            </w:pPr>
            <w:r>
              <w:t xml:space="preserve">Članak 8. stavak 1. druga rečenica</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Ponovna obavijest tijekom razdoblja mirovanja</w:t>
            </w:r>
          </w:p>
        </w:tc>
        <w:tc>
          <w:tcPr>
            <w:tcW w:w="2457" w:type="dxa"/>
          </w:tcPr>
          <w:p w14:paraId="65494BDB" w14:textId="77777777">
            <w:pPr>
              <w:pStyle w:val="P68B1DB1-Normal7"/>
              <w:spacing w:line="240" w:lineRule="auto"/>
            </w:pPr>
            <w:r>
              <w:t xml:space="preserve">Članak 5. stavak 1. treća rečenica</w:t>
            </w:r>
          </w:p>
        </w:tc>
        <w:tc>
          <w:tcPr>
            <w:tcW w:w="2315" w:type="dxa"/>
          </w:tcPr>
          <w:p w14:paraId="47F0091E" w14:textId="77777777">
            <w:pPr>
              <w:pStyle w:val="P68B1DB1-Normal7"/>
              <w:spacing w:line="240" w:lineRule="auto"/>
            </w:pPr>
            <w:r>
              <w:t xml:space="preserve">Članak 8. stavak 1. treća rečenica</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Rok mirovanja</w:t>
            </w:r>
          </w:p>
        </w:tc>
        <w:tc>
          <w:tcPr>
            <w:tcW w:w="2457" w:type="dxa"/>
          </w:tcPr>
          <w:p w14:paraId="0FDAA36A" w14:textId="77777777">
            <w:pPr>
              <w:pStyle w:val="P68B1DB1-Normal7"/>
              <w:spacing w:line="240" w:lineRule="auto"/>
            </w:pPr>
            <w:r>
              <w:t xml:space="preserve">Članak 6.</w:t>
            </w:r>
          </w:p>
        </w:tc>
        <w:tc>
          <w:tcPr>
            <w:tcW w:w="2315" w:type="dxa"/>
          </w:tcPr>
          <w:p w14:paraId="51BBC4E4" w14:textId="77777777">
            <w:pPr>
              <w:pStyle w:val="P68B1DB1-Normal7"/>
              <w:spacing w:line="240" w:lineRule="auto"/>
            </w:pPr>
            <w:r>
              <w:t xml:space="preserve">Članak 9</w:t>
            </w:r>
          </w:p>
        </w:tc>
        <w:tc>
          <w:tcPr>
            <w:tcW w:w="2315" w:type="dxa"/>
          </w:tcPr>
          <w:p w14:paraId="2B7D3F30" w14:textId="77777777">
            <w:pPr>
              <w:pStyle w:val="P68B1DB1-Normal8"/>
              <w:spacing w:line="240" w:lineRule="auto"/>
            </w:pPr>
            <w:r>
              <w:t xml:space="preserve">Članak 9</w:t>
            </w:r>
          </w:p>
        </w:tc>
      </w:tr>
      <w:tr w14:paraId="31FCCE62" w14:textId="77777777">
        <w:trPr>
          <w:trHeight w:val="599"/>
        </w:trPr>
        <w:tc>
          <w:tcPr>
            <w:tcW w:w="3119" w:type="dxa"/>
          </w:tcPr>
          <w:p w14:paraId="067F46A1" w14:textId="77777777">
            <w:pPr>
              <w:pStyle w:val="P68B1DB1-Normal7"/>
              <w:spacing w:line="240" w:lineRule="auto"/>
            </w:pPr>
            <w:r>
              <w:t xml:space="preserve">Iznimke od obveze obavješćivanja i mirovanja</w:t>
            </w:r>
          </w:p>
        </w:tc>
        <w:tc>
          <w:tcPr>
            <w:tcW w:w="2457" w:type="dxa"/>
          </w:tcPr>
          <w:p w14:paraId="5BC53094" w14:textId="77777777">
            <w:pPr>
              <w:pStyle w:val="P68B1DB1-Normal7"/>
              <w:spacing w:line="240" w:lineRule="auto"/>
            </w:pPr>
            <w:r>
              <w:t xml:space="preserve">Članak 7.</w:t>
            </w:r>
          </w:p>
        </w:tc>
        <w:tc>
          <w:tcPr>
            <w:tcW w:w="2315" w:type="dxa"/>
          </w:tcPr>
          <w:p w14:paraId="36E59068" w14:textId="77777777">
            <w:pPr>
              <w:pStyle w:val="P68B1DB1-Normal7"/>
              <w:spacing w:line="240" w:lineRule="auto"/>
            </w:pPr>
            <w:r>
              <w:t xml:space="preserve">Članak 10.</w:t>
            </w:r>
          </w:p>
        </w:tc>
        <w:tc>
          <w:tcPr>
            <w:tcW w:w="2315" w:type="dxa"/>
          </w:tcPr>
          <w:p w14:paraId="1FE1BC2D" w14:textId="77777777">
            <w:pPr>
              <w:pStyle w:val="P68B1DB1-Normal8"/>
              <w:spacing w:line="240" w:lineRule="auto"/>
            </w:pPr>
            <w:r>
              <w:t xml:space="preserve">Članak 10.</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 xml:space="preserve">Izjava o odricanju od odgovornosti</w:t>
      </w:r>
    </w:p>
    <w:p w14:paraId="0CB71D4E" w14:textId="7BF1CD8D">
      <w:pPr>
        <w:jc w:val="both"/>
        <w:rPr>
          <w:rFonts w:ascii="Times New Roman" w:hAnsi="Times New Roman" w:cs="Times New Roman"/>
          <w:sz w:val="24"/>
          <w:szCs w:val="24"/>
        </w:rPr>
        <w:pStyle w:val="P68B1DB1-Normal7"/>
      </w:pPr>
      <w:r>
        <w:t xml:space="preserve">Informacije i smjernice u ovom dokumentu namijenjene su boljem razumijevanju pravila o obavješćivanju iz Direktive (EU) 2015/1535.</w:t>
      </w:r>
    </w:p>
    <w:p w14:paraId="67EC004B" w14:textId="434F8650">
      <w:pPr>
        <w:jc w:val="both"/>
        <w:rPr>
          <w:rFonts w:ascii="Times New Roman" w:hAnsi="Times New Roman" w:cs="Times New Roman"/>
          <w:sz w:val="24"/>
          <w:szCs w:val="24"/>
        </w:rPr>
        <w:pStyle w:val="P68B1DB1-Normal7"/>
      </w:pPr>
      <w:r>
        <w:t xml:space="preserve">To je isključivo zamišljeno kao orijentacijsko sredstvo. Samo tekst Direktive ima pravnu snagu i njime se mogu stvoriti prava i obveze za pojedince i države članice. Ovaj dokument ne stvara nikakvo provedivo pravo ili očekivanje.</w:t>
      </w:r>
    </w:p>
    <w:p w14:paraId="63D425FC" w14:textId="2836B58B">
      <w:pPr>
        <w:jc w:val="both"/>
        <w:rPr>
          <w:rFonts w:ascii="Times New Roman" w:hAnsi="Times New Roman" w:cs="Times New Roman"/>
          <w:sz w:val="24"/>
          <w:szCs w:val="24"/>
        </w:rPr>
        <w:pStyle w:val="P68B1DB1-Normal7"/>
      </w:pPr>
      <w:r>
        <w:t xml:space="preserve">Obvezujuće tumačenje zakonodavstva Europske unije u isključivoj je nadležnosti Suda Europske unije. Stajalištima izraženima u ovom dokumentu ne dovodi se u pitanje stajalište koje bi Komisija mogla zauzeti pred Sudom.</w:t>
      </w:r>
    </w:p>
    <w:p w14:paraId="5CC222EA" w14:textId="4A13BEE2">
      <w:pPr>
        <w:jc w:val="both"/>
        <w:rPr>
          <w:rFonts w:ascii="Times New Roman" w:hAnsi="Times New Roman" w:cs="Times New Roman"/>
          <w:sz w:val="24"/>
          <w:szCs w:val="24"/>
        </w:rPr>
        <w:pStyle w:val="P68B1DB1-Normal7"/>
      </w:pPr>
      <w:r>
        <w:t xml:space="preserve">Budući da ovaj dokument odražava stanje sudske prakse u trenutku njegove izrade, trebalo bi ga smatrati „živim alatom” koji se može poboljšati, a njegov sadržaj može biti podložan izmjenama bez obavijesti.</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Klasifikacija kao tehnički propis</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pojam ‚tehnički propis’ obuhvaća četiri kategorije mjera, odnosno (i) ‚tehničke specifikacije’ u smislu članka 1. točke 3. Direktive 98/34, (ii) ‚ostale zahtjeve’ kako su definirani u članku 1. stavku 4. te direktive, (iii) ‚pravila o uslugama’ iz članka 1. stavka 5. te direktive i (iv) ‚zakone i druge propise država članica [...] kojima se zabranjuje proizvodnja, uvoz, stavljanje na tržište ili uporaba proizvoda ili zabranjuje pružanje ili korištenje usluge ili poslovni nastan kao pružatelj usluga.”</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hyperlink r:id="rId11" w:history="1">
        <w:r>
          <w:rPr>
            <w:rStyle w:val="Hyperlink"/>
            <w:color w:val="0000FF"/>
          </w:rPr>
          <w:t xml:space="preserve">(Presuda od 2. veljače 2016.</w:t>
        </w:r>
      </w:hyperlink>
      <w:r>
        <w:t xml:space="preserve">, </w:t>
      </w:r>
      <w:r>
        <w:rPr>
          <w:i/>
        </w:rPr>
        <w:t>Ince</w:t>
      </w:r>
      <w:r>
        <w:t xml:space="preserve">, C-336/14, EU:C:2016:72, t. 70.)</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Zajednički kriteriji za tehničke </w:t>
      </w:r>
      <w:bookmarkEnd w:id="6"/>
      <w:r>
        <w:t>propise</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„‚Tehnički propis’ znači tehničke specifikacije i drugi zahtjevi ili pravila o uslugama, uključujući odgovarajuće administrativne odredbe, čije je poštovanje obvezno, de jure ili de facto, u slučaju stavljanja na tržište, pružanja usluge, poslovnog nastana operatera usluga ili korištenja u državi članici ili njezinu većem dijelu, kao i zakone i druge propise država članica, osim onih predviđenih u članku 7., kojima se zabranjuje proizvodnja, uvoz, stavljanje na tržište ili uporaba proizvoda ili zabranjuje pružanje ili korištenje usluge ili poslovni nastan kao pružatelj usluga.”</w:t>
      </w:r>
    </w:p>
    <w:p w14:paraId="56CBE257" w14:textId="77777777">
      <w:pPr>
        <w:pStyle w:val="BodyText"/>
      </w:pPr>
    </w:p>
    <w:p w14:paraId="66B70B28" w14:textId="1278CE54">
      <w:pPr>
        <w:pStyle w:val="P68B1DB1-Normal7"/>
        <w:spacing w:after="0" w:line="240" w:lineRule="auto"/>
        <w:jc w:val="right"/>
      </w:pPr>
      <w:r>
        <w:t xml:space="preserve">(članak 1. stavak 1. točka (f) prva rečenica Direktive (EU) 2015/1535)</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Presuda od 30. travnja 1996.</w:t>
        </w:r>
      </w:hyperlink>
      <w:r>
        <w:rPr>
          <w:rFonts w:ascii="Times New Roman" w:hAnsi="Times New Roman" w:cs="Times New Roman" w:eastAsia="Times New Roman"/>
          <w:b/>
          <w:i/>
          <w:szCs w:val="20"/>
        </w:rPr>
        <w:t xml:space="preserve">, CIA Security International SA, C-194/94, EU:C:1996:172, t. 29.</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Pravilo se može kvalificirati kao „tehnički propis” samo ako proizvodi vlastite pravne učinke. To nije slučaj s okvirnim zakonom koji nema pravni učinak za pojedince.</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 Pravilo se kvalificira kao tehnički propis u smislu Direktive 83/189 ako proizvodi vlastite pravne učinke. Ako na temelju nacionalnog prava to pravilo samo služi kao temelj za donošenje upravnih propisa koji sadržavaju pravila koja obvezuju zainteresirane osobe, tako da samo po sebi nema pravni učinak za pojedince, to pravilo ne predstavlja tehnički propis u smislu te direktive (vidjeti presudu Suda od 12. prosinca 1994., Komisija/Njemačka, C-317/92, Zb., str. 1.-2039., t. 26.). U tom pogledu valja podsjetiti na to da, u skladu s člankom 8. stavkom 1. prvim podstavkom Direktive 83/189, države članice moraju istodobno s nacrtom tehničkog propisa dostaviti instrument koji omogućuje provedbu na temelju kojeg je donesen, ako je poznavanje tog teksta potrebno za procjenu implikacija nacrta tehničkog propisa.”</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Presuda od 20. ožujka 1997.</w:t>
        </w:r>
      </w:hyperlink>
      <w:r>
        <w:rPr>
          <w:rFonts w:ascii="Times New Roman" w:hAnsi="Times New Roman" w:cs="Times New Roman" w:eastAsia="Times New Roman"/>
          <w:b/>
          <w:i/>
          <w:szCs w:val="20"/>
        </w:rPr>
        <w:t xml:space="preserve">, Bic Benelux, C-13/96, EU:C:1997:173, t. 19. i 20.</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Razlozi za donošenje nacionalne mjere nisu relevantni za kvalifikaciju te mjere kao „tehničkog propisa”. Cilj je Direktive preventivnim nadzorom zaštititi slobodno kretanje robe, što je jedan od temelja Zajednice.</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U Direktivi 83/189 ne postoji osnova za tumačenje koje ograničava njezinu primjenu na nacionalne mjere koje se mogu uskladiti samo na temelju članka 100.a Ugovora. Cilj je te Direktive preventivnim nadzorom zaštititi slobodno kretanje robe, što je jedan od temelja Zajednice. Takav je nadzor potreban jer tehnički propisi obuhvaćeni Direktivom mogu izravno ili neizravno, stvarno ili potencijalno ometati trgovinu robom unutar Zajednice. Takve prepreke mogu proizlaziti iz donošenja nacionalnih tehničkih propisa čak i ako se njima ne udvostručuju oznake pričvršćene u državi članici podrijetla i neovisno o razlozima na temelju kojih su doneseni.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Slijedom toga, činjenica da je nacionalna mjera donesena radi zaštite okoliša ili da se njome ne provodi tehnička norma koja sama po sebi može predstavljati prepreku slobodnom kretanju ne znači da predmetna mjera ne može biti tehnički propis u smislu Direktive 83/189.”</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Presuda od 16. studenoga 2000.</w:t>
        </w:r>
      </w:hyperlink>
      <w:r>
        <w:rPr>
          <w:rFonts w:ascii="Times New Roman" w:hAnsi="Times New Roman" w:cs="Times New Roman" w:eastAsia="Times New Roman"/>
          <w:b/>
          <w:i/>
          <w:szCs w:val="20"/>
        </w:rPr>
        <w:t xml:space="preserve">, Donkersteeg, C-37/99, EU:C:2000:636, t. 30. do 34.</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Detaljna pravila o cijepljenju životinja su „tehnička specifikacija”. Međutim, to će biti „tehnički propis” koji zahtijeva obavješćivanje samo ako je njegovo poštovanje obvezno de jure ili de facto. To nije slučaj kada se u slučaju povrede pravila ne nameću nikakva ograničenja u pogledu stavljanja na tržište ili uporabe predmetnih proizvoda.</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u skladu s člankom 1. stavkom 1. te direktive, kad je riječ o poljoprivrednim proizvodima, „tehnička specifikacija” je ona koja se nalazi u dokumentu kojim se utvrđuju značajke koje se zahtijevaju za proizvod ili njegove metode i postupke proizvodnje.</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Pravilo poput onog iz članka 2. stavka 1. VBZA-a tehnička je specifikacija u smislu članka 1. stavka 1. Direktive. Kao što to pravilno tvrdi Komisija, s obzirom na to da su precizna i detaljna pravila o cijepljenju protiv bolesti Aujeszkoga povezana s proizvodnjom dotičnog poljoprivrednog proizvoda u užem smislu i da ih treba poštovati tijekom cijelog proizvodnog ciklusa, to pravilo stoga definira „postupak” u proizvodnji tog proizvoda.</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Međutim, da bi ga se kvalificiralo kao tehničko pravilo u smislu te direktive, pravilo o kojem je riječ u glavnom postupku mora, u skladu s člankom 1. stavkom 5. te direktive, sadržavati tehničke specifikacije „čije je poštovanje obvezno, de jure ili de facto u slučaju stavljanja na tržište ili uporabe u državi članici ili njezinu većem dijelu, osim onih koje su utvrdila lokalna tijela.</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Valja istaknuti, kao što je to učinila nizozemska vlada, da pravilo iz članka 2. stavka 1. VBZA-a ne nameće nikakva ograničenja u pogledu stavljanja na tržište ili uporabe predmetnih proizvoda ako, protivno tom pravilu, svinje nisu cijepljene protiv bolesti Aujeszkoga.</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Stoga na drugo pitanje treba odgovoriti da odredba poput one o kojoj je riječ u glavnom postupku kojom se svakom poljoprivredniku nalaže da svinje na svojem gospodarstvu cijepi protiv bolesti Aujeszkoga nije, u smislu Direktive, tehnički propis o kojem je Komisija trebala biti obaviještena prije donošenja.”</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Presuda od 3. prosinca 2020.</w:t>
        </w:r>
      </w:hyperlink>
      <w:r>
        <w:rPr>
          <w:rFonts w:ascii="Times New Roman" w:hAnsi="Times New Roman" w:cs="Times New Roman" w:eastAsia="Times New Roman"/>
          <w:b/>
          <w:i/>
          <w:szCs w:val="20"/>
        </w:rPr>
        <w:t xml:space="preserve">, Star Taxi App, C-62/19, EU:C:2020:980, t. 60. i 61.</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Kako bi se nacionalna mjera kvalificirala kao „tehnički propis”, ona mora biti obvezujuća de jure ili de facto za pružanje ili korištenje predmetne usluge u državi članici ili njezinu većem dijelu.</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iz članka 1. stavka 1. točke (f) prvog podstavka Direktive 2015/1535 proizlazi da „tehnički propis” znači „tehničke specifikacije i drugi zahtjevi ili propisi o uslugama, uključujući odgovarajuće administrativne odredbe čije je poštovanje obvezno, de jure ili de facto, u slučaju stavljanja na tržište, pružanja usluge, poslovnog nastana operatera usluga ili korištenja u državi članici ili njezinu većem dijelu, kao i zakona i drugih propisa država članica, osim onih predviđenih u članku 7., kojima se zabranjuje proizvodnja, uvoz, stavljanje na tržište ili uporaba proizvoda ili zabranjuje pružanje ili korištenje usluge ili poslovni nastan kao pružatelj usluga”.</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Iz toga slijedi da, kako bi se nacionalni propis koji se odnosi na uslugu informacijskog društva mogao kvalificirati kao „tehnički propis”, ne samo da ga treba kvalificirati kao „propis o uslugama” kako je definiran u članku 1. stavku 1. točki (e) Direktive 2015/1535, nego također mora biti obvezan, de jure ili de facto, osobito u slučaju pružanja predmetne usluge ili njezina korištenja u državi članici ili većem dijelu te države.”</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Tehničke</w:t>
      </w:r>
      <w:bookmarkEnd w:id="15"/>
      <w:r>
        <w:t xml:space="preserve"> specifikacije</w:t>
      </w:r>
      <w:bookmarkEnd w:id="16"/>
      <w:bookmarkEnd w:id="17"/>
    </w:p>
    <w:p w14:paraId="241DC1E1" w14:textId="77777777">
      <w:pPr>
        <w:pStyle w:val="BodyText"/>
      </w:pPr>
    </w:p>
    <w:p w14:paraId="24A39E18" w14:textId="77777777">
      <w:pPr>
        <w:pStyle w:val="P68B1DB1-BodyText11"/>
        <w:ind w:left="567"/>
      </w:pPr>
      <w:r>
        <w:t xml:space="preserve">„‚tehnička specifikacija’ znači specifikacija sadržana u dokumentu kojim se utvrđuju tražene značajke proizvoda, kao što su razine kvalitete, svojstva, sigurnost ili dimenzije, uključujući zahtjeve koji se primjenjuju na proizvod u pogledu naziva pod kojim se proizvod prodaje, terminologije, simbola, ispitivanja i metoda ispitivanja, pakiranja, obilježavanja ili označivanja te postupaka ocjenjivanja sukladnosti.</w:t>
      </w:r>
    </w:p>
    <w:p w14:paraId="33F4D1E4" w14:textId="77777777">
      <w:pPr>
        <w:pStyle w:val="P68B1DB1-BodyText11"/>
        <w:ind w:left="567"/>
      </w:pPr>
    </w:p>
    <w:p w14:paraId="5224E321" w14:textId="77777777">
      <w:pPr>
        <w:pStyle w:val="P68B1DB1-BodyText11"/>
        <w:ind w:left="567"/>
        <w:rPr>
          <w:iCs/>
        </w:rPr>
      </w:pPr>
      <w:r>
        <w:t xml:space="preserve">Izraz „tehnička specifikacija” obuhvaća i proizvodne metode i postupke koji se koriste za poljoprivredne proizvode, kako je navedeno u članku 38. stavku 1. drugom podstavku Ugovora o funkcioniranju Europske unije (UFEU), proizvode namijenjene prehrani ljudi i životinja te lijekove kako su definirani u članku 1. Direktive 2001/83/EZ Europskog parlamenta i Vijeća (1), kao i proizvodne metode i postupke koji se odnose na druge proizvode, ako oni utječu na njihova svojstva;”</w:t>
      </w:r>
    </w:p>
    <w:p w14:paraId="6C2A57E1" w14:textId="77777777">
      <w:pPr>
        <w:pStyle w:val="BodyText"/>
        <w:ind w:left="567"/>
        <w:rPr>
          <w:i/>
          <w:iCs/>
        </w:rPr>
      </w:pPr>
    </w:p>
    <w:p w14:paraId="2F7A4C59" w14:textId="62E0EC95">
      <w:pPr>
        <w:pStyle w:val="BodyText"/>
        <w:ind w:left="1440"/>
        <w:jc w:val="right"/>
      </w:pPr>
      <w:r>
        <w:t xml:space="preserve">(Članak 1. stavak 1. točka (c) Direktive (EU) 2015/1535)</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Presuda od 11. siječnja 1996.</w:t>
        </w:r>
      </w:hyperlink>
      <w:r>
        <w:rPr>
          <w:rFonts w:ascii="Times New Roman" w:hAnsi="Times New Roman" w:cs="Times New Roman" w:eastAsia="Times New Roman"/>
          <w:b/>
          <w:i/>
          <w:szCs w:val="20"/>
        </w:rPr>
        <w:t xml:space="preserve">, Komisija protiv Nizozemske, C-273/94, EU:C:1996:4, točka 13.</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Nacionalno pravilo kojim se uvodi odstupanje od postojećeg tehničkog propisa za određeni proizvod predstavlja „tehnički propis” ako nameće alternativne „tehničke specifikacije” koje svaka osoba koja želi iskoristiti odstupanje mora poštovati.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 Primjena uredbe kojom se odstupa od drugog tehničkog propisa koji već postoji u vezi s istim proizvodom na određeni proizvod, kao što je margarin, predstavlja tehnički propis u smislu članka 1. stavka 5. Direktive jer se njime utvrđuju tehničke specifikacije u smislu članka 1. stavka 1. čije je poštovanje obvezno, de jure ili de facto, prilikom stavljanja na tržište ili uporabe tog proizvoda. Ako se margarin ne proizvodi u skladu s odredbama Uredbe Margarine, može se proizvoditi samo od zamjenskih proizvoda odobrenih spornom narudžbom. Ne samo da je upotreba tih zamjenskih proizvoda ograničena uvjetima utvrđenima spornom odlukom, nego su ti proizvodi jedine alternative proizvodima koji se mogu upotrebljavati na temelju Uredbe Margarine. Stoga je o spornom nalogu trebalo obavijestiti u skladu s Direktivom.”</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Presuda od 30. travnja 1996.</w:t>
      </w:r>
      <w:r/>
      <w:r>
        <w:rPr>
          <w:b/>
          <w:bCs/>
          <w:i/>
          <w:iCs/>
          <w:color w:val="0000FF"/>
          <w:sz w:val="22"/>
          <w:szCs w:val="18"/>
          <w:u w:val="single"/>
        </w:rPr>
        <w:fldChar w:fldCharType="end"/>
        <w:t xml:space="preserve">, CIA Security International SA, C-194/94, EU:C:1996:172, t. 30.</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Pravilo se mora kvalificirati kao „tehnički propis” ako se njime od predmetnih poduzetnika zahtijeva da podnesu zahtjev za prethodno odobrenje svoje opreme, čak i ako nisu donesena predviđena administrativna pravila.</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bookmarkEnd w:id="19"/>
      <w:r>
        <w:t xml:space="preserve">. [...] pravilo treba kvalificirati kao tehnički propis u smislu Direktive 83/189 ako se njime, kao što je to belgijska vlada istaknula na raspravi, od dotičnih poduzetnika zahtijeva da zatraže prethodno odobrenje svoje opreme, čak i ako nisu donesena predviđena administrativna pravila.”</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Presuda od 16. rujna 1996</w:t>
      </w:r>
      <w:r>
        <w:rPr>
          <w:b/>
          <w:bCs/>
          <w:i/>
          <w:iCs/>
          <w:color w:val="0000FF"/>
          <w:sz w:val="24"/>
          <w:szCs w:val="20"/>
          <w:u w:val="single"/>
        </w:rPr>
        <w:fldChar w:fldCharType="end"/>
        <w:t xml:space="preserve">., Komisija protiv Italije, C-279/94, EU:C:1997:396, točka 34.</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Odredba kojom se utvrđuju granične vrijednosti koncentracije azbestnih vlakana koja mogu doprijeti u pluća na radnim mjestima nije „tehnička specifikacija” jer se njome ne definiraju značajke koje se zahtijevaju za proizvod.</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Međutim, u skladu s člankom 1. točkom 5. Direktive, „tehnički propis” znači „tehničke specifikacije, uključujući odgovarajuće administrativne odredbe čije je poštovanje obvezno, de jure ili de facto, u slučaju stavljanja na tržište ili uporabe u državi članici”. U skladu s člankom 1. točkom 1. Direktive, „tehnička specifikacija” je specifikacija sadržana u dokumentu kojim se utvrđuju značajke koje se zahtijevaju za proizvod, kao što su razine kvalitete, učinkovitosti i sigurnosti. Člankom 3. stavkom 1. Zakona br. 257/92 utvrđuju se granične vrijednosti koncentracije azbestnih vlakana koja se mogu udahnuti na radnom mjestu. Budući da se tom odredbom ne definira svojstvo koje se zahtijeva za proizvod, ona u načelu nije obuhvaćena definicijom tehničke specifikacije i stoga se ne može smatrati tehničkim propisom o kojem treba obavijestiti Komisiju u skladu s člankom 8. stavkom 1. prvim podstavkom Direktive. Iako poštovanje graničnih vrijednosti za koncentracije inhalabilnih azbestnih vlakana predviđenih člankom 3. Zakona br. 257/92 može imati posljedice na svojstva predmetnog proizvoda, kako su predviđene člankom 1. točkom 1. Direktive, Komisija nije dokazala kako bi to mogao biti slučaj.”</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Presuda od 17. rujna 1996.</w:t>
        </w:r>
      </w:hyperlink>
      <w:r>
        <w:t xml:space="preserve">, Komisija protiv Italije, C-289/94, EU:C:1996:330, točka 32.</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Uredba o kvaliteti vode namijenjene uzgoju mekušaca predstavlja „tehnički propis” koji podliježe obvezi obavješćivanja zbog svojeg izravnog utjecaja na stavljanje na tržište predmetnih proizvoda.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Iako se Uredba br. 256 odnosi na određene aspekte kvalitete voda namijenjenih jestivim lamellibranch mekušcima, njome se ipak uspostavlja, kao što je to pravilno istaknula Komisija, vrlo uska veza između kvalitete voda koje se koriste za takav uzgoj i stavljanja na tržište lamellibranch mekušaca namijenjenih prehrani ljudi. Stoga se samo mekušci uzgojeni u vodama koje su u skladu s tehničkim specifikacijama utvrđenima Uredbom br. 256 mogu stavljati na tržište. Poštovanje tih specifikacija, koje su obvezujuće, stoga izravno utječe na stavljanje mekušaca na tržište, tako da Uredbu br. 256 treba smatrati tehničkim propisom koji podliježe obvezi obavješćivanja iz članka 8. Direktive 83/189.”</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Presuda od 11. svibnja 1999.</w:t>
        </w:r>
      </w:hyperlink>
      <w:r>
        <w:t xml:space="preserve">, Albers i dr., C-425/97 do 427/97, EU:C:1999:243, t. 16. i 17.</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Pravila kojima se zabranjuje primjena određenih lijekova na stoku predstavljaju „tehničke specifikacije” jer definiraju načine proizvodnje poljoprivrednih proizvoda.</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pravila koja, poput onih u ovom slučaju, imaju za cilj spriječiti primjenu simpatikimetičkih tvari na tov goveda starijih od 14 tjedana predstavljaju tehničke specifikacije u smislu članka 1. stavka 1. Direktive 83/189.</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Takva pravila određuju metode i postupke proizvodnje poljoprivrednih proizvoda, kako su definirani u članku 38. stavku 1. Ugovora o EZ-u (sada, nakon izmjene, članka 32. stavka 1. UEZ-a) namijenjenih prehrani ljudi.”</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Presuda od 22. siječnja 2000.</w:t>
        </w:r>
      </w:hyperlink>
      <w:r>
        <w:t xml:space="preserve">, Canal Satélite Digital, C-390/99, EU:C:2002:34, točke 45. do 47.</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Nacionalno pravilo kojim se zahtijeva prethodna registracija i certificiranje opreme za digitalni prijenos i primanje satelitskih televizijskih signala prije njezina stavljanja na tržište predstavlja „tehnički propis” jer definira značajke predmetnih proizvoda.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 [...] Sud je već presudio da nacionalne odredbe kojima se samo utvrđuju uvjeti za osnivanje poduzeća, kao što su odredbe koje obavljanje djelatnosti uvjetuju prethodnim odobrenjem, ne predstavljaju tehničke propise u smislu članka 1. točke 9. Direktive 83/189. Tehnički propisi u smislu te odredbe su specifikacije kojima se definiraju značajke proizvoda, a ne specifikacije koje se odnose na gospodarske subjekte (predmet C-194/94 CIA Security [1996.] ECR I-2201, stavak 25.; Predmet C-278/99 Van der Burg [2001.] ECR I-2015, točka 20.</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Međutim, nacionalnu odredbu treba kvalificirati kao tehnički propis u smislu članka 1. točke 9. Direktive 83/189 ako od predmetnih poduzeća zahtijeva da zatraže prethodno odobrenje svoje opreme (presuda CIA Security, t. 30.).</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Iz toga slijedi da je ‚tehnički propis’ u smislu članka 1. točke 9. Direktive 83/189 nacionalni propis kojim se operatorima usluga uvjetovanog pristupa nalaže da unesu opremu, dekodere ili sustave za digitalni prijenos i prijam televizijskih signala putem satelita koje namjeravaju staviti na tržište u registru i da dobiju prethodnu certifikaciju za te proizvode prije nego što ih mogu staviti na tržište.”</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Presuda od 26. rujna 2000.</w:t>
        </w:r>
      </w:hyperlink>
      <w:r>
        <w:t xml:space="preserve">, Unilever Italia, C-443/98, EU:C:2000:496, t. 25. i 26.</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Odredba o označivanju podrijetla maslinovog ulja je „tehnička specifikacija” jer je riječ o zahtjevu kojim se uređuje označivanje proizvoda.</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 U tom je pogledu dovoljno istaknuti da se, u skladu s njezinim člankom 1. stavkom 1., Direktiva 83/189 smatra „proizvodima” kako industrijskih tako i poljoprivrednih proizvoda te da se, u skladu sa stavkom 2. istog članka, Direktivom 83/189 kao „tehnička specifikacija” smatra svaka specifikacija sadržana u dokumentu kojim se utvrđuju tražene značajke proizvoda, uključujući zahtjeve koji se primjenjuju na proizvod u pogledu označivanja. Nacionalna pravila koja sadržavaju takve specifikacije tehničke su specifikacije u smislu Direktive 83/189, neovisno o razlozima na temelju kojih su usvojena (vidjeti u tom smislu presudu Suda od 11. srpnja 1997., Bic Benelux/Belgijska Država, C-13/96, Zb., str. I-1753., t. 19.).</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Stoga pobijani zakon, kojim se uređuje označivanje podrijetla maslinovog ulja, sadržava pravila koja treba kvalificirati kao „tehničke specifikacije” u smislu Direktive 83/189.”</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Presuda od 12. listopada 2000.</w:t>
        </w:r>
      </w:hyperlink>
      <w:r>
        <w:t xml:space="preserve">, Snellers, C-314/98, EU:C:2000:557, t. 37. do 39.</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„Tehnička specifikacija” mora se odnositi na proizvod kao takav. Uredba kojom se utvrđuju kriteriji za određivanje datuma na koji se smatra da je vozilo prvi put odobreno za prometovanje na javnim cestama u svrhu izdavanja potvrde o registraciji ne definira nikakvu značajku koja se zahtijeva za sam proizvod i stoga se ne može kvalificirati kao „tehnički propis”.</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pravila koja su, poput onih o kojima je riječ u glavnom postupku, namijenjena određivanju datuma od kojeg je vozilo prvi put odobreno za uporabu na javnim cestama nisu tehničke specifikacije u smislu Direktive 83/189 i stoga se ne mogu kvalificirati kao tehnički propisi obuhvaćeni područjem primjene te direktive.</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Članak 1. stavak 1. Direktive 83/189 predviđa da je, za proizvode poput onih o kojima je riječ u glavnom postupku, tehnička specifikacija za potrebe te direktive „specifikacija sadržana u dokumentu kojim se utvrđuju tražene značajke proizvoda”. Tehničke specifikacije u smislu Direktive 83/189 stoga moraju upućivati na proizvod kao takav; to uostalom potvrđuje neiscrpan popis predmetnih specifikacija naveden kao primjer u članku 1. stavku 1. te direktive.</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Uredbom se utvrđuje niz kriterija za utvrđivanje datuma na koji se smatra da je vozilo, za potrebe Wegenverkeersweta, prvi put odobreno za korištenje javne ceste u svrhu sastavljanja potvrde o registraciji. Uredbom se stoga ne definiraju svojstva koja se zahtijevaju za proizvod kao takav.”</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Presuda od 16. studenoga 2000.</w:t>
        </w:r>
      </w:hyperlink>
      <w:r>
        <w:rPr>
          <w:rFonts w:ascii="Times New Roman" w:hAnsi="Times New Roman" w:cs="Times New Roman" w:eastAsia="Times New Roman"/>
          <w:b/>
          <w:i/>
          <w:szCs w:val="20"/>
        </w:rPr>
        <w:t xml:space="preserve">, Donkersteeg, C-37/99, EU:C:2000:636, t. 30. i 31.</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Za poljoprivredne proizvode „tehnička specifikacija” je tekst kojim se definiraju njihova potrebna svojstva ili metode proizvodnje. Pravilo kojim se utvrđuju uvjeti za cijepljenje stoke pravilo je proizvodnje, a time i „tehnička specifikacija”.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Naime, kao što je to istaknuto u točki 20. ove presude, u skladu s člankom 1. stavkom 1. te direktive, „tehnička specifikacija” je „tehnička specifikacija” sadržana u dokumentu kojim se utvrđuju značajke koje se zahtijevaju za proizvod ili njegove metode i postupke proizvodnje.</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Pravilo poput onog iz članka 2. stavka 1. VBZA-a tehnička je specifikacija u smislu članka 1. stavka 1. Direktive. Kao što to pravilno tvrdi Komisija, s obzirom na to da su precizna i detaljna pravila o cijepljenju protiv bolesti Aujeszkoga povezana s proizvodnjom dotičnog poljoprivrednog proizvoda u užem smislu i moraju se poštovati tijekom cijelog proizvodnog ciklusa, to pravilo stoga definira „postupak” u proizvodnji tog proizvoda.”</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Presuda od 8. ožujka 2001.</w:t>
        </w:r>
      </w:hyperlink>
      <w:r>
        <w:t xml:space="preserve">, Van der Burg, C-278/99, EU:C:2001:143, t. 20.</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Uredba kojom se samo zabranjuje komercijalno oglašavanje, ali kojom se ne utvrđuju značajke koje se zahtijevaju za proizvod, ne predstavlja „tehničku specifikaciju” i stoga se ne može smatrati „tehničkim propisom”.</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U skladu s člankom 1. stavkom 1. Direktive 83/189, za potrebe te direktive, „tehnička specifikacija” je „specifikacija sadržana u dokumentu kojim se utvrđuju tražene značajke proizvoda”. Tehničke specifikacije u smislu Direktive 83/189 stoga se moraju odnositi na proizvod kao takav (vidjeti presudu Suda od 12. prosinca 2000., Snellers Auto’s/Algemeen Directeur van de Dienst Wegverkeer, C-314/98, Zb., str. I-0000., t. 38.). Međutim, zakonodavstvom kao što je članak C.11.1. stavak 1. Uredbe, kojim se samo zabranjuje metoda stavljanja na tržište, ne utvrđuju se značajke koje se zahtijevaju za proizvod.”</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Presuda od 6. lipnja 2002.</w:t>
        </w:r>
      </w:hyperlink>
      <w:r>
        <w:t xml:space="preserve">, Sapod Audic, C-159/00, EU:C:2002:343, t. 30. do 33.</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Odredba nacionalnog prava kojom se predviđa obveza označivanja ambalaže predstavlja „tehnički propis” o kojem treba obavijestiti u mjeri u kojoj podrazumijeva obvezu označivanja ili označivanja tog pakiranja.</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Stoga, budući da se čini da obveza identifikacije pakiranja propisana člankom 4. drugim stavkom Uredbe br. 92 – 377 ne podrazumijeva obvezu označivanja ili označivanja tog pakiranja, ne čini se nužno da se ta obveza odnosi na proizvod ili njegovo pakiranje kao takvo. Tumačena na taj način, ne može se reći da se tom odredbom utvrđuju značajke koje se zahtijevaju od proizvoda u smislu članka 1. stavka 1. Direktive 83/189 i da se stoga ne može smatrati tehničkom specifikacijom (vidjeti osobito presudu od 12. prosinca 2001., Van der Burg, C-278/99, Zb., str. I-2015., t. 20.).</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Međutim, valja istaknuti da je u okviru podjele nadležnosti predviđene člankom 234. UEZ-a na nacionalnom sudu da tumači nacionalno pravo, u ovom slučaju članak 4. drugi stavak Uredbe br. 92 – 377.</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Slijedom toga, Sud također mora razmotriti mogućnost da taj sud, s obzirom na sve činjenične i pravne elemente kojima raspolaže nacionalni sud, zaključi da članak 4. drugi stavak Uredbe br. 92 – 377 treba tumačiti na način da proizvođačima nameće obvezu označivanja ili označivanja pakiranja, a da pritom ne navodi koji se znak mora staviti.</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U tom bi slučaju trebalo smatrati da je ta odredba zapravo tehnička specifikacija u smislu Direktive 83/189 i da stoga, s obzirom na to da je obveza propisana uredbom u slučaju stavljanja na tržište pakiranih proizvoda na cijelom državnom području, ta odredba predstavlja tehnički propis.”</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Presuda od 8. rujna 2005.</w:t>
        </w:r>
      </w:hyperlink>
      <w:r>
        <w:t xml:space="preserve">, C-500/03, Komisija/Portugal, EU:C:2005:515, točka 30.</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Pravilo kojim se utvrđuje najveća duljina i visina rekreacijskih plovila i ograničava njihova pogonska snaga jest „tehnička specifikacija”.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(Budući da je presuda dostupna samo na francuskom i portugalskom jeziku, sljedeći tekst je prijevod.)</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Iz teksta članka 2. stavka 1. te uredbe proizlazi da ona sadržava tehničke specifikacije, u smislu članka 1. točke 3. Direktive 98/34, koje predstavljaju tehničke propise u smislu te direktive. Zahtjevi sadržani u toj uredbi odnose se na najveću duljinu i visinu te na ograničenje pogonske snage plovila za razonodu koja se upotrebljavaju u navigacijske svrhe. Ta se tehnička ograničenja primjenjuju na sve javne vodene lagune u javnoj usluzi u Portugalu, osim onih na rijeci Douro.”</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Presuda od 8. studenoga 2007.</w:t>
        </w:r>
      </w:hyperlink>
      <w:r>
        <w:t xml:space="preserve">, Schwibbert, C-20/05, EU:C:2007:652, t. 35. do 37.</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Nacionalne odredbe kojima se uvodi obveza stavljanja razlikovnog znaka na proizvode u svrhu njihova stavljanja na tržište u državi članici predstavljaju „tehničku specifikaciju” jer se radi o zahtjevima koji se odnose na označivanje i označivanje proizvoda.</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Kao što je to Sud presudio, pojam tehničke specifikacije pretpostavlja da se nacionalna mjera odnosi na proizvod ili njegovo pakiranje kao takav i stoga određuje jednu od traženih značajki proizvoda (vidjeti u tom smislu presudu Suda od 12. prosinca 2001., van der Burg, C-278/99, Zb., str. I-2015., t. 20.; Predmet C-390/99 Canal Satélite Digital [2002.] ECR I-607, stavak 45.; te presude Sapod Audic (t. 30.) i Lindberg (t. 57.).</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U ovom slučaju valja utvrditi, kao što je to istaknula nezavisna odvjetnica u točkama 46. i 48. svojeg mišljenja, da je razlikovni znak „SIAE”, namijenjen informiranju potrošača i nacionalnih tijela o zakonitosti reprodukcija, istaknut na stvarnom mediju koji sadržava intelektualno djelo, a time i na samom proizvodu. Stoga nije ispravno tvrditi, kao što su to učinili Società Italiana degli Autori ed Editori i talijanska vlada, da se taj znak odnosi samo na intelektualno djelo.</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Takav razlikovni znak predstavlja „tehničku specifikaciju” u smislu članka 1. točke 3. Direktive 98/34, s obzirom na to da je obuhvaćen zahtjevima koji se primjenjuju na predmetne proizvode u pogledu obilježavanja ili označivanja. Stoga, budući da je poštovanje te specifikacije obvezno de jure za stavljanje tih proizvoda na tržište, ona predstavlja „tehnički propis” u smislu članka 1. točke 11. te direktive (vidjeti u tom smislu presudu od 11. srpnja 1997., Bic Benelux, C-13/96, Zb., str. I-1753., t. 23.).”</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Presuda od 14. travnja 2011.</w:t>
        </w:r>
      </w:hyperlink>
      <w:r>
        <w:t xml:space="preserve">, Vlaamse Dierenartsenvereniging i Janssens, C-42/10, C-45/10 i C-57/10, EU:C:2011:253, t. 68. do 70.</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Direktiva se ne primjenjuje na putovnice za kućne ljubimce koje se ne mogu kvalificirati kao „proizvodi” jer ne mogu biti predmet komercijalnih transakcija. Nacionalne odredbe o putovnicama za kućne ljubimce stoga nisu „tehničke specifikacije” koje se moraju dostaviti Komisiji.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Sud je imao priliku istaknuti da su područjem slobodnog kretanja robe obuhvaćeni samo proizvodi koji se mogu vrednovati novcem i koji kao takvi mogu biti predmet poslovnih transakcija (vidjeti u tom smislu, među ostalim, presude Općeg suda od 8. srpnja 1968., Komisija/Italija, 7/68, Zb., str. 617., 626., i od 12. prosinca 2006., Komisija/Grčka, C-65/05, Zb., str. I-10341., t. 23. do 25.).</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Nesporno je da putovnice za kućne ljubimce, s obzirom na to da imaju jedinstveni broj i identificiraju određenu životinju, kao takve ne mogu biti predmet poslovnih transakcija.</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Stoga se te putovnice ne mogu kvalificirati kao „proizvodi” u smislu sudske prakse Suda; na njih se ne može primijeniti ni Direktiva 98/34. Slijedom toga, specifikacije poput onih sadržanih u belgijskom propisu o kojem je riječ u glavnom postupku ne mogu se kvalificirati kao tehničke specifikacije koje, u skladu s člankom 8. te direktive, moraju biti unaprijed priopćene Komisiji i, ako to nije moguće, nacionalni sud ih ne smije primijeniti (vidjeti u tom smislu presudu Suda od 12. srpnja 2007., Schwibbert, C-20/05, Zb., str. I-9447., t. 33. i 44. i navedenu sudsku praksu).”</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Presuda od 9. lipnja 2011.</w:t>
        </w:r>
      </w:hyperlink>
      <w:r>
        <w:t xml:space="preserve">, Intercommunale Intermosane i Fédération de l’industrie et du gaz, C-361/10, EU:C:2011:382, točke 14. do 18.</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Nacionalne odredbe kojima se utvrđuju minimalni zahtjevi za izgradnju električnih instalacija i sigurnost radnika ne predstavljaju „tehničke specifikacije” jer se njima utvrđuju opći ciljevi sigurnosti i zaštite bez izravnog upućivanja na proizvod ili njegovu ambalažu i bez definiranja njegovih svojstava.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valja utvrditi jesu li nacionalne odredbe o kojima je riječ u glavnom postupku obuhvaćene prvom kategorijom tehničkih propisa iz članka 1. točke 11. Direktive 98/34, odnosno pojmom „tehnička specifikacija”.</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Iz sudske prakse proizlazi da taj pojam, koji je definiran u članku 1. stavku 3. te direktive, pretpostavlja da se nacionalna mjera nužno odnosi na proizvod ili njegovo pakiranje kao takve i stoga određuje jedno od potrebnih obilježja proizvoda (vidjeti gore navedenu presudu Schwibbert, t. 35. i navedenu sudsku praksu).</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Kad je riječ o nacionalnim odredbama o kojima je riječ u glavnom postupku, valja istaknuti da je cilj minimalnih zahtjeva koji se odnose na izvođenje određenih električnih instalacija predviđenih tim odredbama osigurati sigurnost tih postrojenja kako bi se zaštitili radnici koji se njima koriste.</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Valja istaknuti da ti minimalni zahtjevi uključuju zahtjeve i opće ciljeve u području sigurnosti i zaštite, a da se pritom nužno ne upućuje na dotični proizvod ili njegovo pakiranje kao takvo i da se stoga ne utvrđuju njegova svojstva.</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Slijedom toga, nacionalne odredbe o kojima je riječ u glavnom postupku ne sadržavaju tehničke specifikacije u smislu Direktive 98/34.”</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Presuda od 19. srpnja 2012.</w:t>
        </w:r>
      </w:hyperlink>
      <w:r>
        <w:t xml:space="preserve">, Fortuna i dr., C-213/11, C-214/11 i C-217/11, EU:C:2012:495, t. 28. do 30.</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Nacionalne odredbe kojima se ograničava rad jeftinih automata za igre na sreću izvan kasina nisu „tehnički propisi” jer se ne odnose na značajke automata za igre na sreću ili njihovo pakiranje.</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kako bi nacionalna mjera bila obuhvaćena prvom kategorijom tehničkih propisa iz članka 1. točke 11. Direktive 98/34, odnosno pojmom „tehnička specifikacija”, ta se mjera nužno mora odnositi na proizvod ili njegovo pakiranje kao takve i stoga utvrditi jedno od zahtijevanih svojstava proizvoda (vidjeti gore navedenu presudu Intercommunale Intermosane i Fédération de l’industrie et du gaz, t. 15.).</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Dovoljno je utvrditi da se prijelazne odredbe Zakona o igrama na sreću odnose na odobrenja za obavljanje djelatnosti igara na sreću na automatima s niskim prihodima. Ne upućuju na automate za igre na sreću s niskim cijenama ni na njihovu ambalažu kao takve i stoga ne određuju njihova svojstva.</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Slijedom toga, nacionalne odredbe o kojima je riječ u glavnom postupku ne sadržavaju tehničke specifikacije u smislu Direktive 98/34.”</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Presuda od 10. srpnja 2014.</w:t>
        </w:r>
      </w:hyperlink>
      <w:r>
        <w:rPr>
          <w:b/>
          <w:i/>
        </w:rPr>
        <w:t xml:space="preserve">, Ivansson i dr.</w:t>
      </w:r>
      <w:r>
        <w:rPr>
          <w:sz w:val="25"/>
        </w:rPr>
        <w:t>,</w:t>
      </w:r>
      <w:r>
        <w:rPr>
          <w:b/>
          <w:i/>
        </w:rPr>
        <w:t xml:space="preserve"> C-307/13, EU:C:2014:2058, t. 19. do 23</w:t>
      </w:r>
      <w:r>
        <w:rPr>
          <w:sz w:val="25"/>
        </w:rPr>
        <w:t>.</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Pravilo kojim se utvrđuje opći cilj udobnosti peradi i kvalitete objekata za uzgoj nije „tehnička specifikacija” jer se njime ne utvrđuju svojstva proizvoda i nije dovoljno precizno da bi se definirala metoda proizvodnje.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Valja pojasniti da, u skladu sa sudskom praksom, taj pojam [tehničke specifikacije] pretpostavlja da se nacionalna mjera nužno odnosi na proizvod ili njegovo pakiranje kao takve i da stoga predviđa jedno od traženih obilježja proizvoda (vidjeti u tom smislu presudu Fortuna i dr., EU:C:2012:495, t. 28.).</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Osim toga, što se tiče poljoprivrednih proizvoda, Sud je pojasnio da je tehnička specifikacija sadržana u dokumentu kojim se utvrđuju značajke koje se zahtijevaju za proizvod ili njegove načine i postupke proizvodnje (vidjeti u tom smislu presudu Donkersteeg, C-37/99, EU:C:2000:636, t. 30.).</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Kao prvo, valja istaknuti da, iako se članak 9. DSK-a odnosi na udobnost i kvalitetu objekata u kojima se drže kokoši za proizvodnju jaja, odnosno obogaćenih kaveza, ta odredba ipak ne definira, kao što je to istaknula poljska vlada, obilježja koja moraju imati predmeti o kojima je riječ u glavnom postupku.</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S druge strane, čak i pod pretpostavkom da se može smatrati da se ta odredba odnosi na metodu proizvodnje jer se, kao što je to navedeno u prethodnoj točki, odnosi na držanje kokoši za proizvodnju jaja u obogaćenim kavezima, ipak valja istaknuti da se u toj odredbi samo općenito navodi postojanje gnijezda, jastuka i pješčanih kupki u tim postrojenjima a da se pritom ne pojašnjavaju različiti aspekti tog sustava smještaja. Naime, članak 9. Dekreta (1988:539) ne sadrži nikakvu naznaku, primjera radi, o dimenziji, broju, temperaturi, održavanju i funkcioniranju navedenih kaveza u smislu izlaganja kokoši nesilica svjetlosti ili opremi za hranjenje i napajanje. Budući da u članku 9. DSK-a ne postoji nikakvo pojašnjenje, ne može se smatrati da se njime utvrđuju načini i postupci proizvodnje.</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Osim toga, valja istaknuti da, navodeći da „sustav smještaja mora biti takav da se stopa smrtnosti i poremećaji ponašanja kokoši održavaju na niskoj razini” bez ikakve druge naznake, u članku 9. prvom stavku DSK-a samo se navode opći ciljevi u pogledu dobrobiti kokoši za proizvodnju jaja, pri čemu se nužno ne upućuje na dotični proizvod i stoga se ne utvrđuju značajke tog proizvoda (vidjeti analogijom presudu Intercommunale Intermosane i Fédération de l’Industrie et du gaz, C-361/10, EU:C:2011:382, t. 17.).”</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Presuda od 27. listopada 2016.</w:t>
        </w:r>
      </w:hyperlink>
      <w:r>
        <w:t xml:space="preserve">, James Elliott Construction, C-613/14, EU:C:2016:821, t. 67.</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Nacionalne odredbe kojima se utvrđuju implicitni ugovorni uvjeti u pogledu kvalitete prodanih proizvoda ne predstavljaju „tehničke specifikacije” jer se njima ne definiraju značajke predmetnog proizvoda.</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U ovom slučaju, s jedne strane, proizlazi da odredbe poput onih o kojima je riječ u glavnom postupku, same po sebi ili kako ih tumače irski sudovi, nisu obuhvaćene pojmom „tehnička specifikacija” u smislu članka 1. točke 3. Direktive 98/34. Taj pojam obuhvaća samo nacionalne mjere koje upućuju na proizvod ili njegovo pakiranje kao takve i tako određuju jedno od zahtijevanih obilježja proizvoda (presuda od 10. srpnja 2014., Ivansson i dr., C 307/13</w:t>
        <w:noBreakHyphen/>
        <w:t xml:space="preserve">, EU:C:2014:2058, t. 19. i navedena sudska praksa). To očito nije slučaj sa zahtjevom koji se općenito primjenjuje na prodaju svih proizvoda, osim ako su se stranke drukčije dogovorile.”</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Presuda od 1. veljače 2017.</w:t>
        </w:r>
      </w:hyperlink>
      <w:r>
        <w:t xml:space="preserve">, Município de Palmela, C-144/16, EU:C:2017:76, t. 30.</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Propis kojim se zahtijeva da se u prostoru za slobodno vrijeme prikazuju informacije o najvećem kapacitetu tog područja ne predstavlja „tehničku specifikaciju” jer se njome ne utvrđuju svojstva proizvoda.</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takva odredba ne ulazi u kategoriju tehničkih specifikacija u smislu članka 1. točke 3. Direktive 98/34, s obzirom na to da je nesporno da odredbe kojima se utvrđuju zahtjevi i opći ciljevi u području sigurnosti i zaštite, a da se pritom nužno ne upućuje na dotični proizvod ili njegovo pakiranje kao takvo i stoga ne određuju njegova svojstva, ne predstavljaju tehničke specifikacije (vidjeti u tom smislu presudu od 9. lipnja 2011., Intercommunale Intermosane i Fédération de l’industrie et du gaz, C-361/10, EU:C:2011:382, t. 17. i 18.).”</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Presuda od 26. rujna 2018.</w:t>
        </w:r>
      </w:hyperlink>
      <w:r>
        <w:t xml:space="preserve">, Van Gennip i dr., C-137/17, EU:C:2018:771, t. 38.</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odredbe kojima se stavljanje na tržište proizvoda uvjetuje time da kupac posjeduje odobrenje nisu obuhvaćene pojmom „tehničke specifikacije” jer se njima ne definiraju svojstva samog proizvoda ili njegova pakiranja.</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Kad je riječ, kao prvo, o pojmu „tehnička specifikacija”, valja podsjetiti na to da taj pojam pretpostavlja da se nacionalna mjera nužno odnosi na proizvod ili njegovo pakiranje kao takvog i stoga određuje jednu od traženih značajki proizvoda, poput dimenzija, prodajnih oznaka, označivanja ili obilježavanja (presuda od 10. srpnja 2014., Ivansson i dr., C 307/13</w:t>
        <w:noBreakHyphen/>
        <w:t xml:space="preserve">, EU:C:2014:2058, t. 19. i navedena sudska praksa). No, kako je to istaknuo nezavisni odvjetnik u točki 74. svojeg mišljenja, belgijski propis ne odnosi se na pirotehnička sredstva ili njihovo pakiranje kao takve, tako da taj propis ne određuje jednu od uvjetovanih karakteristika tih proizvoda. Stoga taj propis ne predstavlja „tehničku specifikaciju” u smislu članka 1. točke 3. Direktive 98/34.”</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Presuda od 28. svibnja 2020.</w:t>
        </w:r>
      </w:hyperlink>
      <w:r>
        <w:t xml:space="preserve">, ECO-WIND Construction, C-727/17, EU:C:2020:393, t. 36. i 37.</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Uredba kojom se propisuje minimalna udaljenost za postavljanje vjetroturbina ne predstavlja „tehničku specifikaciju” jer se njome ne utvrđuju svojstva proizvoda.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kad je riječ o eventualnom razvrstavanju istog zahtjeva kao tehničkog propisa na temelju toga što je obuhvaćen kategorijom „tehničke specifikacije”, valja podsjetiti na to da tehnička specifikacija pretpostavlja da se nacionalna mjera kojom se ona propisuje odnosi na proizvod ili njegovo pakiranje kao takvo i da stoga predviđa jednu od traženih značajki tog proizvoda (presude od 21. travnja 2005., Lindberg, C-267/03, EU:C:2005:246, t. 57. i od 19. srpnja 2012., Fortuna i dr., C-213/11, C-214/11 i C-217/11, EU:C:2012:495, t. 28.).</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Međutim, u ovom predmetu propis o kojem je riječ u glavnom postupku samo uređuje postavljanje vjetroelektrana, određujući ograničenje najmanje udaljenosti koje treba poštovati kako bi se ona postavila. Slijedom toga, taj propis ne upućuje na proizvod kao takav, u ovom slučaju na generator energije vjetra, i stoga ne predviđa jednu od značajki koje se zahtijevaju od tog proizvoda u smislu članka 1. stavka 1. točke (f) Direktive 2015/1535, u vezi s člankom 1. stavkom 1. točkom (c) te direktive.”</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Presuda od 22. listopada 2020.</w:t>
        </w:r>
      </w:hyperlink>
      <w:r>
        <w:t xml:space="preserve">, Sportingbet i Internet Opportunity Entertainment, C-275/19, EU:C:2020:856, t. 42. i 43.</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Nacionalni propis kojim se obavljanje igara na sreću ograničava na državu i kojim se zahtijeva da se dozvole izdaju samo javnim društvima nije „tehnička specifikacija” jer se njime ne definiraju značajke koje se zahtijevaju za proizvod.</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U skladu s člankom 1. točkom 1. Direktive 83/189, „tehnička specifikacija” u smislu te direktive znači specifikacija sadržana u dokumentu kojim se utvrđuju svojstva koja mora imati određeni proizvod, kao što su razine kakvoće, radne značajke, sigurnost ili dimenzije, uključujući zahtjeve koji se odnose na terminologiju, simbole, ispitivanje i metode ispitivanja, pakiranje, obilježavanje i označivanje (vidjeti u tom smislu presudu od 8. ožujka 2001., van der Burg, C-278/99, EU:C:2001:143, t. 20.).</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Budući da se člancima 3. i 9. Uredbe sa zakonskom snagom br. 422/89 utvrđuju pravila o koncesiji za priređivanje igara na sreću ili igara na sreću te uvjeti i zone za obavljanje te djelatnosti, ne čini se da se te odredbe odnose na značajke koje se zahtijevaju za proizvod u smislu članka 1. stavka 1. Direktive 83/189, tako da ih se ne može kvalificirati kao „tehnički propis” u smislu članka 1. stavka 5. te direktive.”</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Ostali zahtjevi</w:t>
      </w:r>
      <w:bookmarkEnd w:id="46"/>
      <w:bookmarkEnd w:id="47"/>
    </w:p>
    <w:p w14:paraId="48370E42" w14:textId="77777777">
      <w:pPr>
        <w:pStyle w:val="BodyText"/>
      </w:pPr>
    </w:p>
    <w:p w14:paraId="032AC50F" w14:textId="77777777">
      <w:pPr>
        <w:pStyle w:val="P68B1DB1-BodyText11"/>
        <w:ind w:left="567"/>
        <w:rPr>
          <w:i/>
        </w:rPr>
      </w:pPr>
      <w:r>
        <w:t xml:space="preserve">„‚ostali zahtjevi’ znači zahtjev, osim tehničke specifikacije, uveden za proizvod posebno u svrhu zaštite potrošača ili okoliša i koji utječe na njegov životni ciklus nakon njegova stavljanja na tržište, kao što su uvjeti uporabe, recikliranja, ponovne uporabe ili odlaganja, ako takvi uvjeti mogu znatno utjecati na sastav ili prirodu proizvoda ili njegovo stavljanje na tržište;”</w:t>
      </w:r>
    </w:p>
    <w:p w14:paraId="1AD68414" w14:textId="77777777">
      <w:pPr>
        <w:pStyle w:val="BodyText"/>
        <w:ind w:left="567"/>
        <w:rPr>
          <w:i/>
          <w:iCs/>
        </w:rPr>
      </w:pPr>
    </w:p>
    <w:p w14:paraId="3295AC84" w14:textId="258D2B2D">
      <w:pPr>
        <w:pStyle w:val="BodyText"/>
        <w:ind w:left="1440"/>
        <w:jc w:val="right"/>
      </w:pPr>
      <w:r>
        <w:t xml:space="preserve">(Članak 1. stavak 1. točka (d) Direktive (EU) 2015/1535)</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Presuda od 21. travnja 2005.</w:t>
        </w:r>
      </w:hyperlink>
      <w:r>
        <w:t xml:space="preserve">, Lindberg, C-267/03, EU:C:2005:246, točke 68. do 78.</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Nacionalna zabrana određenih igara na sreću može se kvalificirati kao „drugi zahtjev” ako može utjecati na sastav, prirodu ili stavljanje na tržište proizvoda. Međutim, ako zabrana ne ostavlja prostora za uporabu proizvoda, to će se opisati kao odredba o zabrani (vidjeti dio I. pododjeljak e. „Odredbe o zabrani” ovog dokumenta).</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valja utvrditi da se čini da je nacionalna mjera poput zabrane o kojoj je riječ u glavnom postupku posebno obuhvaćena pojmom „ostali zahtjevi” koji je Direktivom 94/10 unesen u Direktivu 83/189 kako bi se proširilo njezino područje primjene i da stoga nije obuhvaćen kategorijom tehničkih specifikacija.</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Takva je mjera zahtjev nametnut u vezi s proizvodom, odnosno automatima za igre na sreću, u biti radi zaštite potrošača, u ovom slučaju predmetnih igrača.</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Stoga se zabrana poput one predviđene relevantnim odredbama izmijenjenog Zakona o lutriji odnosi na uporabu proizvoda u smislu članka 1. stavka 9. Direktive 83/189.</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Osim toga, zahtjev o kojem je riječ u glavnom postupku nije nametnut automatima za igre na sreću u svrhu njihova stavljanja na tržište, nego se odnosi na njihov životni ciklus nakon njihova stavljanja na tržište u smislu definicije „ostali zahtjevi” iz članka 1. stavka 3. Direktive 83/189.</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Kako bi bio obuhvaćen „ostalim zahtjevima” u smislu članka 1. stavka 3. Direktive 83/189, zahtjev kao što je zabrana uporabe automata za igre na sreću o kojima je riječ u glavnom postupku mora biti „uvjet” uporabe, koji može znatno utjecati na sastav ili prirodu proizvoda ili njegovu prodaju.</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Međutim, postavlja se pitanje treba li tu zabranu smatrati „uvjetom” za uporabu dotičnog proizvoda ili je riječ o nacionalnoj mjeri koja ulazi u treću kategoriju tehničkih propisa iz članka 1. stavka 9. Direktive 83/189, koja je također u nju unesena Direktivom 94/10, odnosno „zakoni [...] država članica kojima se zabranjuje proizvodnja, uvoz, stavljanje na tržište ili uporaba proizvoda”.</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Je li nacionalna mjera poput one o kojoj je riječ u glavnom postupku obuhvaćena jednom ili drugom od tih dviju kategorija tehničkih propisa ovisi o dosegu zabrane predviđene tom mjerom.</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U tom je pogledu važno da, za razliku od druge kategorije koja se sastoji od drugih zahtjeva u smislu članka 1. stavka 3., ta treća kategorija tehničkog propisa definirana u članku 1. stavku 9. Direktive 83/189 ne uključuje uvjet prema kojem predmetna zabrana mora biti takva da znatno utječe na sastav ili prirodu proizvoda ili njegovo stavljanje na tržište.</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Da bi bile obuhvaćene tom trećom kategorijom tehničkog propisa koji se odnosi na zabranu, među ostalim, uporabe, mjere moraju imati doseg koji znatno nadilazi ograničenje određenih mogućih uporaba predmetnog proizvoda i stoga se ne smije ograničiti samo na ograničenje njegove uporabe.</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Kao što je to istaknuo nezavisni odvjetnik u točki 70. svojeg mišljenja, ta kategorija tehničkih propisa osobito je namijenjena tomu da obuhvati nacionalne mjere koje ne ostavljaju mjesta nikakvoj razumnoj uporabi dotičnog proizvoda osim isključivo marginalnog. Na nacionalnom je sudu da provjeri je li zabrana koja proizlazi iz nacionalne odredbe o kojoj je riječ u glavnom postupku takva mjera.</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Ako nakon takvog ispitivanja suda koji je uputio zahtjev dokaže da to nije slučaj u glavnom postupku, ta nacionalna odredba mogla bi se smatrati „drugim zahtjevom” jer je nesporno da je poštovanje tog zahtjeva pravno obvezno za uporabu proizvoda u dotičnoj državi članici u smislu članka 1. stavka 9. Direktive 83/189. Međutim, u tom je slučaju na sudu koji je uputio zahtjev da provjeri može li predmetna zabrana znatno utjecati na sastav ili prirodu proizvoda ili njegovo stavljanje na tržište u smislu članka 1. stavka 3.”</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Presuda od 9. lipnja 2011.</w:t>
        </w:r>
      </w:hyperlink>
      <w:r>
        <w:t xml:space="preserve">, Intercommunale Intermosane i Fédération de l’industrie et du gaz, C-361/10, EU:C:2011:382, t. 20. i 21.</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Nacionalne odredbe kojima se utvrđuju minimalni zahtjevi za izgradnju električnih instalacija i sigurnost radnika ne mogu se kvalificirati kao „ostali zahtjevi” jer njihova opća priroda ne omogućuje značajan utjecaj na sastav, prirodu ili stavljanje na tržište predmetnih proizvoda.</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Prema sudskoj praksi, da bi ih se moglo kvalificirati kao „ostale zahtjeve” u smislu članka 1. točke 4. Direktive 98/34, minimalni zahtjevi predviđeni predmetnim odredbama moraju biti „uvjeti” koji mogu znatno utjecati na sastav ili prirodu dotičnog proizvoda ili njegovo stavljanje na tržište (vidjeti u tom smislu presudu Lindberg, t. 72.).</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Uzimajući u obzir opću prirodu navedenih zahtjeva, oni se ne mogu izjednačiti s takvim uvjetima niti se stoga mogu kvalificirati kao „ostali zahtjevi” u smislu članka 1. stavka 4. Direktive.”</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Presuda od 19. srpnja 2012.</w:t>
        </w:r>
      </w:hyperlink>
      <w:r>
        <w:t xml:space="preserve">, Fortuna i dr., C-213/11, C-214/11 i C-217/11, EU:C:2012:495, t. 35., 36. i 40.</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Nacionalne odredbe kojima se ograničava rad automata za igre na sreću izvan kasina mogu se kvalificirati kao „ostali zahtjevi” i stoga kao „tehnička pravila” ako znatno utječu na prirodu ili stavljanje na tržište predmetnih proizvoda.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sud je presudio da, kako bi ih se moglo kvalificirati kao „ostale zahtjeve” u smislu članka 1. točke 4. Direktive 98/34, predmetne nacionalne mjere moraju biti „uvjeti” koji mogu znatno utjecati na sastav, prirodu ili stavljanje na tržište dotičnog proizvoda (vidjeti u tom smislu gore navedene presude Lindberg, t. 72., i Intercommunale Intermosane i Fédération de l’industrie et du gaz, t. 20.).</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U tom pogledu valja istaknuti da prijelazne odredbe Zakona o igrama na sreću propisuju uvjete koji mogu utjecati na stavljanje na tržište automata za igre na sreću niskih cijena. Zabrana izdavanja, produljenja ili izmjene odobrenja za aktivnosti povezane s igrama na automatima s niskim primanjima izvan kasina takva je da izravno utječe na trgovinu automatima za igre na sreću s niskim cijenama.”</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na postavljena pitanja valja odgovoriti tako da članak 1. točku 11. Direktive 98/34 treba tumačiti na način da nacionalne odredbe, kao što su one Zakona o igrama na sreću, koje bi mogle imati za učinak ograničavanje ili čak postupno onemogućavanje odvijanja igara na automatima s niskim navikama bilo gdje osim u kasinima i igračnicama, mogu predstavljati „tehničke propise” u smislu te odredbe, čiji nacrti moraju biti predmet priopćenja u skladu s člankom 8. stavkom 1. prvim podstavkom Direktive, ako je utvrđeno da su te odredbe uvjeti koji mogu znatno utjecati na prirodu ili stavljanje na tržište dotičnog proizvoda, što je na sudu koji je uputio zahtjev da provjeri.”</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Presuda od 10. srpnja 2014.</w:t>
        </w:r>
      </w:hyperlink>
      <w:r>
        <w:rPr>
          <w:b/>
          <w:i/>
        </w:rPr>
        <w:t xml:space="preserve">, Ivansson i dr.</w:t>
      </w:r>
      <w:r>
        <w:rPr>
          <w:sz w:val="25"/>
        </w:rPr>
        <w:t>,</w:t>
      </w:r>
      <w:r>
        <w:rPr>
          <w:b/>
          <w:i/>
        </w:rPr>
        <w:t xml:space="preserve"> C-307/13, EU:C:2014:2058, t. 26. do 28</w:t>
      </w:r>
      <w:r>
        <w:rPr>
          <w:sz w:val="25"/>
        </w:rPr>
        <w:t>.</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Pravilo kojim se utvrđuje opći cilj udobnosti peradi i kvalitete objekata za uzgoj nije „drugi zahtjev” jer njegova opća priroda vjerojatno neće utjecati na sastav, prirodu ili stavljanje na tržište konačnog proizvoda.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Sud je već presudio da, kako bi ih se moglo kvalificirati kao „ostale zahtjeve” u smislu članka 1. točke 4. Direktive 98/34, predmetne nacionalne mjere moraju biti „uvjeti” koji mogu znatno utjecati na sastav ili prirodu dotičnog proizvoda ili njegovo stavljanje na tržište (vidjeti presudu Fortuna i dr., EU:C:2012:495, t. 35. i navedenu sudsku praksu).</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Sud je također smatrao da, kada su zahtjevi sadržani u nacionalnoj mjeri općeg karaktera, oni ne mogu predstavljati takve uvjete ni posljedično biti kvalificirani kao „ostali zahtjevi” u smislu navedenog članka 1. točke 4. (vidjeti u tom smislu presudu Intercommunale Intermosane i Fédération de l’industrie et du gaz, EU:C:2011:382, t. 21.).</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Vrlo općenita formulacija stavka 9. DUS-a, kao što je to navedeno u točkama 22. i 23. ove presude, stoga isključuje mogućnost da se za tu odredbu smatra da postavlja uvjete za sastav ili prirodu predmetnih proizvoda ili za njihovo stavljanje na tržište.”</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Presuda od 11. lipnja 2015.</w:t>
        </w:r>
      </w:hyperlink>
      <w:r>
        <w:t xml:space="preserve">, Berlington Hungary i dr., C-98/14, EU:C:2015:386, t. 98. i 99.</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Nacionalne odredbe kojima se zabranjuje iskorištavanje automata za igre na sreću izvan kasina predstavljaju „ostale zahtjeve” jer mogu znatno utjecati na prirodu ili stavljanje na tržište takvih automata.</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Sud je već presudio da nacionalna mjera kojom se organizacija određenih igara na sreću ograničava samo na kasina predstavlja „tehnički propis” u smislu članka 1. točke 11. te direktive jer može znatno utjecati na prirodu ili prodaju proizvoda korištenih u tom kontekstu (vidjeti u tom smislu presude Komisija/Grčka, C-65/05, EU:C:2006:673, t. 61. i Fortuna i dr., spojeni predmeti C-213/11, C-214/11 i C-217/11, EU:C:2012:495, t. 24. i 40.).</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Međutim, zabrana korištenja automatima za igre na sreću izvan kasina, kao što je ona uvedena Zakonom o izmjeni zakona iz 2012., može znatno utjecati na prirodu ili stavljanje na tržište tih automata, koji su proizvodi koji mogu biti obuhvaćeni člankom 34. UFEU-a (vidjeti presudu Läärä i dr., C-124/97, EU:C:1999:435, t. 20. i 24.), smanjenjem prodajnih mjesta na kojima se mogu koristiti.”</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Presuda od 13. listopada 2016.</w:t>
        </w:r>
      </w:hyperlink>
      <w:r>
        <w:t xml:space="preserve">, Naczelnik Urzędu Celnego I w Ł., C-303/15, EU:C:2016:771, t. 25. do 30.</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Odredba kojom se obavljanje djelatnosti igara na sreću uvjetuje posjedovanjem dozvole za rad kasina ne predstavlja „drugi uvjet”. Naime, iako odredbe kojima se organizacija igara na sreću ograničava na kasina mogu znatno utjecati na stavljanje na tržište povezanih proizvoda smanjenjem njihovih distribucijskih kanala, pravila kojima se uređuju uvjeti poslovnog nastana poduzetnika ne mogu imati značajan utjecaj na prirodu ili prodaju korištenih proizvoda.</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 Naposljetku, kako bi se utvrdilo je li članak 6. stavak 1. Zakona o igrama na sreću obuhvaćen područjem primjene članka 1. točke 4. Direktive 98/34 ili članka 1. točke 11. te direktive, valja provjeriti može li takva odredba znatno utjecati na sastav, prirodu ili stavljanje na tržište dotičnog proizvoda, u ovom slučaju automata za igre na sreću, kao „uvjeta” koji se odnosi na uporabu dotičnog proizvoda ili je riječ o nacionalnoj mjeri koja pripada kategoriji zabrana iz članka 1. točke 11. te direktive.</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S tim u vezi, valja podsjetiti da članak 14. stavak 1. Zakona o igrama na sreću propisuje da se igre s kuglicama, kartama, kockicama i na automatima mogu organizirati samo u casinima. Ta je odredba dostavljena Komisiji kao „tehnički propis” uzimajući u obzir činjenicu da je Sud već presudio, s jedne strane, da nacionalna mjera koja organizaciju određenih igara na sreću ograničava samo na casina predstavlja „tehnički propis” u smislu članka 1. točke 11. Direktive 98/34, s obzirom na to da ona može značajno utjecati prirodu ili prodaju proizvoda upotrijebljenih u tom kontekstu i, s druge strane, da zabrana korištenja određenih proizvoda izvan casina može značajno utjecati na njihovu prodaju na način da umanjuje prilike za njihovu upotrebu (vidjeti u tom smislu presudu od 11. lipnja 2015., Berlington Hungary i dr., C-98/14, EU:C:2015:386, t. 98. i 99.).</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Suprotno tomu, članak 6. stavak 1. tog zakona, koji predviđa posjedovanje dozvole za vođenje casina za organizaciju igara s kuglicama, kartama, kockicama i na automatima, nije dostavljen Komisiji.</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28.Komisijin argument prema kojem uska veza između dviju predmetnih odredbi nacionalnog prava dovodi do nemogućnosti izdvajanja članka 14. stavka 1. Zakona o igrama na sreću od članka 6. stavka 1. tog zakona ne može se prihvatiti. Naime, kao što je to istaknuo nezavisni odvjetnik u točkama 38. do 44. svojega mišljenja, članak 6. stavak 1. navedenog zakona i članak 14. stavak 1. istog zakona imaju različite funkcije i različita područja primjene. Opis iz članka 6. stavka 1. tog zakona, u kojem se predmetno odobrenje navodi kao odobrenje „za upravljanje kasinom za igre na sreću”, ne mijenja taj zaključak.</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Stoga valja utvrditi da se članak 6. stavak 1. Zakona o igrama na sreću ne može smatrati „ostalim zahtjevima” u smislu članka 1. točke 4. Direktive 98/34 jer dozvola koju ta nacionalna odredba zahtijeva za organizaciju igara na sreću predstavlja uvjet nametnut s obzirom na djelatnost organizacije takvih igara, za razliku od članka 14. stavka 1. tog zakona koji nameće uvjete s obzirom na predmetne proizvode tako što zabranjuje njihovo korištenje izvan casina.</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Osim toga, prema ustaljenoj sudskoj praksi, odredbe nacionalnog prava kojima se samo utvrđuju uvjeti za poslovni nastan ili pružanje usluga od strane poduzeća, kao što su odredbe koje obavljanje poslovne djelatnosti uvjetuju prethodnim odobrenjem, ne predstavljaju tehničke propise u smislu članka 1. točke 11. Direktive 98/34 (vidjeti u tom smislu presudu od 4. veljače 2016., Ince, C-336/14, EU:C:2016:72, t. 76. i navedenu sudsku praksu).”</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Presuda od 27. listopada 2016.</w:t>
        </w:r>
      </w:hyperlink>
      <w:r>
        <w:t xml:space="preserve">, James Elliott Construction, C-613/14, EU:C:2016:821, t. 67. do 69.</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Nacionalne odredbe kojima se predviđaju implicitni ugovorni uvjeti u pogledu tržišne kakvoće, prikladnosti za uporabu ili kvalitete prodanih proizvoda ne predstavljaju „ostale zahtjeve” jer zbog njihove opće prirode nije vjerojatno da će znatno utjecati na sastav, prirodu ili stavljanje na tržište predmetnih proizvoda.</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U ovom slučaju, s jedne strane, proizlazi da odredbe poput onih o kojima je riječ u glavnom postupku, same po sebi ili kako ih tumače irski sudovi, nisu obuhvaćene pojmom „tehnička specifikacija” u smislu članka 1. točke 3. Direktive 98/34. Taj pojam obuhvaća samo nacionalne mjere koje upućuju na proizvod ili njegovo pakiranje kao takve i tako određuju jedno od zahtijevanih obilježja proizvoda (presuda od 10. srpnja 2014., Ivansson i dr., C-307/13, EU:C:2014:2058, t. 19. i navedena sudska praksa). To očito nije slučaj sa zahtjevom koji se, osim u slučaju suprotne volje stranaka, općenito primjenjuje na prodaju svakog proizvoda.</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Kao drugo i zbog istog razloga, te se odredbe ne mogu kvalificirati kao „ostali zahtjevi” u smislu članka 1. točke 4. Direktive 98/34.</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U tom pogledu Sud je pojasnio da, kako bi ih se moglo kvalificirati kao „ostale zahtjeve” u smislu te odredbe, predmetne nacionalne mjere moraju biti uvjeti koji mogu znatno utjecati na sastav ili prirodu dotičnog proizvoda ili njegovo stavljanje na tržište, s obzirom na to da opći zahtjevi ne mogu predstavljati takve uvjete niti ih se stoga može kvalificirati kao „ostale zahtjeve” (vidjeti presudu od 10. srpnja 2014., Ivansson i dr., C-307/13, EU:C:2014:2058, t. 26. i 27. i navedenu sudsku praksu).”</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Presuda od 1. veljače 2017.</w:t>
        </w:r>
      </w:hyperlink>
      <w:r>
        <w:t xml:space="preserve">, Município de Palmela, C-144/16, EU:C:2017:76, t. 23. i 33.</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Odredba kojom se utvrđuju zahtjevi u pogledu pakiranja određeni za proizvod radi zaštite potrošača „drugi je zahtjev” jer se odnosi na životni ciklus proizvoda nakon stavljanja na tržište i znatno utječe na njihov sastav i stavljanje na tržište.</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S druge strane, uredba kojom se zahtijeva da informacije o maksimalnom kapacitetu prostora za razonodu budu prikazane na više mjesta u tom području nije „drugi zahtjev” zbog svoje opće prirode.</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Kad je riječ o članku 16. stavcima 1. i 2. Uredbe EJR, kako je izmijenjena Uredbom sa zakonskom snagom br. 119/2009, valja utvrditi da je, kao što je to naveo i sud koji je uputio zahtjev, taj članak zaista tehnički propis u smislu direktiva 83/189 i 98/34 s obzirom na to da se njime propisuju zahtjevi koje radi zaštite potrošača mora ispunjavati proizvod, a koji se odnose na njegov životni ciklus nakon stavljanja u promet i znatno utječu na sastav i prodaju tog proizvoda. Stoga ta odredba ulazi u kategoriju „ostali zahtjevi” u smislu članka 1. stavka 3. Direktive 83/189 i članka 1. točke 4. Direktive 98/34.”</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odredba poput one o kojoj je riječ u glavnom postupku ne predstavlja „drugi zahtjev” u smislu članka 1. točke 4. Direktive 98/34, uzimajući u obzir opću prirodu zahtjeva koji se u njoj navode (vidjeti u tom smislu presudu od 9. lipnja 2011., Intercommunale Intermosane i Fédération de l’industrie et du gaz, C 361/10</w:t>
        <w:noBreakHyphen/>
        <w:t xml:space="preserve">, EU:C:2011:382, t. 21.). S druge strane, ne sadržava zabrane koje bi ga mogle uvrstiti u kategoriju zabrana iz članka 1. stavka 11. te direktive.”</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Presuda od 26. rujna 2018.</w:t>
      </w:r>
      <w:r>
        <w:rPr>
          <w:b/>
          <w:bCs/>
          <w:i/>
          <w:iCs/>
          <w:color w:val="0000FF"/>
          <w:sz w:val="22"/>
          <w:szCs w:val="22"/>
          <w:u w:val="single"/>
        </w:rPr>
        <w:fldChar w:fldCharType="end"/>
        <w:t xml:space="preserve">, Van Gennip i dr., C-137/17, EU:C:2018:771, t. 39. i 40.</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Nacionalne odredbe koje stavljanje proizvoda na tržište uvjetuju posjedovanjem odobrenja ne ulaze u pojam „ostali zahtjevi” jer se radi o uvjetu koji se ne nameće proizvodima, nego kupcima.</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što se tiče kategorije „ostali zahtjevi”, valja istaknuti da, kako bi se mogla kvalificirati kao „ostali zahtjevi” u smislu članka 1. točke 4. Direktive 98/34, nacionalna mjera mora biti „uvjet” koji može znatno utjecati na sastav, prirodu ili stavljanje na tržište dotičnog proizvoda (presuda od 13. listopada 2016., M. i S., C-303/15, EU:C:2016:771, t. 20. i navedena sudska praksa).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U tom pogledu valja navesti, poput nezavisnog odvjetnika u točki 76. mišljenja, da belgijski propis podvrgava prodaju pirotehničkih sredstava čiji je sadržaj pirotehničkog sastava veći od 1 kg tomu da kupac mora dobiti odobrenje. Stoga zahtijevano odobrenje ne predstavlja zahtjev za dotični proizvod, nego za potencijalne kupce i, neizravno, za gospodarske subjekte koji prodaju pirotehnička sredstva (vidjeti u tom smislu presude od 21. travnja 2005., Lindberg, C-267/03, EU:C:2005:246, t. 87. i od 13. listopada 2016., M. i S., C-303/15, EU:C:2016:771, t. 29.).”</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Presuda od 28. svibnja 2020.</w:t>
        </w:r>
      </w:hyperlink>
      <w:r>
        <w:t xml:space="preserve">, ECO-WIND Construction, C-727/17, EU:C:2020:393, t. 40. i 41.</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Uredba kojom se propisuje minimalna udaljenost za postavljanje vjetroturbina nije obuhvaćena kategorijom „ostali zahtjevi” jer njezin utjecaj na stavljanje na tržište predmetnih proizvoda nije dovoljno izravan.</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iz ustaljene sudske prakse proizlazi da ta kategorija obuhvaća propis koji predviđa uvjet koji može znatno utjecati na sastav, prirodu ili stavljanje na tržište proizvoda (presude od 21. travnja 2005., Lindberg, C-267/03, EU:C:2005:246, t. 69. do 72. i od 19. srpnja 2012., Fortuna i dr., C-213/11, C-214/11 i C-217/11, EU:C:2012:495, t. 35.), pri čemu ti „ostali zahtjevi” obuhvaćaju zahtjeve koji proizlaze iz uzimanja u obzir životnog ciklusa predmetnog proizvoda nakon njegova stavljanja na tržište i koji se osobito odnose na njegovu uporabu.</w:t>
      </w:r>
    </w:p>
    <w:p w14:paraId="15144425" w14:textId="77777777">
      <w:pPr>
        <w:pStyle w:val="P68B1DB1-BodyText19"/>
        <w:ind w:left="567"/>
        <w:rPr>
          <w:iCs/>
        </w:rPr>
      </w:pPr>
    </w:p>
    <w:p w14:paraId="45870460" w14:textId="6B88BEBE">
      <w:pPr>
        <w:pStyle w:val="P68B1DB1-BodyText19"/>
        <w:ind w:left="567"/>
        <w:rPr>
          <w:iCs/>
        </w:rPr>
      </w:pPr>
      <w:r>
        <w:t xml:space="preserve">41. U ovom predmetu, međutim, slično poput ocjene iz točke 37. ove presude, valja istaknuti da zahtjev prema kojem je postavljanje vjetroelektrane uvjetovano poštovanjem najmanje udaljenosti između nje i objekata sa stambenom funkcijom ne sadržava izravnu vezu sa sastavom, prirodom ili prodajom proizvoda poput vjetroagregata. U tom pogledu, čak i pod pretpostavkom da taj zahtjev dovede do ograničenja lokacija prikladnih za postavljanje vjetroelektrana i da stoga utječe na stavljanje na tržište vjetroelektrana, taj učinak ne bi bio dovoljno izravan da bi taj zahtjev bio obuhvaćen kategorijom „ostali zahtjevi” iz članka 1. stavka 1. točke (f) Direktive 2015/1535.”</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Presuda od 4. studenoga 2022.</w:t>
        </w:r>
      </w:hyperlink>
      <w:r>
        <w:rPr>
          <w:rFonts w:ascii="Times New Roman" w:hAnsi="Times New Roman" w:cs="Times New Roman" w:eastAsia="Times New Roman"/>
          <w:b/>
          <w:i/>
          <w:szCs w:val="20"/>
        </w:rPr>
        <w:t xml:space="preserve">, Phytofar, C</w:t>
        <w:noBreakHyphen/>
        <w:t xml:space="preserve">658/21, EU:C:2022:925, t. 36. do 42.</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Propis kojim se osobama koje nemaju odobrenje za rad zabranjuje uporaba pesticida koji sadržavaju glifosat može biti „drugi zahtjev” jer bi mogao znatno utjecati na stavljanje glifosata na tržište. Važnost tog utjecaja ocjenjuje se s obzirom na obujam kupnje predmetnih proizvoda i promjene prodajnih navika.</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U ovom slučaju, iz preambule Uredbe od 14. srpnja 2017. proizlazi da se zabrana koja se njome uvodi propisuje u svrhu zaštite ljudskog zdravlja i okoliša.</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Zatim, valja navesti da se ta zabrana odnosi na životni ciklus pesticida koji sadržavaju glifosat nakon njihova stavljanja na tržište, određivanjem uvjeta u vezi s uporabom tih proizvoda u smislu da ih na zemljištima u privatnoj uporabi mogu upotrebljavati samo profesionalni korisnici koji posjeduju dozvolu za uporabu sredstava za zaštitu bilja.</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Naposljetku, treba utvrditi da takva mjera zabrane može utjecati na stavljanje na tržište predmetnih proizvoda.</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Naime, takva mjera dovodi do nestanka kategorije potencijalnih kupaca pesticida koji sadržavaju glifosat odnosno pojedinaca koji se žele sami koristiti takvim pesticidima, bez korištenja uslugama profesionalnih korisnika koji posjeduju traženu dozvolu za uporabu sredstava za zaštitu bilja. Takvo ograničenje mogućnosti uporabe pesticida koji sadržavaju glifosat stoga utječe na njihovu prodaju (vidjeti analogijom presudu od 13. listopada 2016., M. i S., C-303/15, EU:C:2016:771, t. 26. i navedenu sudsku praksu).</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Međutim, kao što je to Komisija navela u svojim pisanim očitovanjima, kako bi se mjera uvedena Uredbom od 14. srpnja 2017. mogla kvalificirati kao „tehnički propis” obuhvaćen kategorijom „ostalih zahtjeva” u smislu članka 1. stavka 1. točaka (d) i (f) Direktive 2015/1535, nužno je da ta mjera „značajno utje[če]” na prodaju pesticida koji sadržavaju glifosat.</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Na sudu koji je uputio zahtjev jest da provjeri je li to doista ovdje slučaj.</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Prilikom te ocjene sud koji je uputio zahtjev moći će uzeti u obzir, među ostalim, ukupnu količinu prodaje pesticida koji sadržavaju glifosat na području flamanske regije i promjene kupovnih navika svake kategorije kupaca na osnovi učestalosti njihove kupnje i količine kupljenih proizvoda kao i promjene mjesta kupnje i distribucijskih kanala. U tom kontekstu taj sud može uzeti u obzir mjeru u kojoj, s jedne strane, zahtjevi profesionalnih korisnika zamjenjuju zahtjeve pojedinaca koji se koriste uslugama profesionalnih korisnika i, s druge strane, pojedinačni korisnici sada dobivaju pesticide bez glifosata umjesto onih koji sadržavaju tu tvar.”</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Presuda od 9. ožujka 2023.</w:t>
        </w:r>
      </w:hyperlink>
      <w:r>
        <w:rPr>
          <w:rFonts w:ascii="Times New Roman" w:hAnsi="Times New Roman" w:cs="Times New Roman" w:eastAsia="Times New Roman"/>
          <w:b/>
          <w:i/>
          <w:szCs w:val="20"/>
        </w:rPr>
        <w:t xml:space="preserve">, Vapo Atlantic, C-604/21, EU:C:2023:175, t. 40. i 41.</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Nacionalno zakonodavstvo kojim se od operatora koji puštaju pogonska goriva u potrošnju zahtijeva da pridonesu ispunjavanju ciljeva za uključivanje biogoriva u pogonska goriva i čije kršenje može dovesti do financijskih sankcija može znatno utjecati na stavljanje goriva na tržište. Stoga je riječ o „drugom zahtjevu”.</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U ovom slučaju, pitanja suda koji je uputio zahtjev odnose se na nacionalni propis koji od gospodarskih subjekata koji puštaju u potrošnju pogonska goriva, osim LPG-a i prirodnog plina, zahtijeva da pridonesu poštovanju ciljeva miješanja biogoriva u godišnje količine pogonskih goriva koja puštaju u potrošnju, tj. cilj od 10 % za 2020. Iako takav propis ne precizira vrstu dotičnog pogonskog goriva, niti određuje postotak biogoriva koji treba fizički miješati u pogonska goriva, niti precizira vrstu biogoriva koju treba miješati, zahtjev koji se njime predviđa, a koji je donesen radi zaštite okoliša, odnosi se na životni ciklus pogonskih goriva nakon njihova stavljanja na tržište i može značajno utjecati na stavljanje na tržište navedenih proizvoda jer nepoštovanje obveze miješanja biogoriva koju predviđa može uzrokovati izricanje novčane naknade.</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Iz toga slijedi da je nacionalni propis kojim se utvrđuje cilj uključivanja 10 % biogoriva u pogonska goriva puštena u potrošnju od strane gospodarskog subjekta za 2020. obuhvaćen pojmom „ostali zahtjevi” u smislu članka 1. točke 4. Direktive 98/34 i stoga predstavlja „tehnički propis” u smislu članka 1. točke 11. te direktive.”</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Pravila o uslugama</w:t>
      </w:r>
      <w:bookmarkEnd w:id="5"/>
      <w:bookmarkEnd w:id="68"/>
      <w:bookmarkEnd w:id="69"/>
    </w:p>
    <w:p w14:paraId="19E12A03" w14:textId="77777777">
      <w:pPr>
        <w:pStyle w:val="BodyText"/>
      </w:pPr>
    </w:p>
    <w:p w14:paraId="6D8B2150" w14:textId="77777777">
      <w:pPr>
        <w:pStyle w:val="P68B1DB1-BodyText11"/>
        <w:ind w:left="567"/>
        <w:rPr>
          <w:iCs/>
        </w:rPr>
      </w:pPr>
      <w:r>
        <w:t xml:space="preserve">„‚propis o uslugama’ znači zahtjev opće prirode koji se odnosi na osnivanje i obavljanje uslužnih djelatnosti u smislu točke (b), posebno odredbe koje se odnose na pružatelja usluga, usluge i primatelja usluga, isključujući sva pravila koja nisu izričito usmjerena na usluge definirane u toj točki. </w:t>
      </w:r>
    </w:p>
    <w:p w14:paraId="7C9B8AC3" w14:textId="77777777">
      <w:pPr>
        <w:pStyle w:val="P68B1DB1-BodyText11"/>
        <w:ind w:left="567"/>
        <w:rPr>
          <w:iCs/>
        </w:rPr>
      </w:pPr>
    </w:p>
    <w:p w14:paraId="46FCE36C" w14:textId="0D89DACC">
      <w:pPr>
        <w:pStyle w:val="P68B1DB1-BodyText11"/>
        <w:ind w:left="567"/>
        <w:rPr>
          <w:iCs/>
        </w:rPr>
      </w:pPr>
      <w:r>
        <w:t xml:space="preserve">Za potrebe ove definicije: </w:t>
      </w:r>
    </w:p>
    <w:p w14:paraId="0FA17B64" w14:textId="77777777">
      <w:pPr>
        <w:pStyle w:val="P68B1DB1-BodyText11"/>
        <w:ind w:left="567"/>
        <w:rPr>
          <w:iCs/>
        </w:rPr>
      </w:pPr>
    </w:p>
    <w:p w14:paraId="5287D99C" w14:textId="40B4253E">
      <w:pPr>
        <w:pStyle w:val="P68B1DB1-BodyText11"/>
        <w:numPr>
          <w:ilvl w:val="0"/>
          <w:numId w:val="30"/>
        </w:numPr>
        <w:rPr>
          <w:iCs/>
        </w:rPr>
      </w:pPr>
      <w:r>
        <w:t xml:space="preserve">i. smatra se da se neki propis izričito odnosi na usluge informacijskog društva kada je, s obzirom na njegovo obrazloženje i praktični dio, specifičan cilj i svrha svih ili nekih njegovih pojedinačnih odredbi regulirati takve usluge na eksplicitan i ciljani način; </w:t>
      </w:r>
    </w:p>
    <w:p w14:paraId="112BC54B" w14:textId="13ACB17B">
      <w:pPr>
        <w:pStyle w:val="P68B1DB1-BodyText11"/>
        <w:numPr>
          <w:ilvl w:val="0"/>
          <w:numId w:val="30"/>
        </w:numPr>
        <w:rPr>
          <w:iCs/>
        </w:rPr>
      </w:pPr>
      <w:r>
        <w:t xml:space="preserve">smatra se da pravilo nije izričito usmjereno na usluge informacijskog društva ako utječe samo implicitno ili slučajno na takve usluge;”</w:t>
      </w:r>
    </w:p>
    <w:p w14:paraId="573C811F" w14:textId="77777777">
      <w:pPr>
        <w:pStyle w:val="BodyText"/>
        <w:ind w:left="567"/>
        <w:rPr>
          <w:i/>
          <w:iCs/>
        </w:rPr>
      </w:pPr>
    </w:p>
    <w:p w14:paraId="2735376A" w14:textId="709F0465">
      <w:pPr>
        <w:pStyle w:val="BodyText"/>
        <w:ind w:left="1440"/>
        <w:jc w:val="right"/>
      </w:pPr>
      <w:r>
        <w:t xml:space="preserve">(Članak 1. stavak 1. točka (e) Direktive (EU) 2015/1535)</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„‚usluga’ znači svaka usluga informacijskog društva, odnosno svaka usluga koja se obično pruža uz naknadu, na daljinu, elektroničkim sredstvima i na osobni zahtjev primatelja usluga.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Za potrebe ove definicije: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„na daljinu” znači da se usluga pruža bez istodobne prisutnosti stranaka;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„elektroničkim sredstvima” znači da se usluga prvotno šalje i prima na odredištu s pomoću elektroničke opreme za obradu (uključujući digitalnu kompresiju) i pohranu podataka te da se u cijelosti prenosi, prenosi i prima žicom, radijem, optičkim sredstvima ili drugim elektromagnetskim sredstvima;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„na osobni zahtjev primatelja usluga” znači da se usluga pruža prijenosom podataka na osobni zahtjev.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Okvirni popis usluga koje nisu obuhvaćene ovom definicijom naveden je u Prilogu I.;”</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(Članak 1. stavak 1. točka (b) Direktive (EU) 2015/1535)</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„Okvirni popis usluga koje nisu obuhvaćene člankom 1. stavkom 1. točkom (b) drugim podstavkom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Usluge koje se ne pružaju „na daljinu”</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Usluge koje se pružaju u fizičkoj prisutnosti pružatelja i primatelja, čak i kada se koriste elektroničke naprave: </w:t>
      </w:r>
    </w:p>
    <w:p w14:paraId="3362CCDE" w14:textId="74A453DA">
      <w:pPr>
        <w:spacing w:after="0" w:line="240" w:lineRule="auto"/>
        <w:ind w:left="1287"/>
        <w:rPr>
          <w:rFonts w:ascii="Times New Roman" w:hAnsi="Times New Roman" w:cs="Times New Roman"/>
          <w:i/>
          <w:sz w:val="24"/>
          <w:szCs w:val="24"/>
        </w:rPr>
        <w:pStyle w:val="P68B1DB1-Normal12"/>
      </w:pPr>
      <w:r>
        <w:t xml:space="preserve">(a) liječničke preglede ili liječenje u liječničkoj operaciji s pomoću elektroničke opreme ako je pacijent fizički prisutan;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(b) pregledavanje elektroničkog kataloga u trgovini s kupcem na licu mjesta; </w:t>
      </w:r>
    </w:p>
    <w:p w14:paraId="7DA6C469" w14:textId="5F31D5B1">
      <w:pPr>
        <w:spacing w:after="0" w:line="240" w:lineRule="auto"/>
        <w:ind w:left="1287"/>
        <w:rPr>
          <w:rFonts w:ascii="Times New Roman" w:hAnsi="Times New Roman" w:cs="Times New Roman"/>
          <w:i/>
          <w:sz w:val="24"/>
          <w:szCs w:val="24"/>
        </w:rPr>
        <w:pStyle w:val="P68B1DB1-Normal12"/>
      </w:pPr>
      <w:r>
        <w:t xml:space="preserve">(C) rezervacija zrakoplovnih karata u putničkoj agenciji u fizičkoj prisutnosti korisnika putem mreže računala;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elektroničke igre dostupne u video galeriji u kojoj je klijent fizički prisutan.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Usluge koje se ne pružaju „elektroničkim sredstvima”</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usluge koje imaju materijalni sadržaj iako se pružaju putem elektroničkih uređaja: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automatski uređaji za izdavanje gotovine ili karata (novčanice, željezničke karte); </w:t>
      </w:r>
    </w:p>
    <w:p w14:paraId="07693B6B" w14:textId="1A59726A">
      <w:pPr>
        <w:spacing w:after="0" w:line="240" w:lineRule="auto"/>
        <w:ind w:left="1287"/>
        <w:rPr>
          <w:rFonts w:ascii="Times New Roman" w:hAnsi="Times New Roman" w:cs="Times New Roman"/>
          <w:i/>
          <w:sz w:val="24"/>
          <w:szCs w:val="24"/>
        </w:rPr>
        <w:pStyle w:val="P68B1DB1-Normal12"/>
      </w:pPr>
      <w:r>
        <w:t xml:space="preserve">(b) pristup cestovnim mrežama, parkiralištima itd., punjenje za upotrebu, čak i ako na ulazu/izlasku postoje elektronički uređaji za kontrolu pristupa i/ili osiguravanje ispravnog plaćanja, </w:t>
      </w:r>
    </w:p>
    <w:p w14:paraId="6B193BE7" w14:textId="77777777">
      <w:pPr>
        <w:spacing w:after="0" w:line="240" w:lineRule="auto"/>
        <w:ind w:left="567"/>
        <w:rPr>
          <w:rFonts w:ascii="Times New Roman" w:hAnsi="Times New Roman" w:cs="Times New Roman"/>
          <w:i/>
          <w:sz w:val="24"/>
          <w:szCs w:val="24"/>
        </w:rPr>
        <w:pStyle w:val="P68B1DB1-Normal12"/>
      </w:pPr>
      <w:r>
        <w:t xml:space="preserve">— usluge izvan interneta: distribucija CD-ROM-ova ili softvera na disketama, </w:t>
      </w:r>
    </w:p>
    <w:p w14:paraId="421C0A6C" w14:textId="77777777">
      <w:pPr>
        <w:spacing w:after="0" w:line="240" w:lineRule="auto"/>
        <w:ind w:left="567"/>
        <w:rPr>
          <w:rFonts w:ascii="Times New Roman" w:hAnsi="Times New Roman" w:cs="Times New Roman"/>
          <w:i/>
          <w:sz w:val="24"/>
          <w:szCs w:val="24"/>
        </w:rPr>
        <w:pStyle w:val="P68B1DB1-Normal12"/>
      </w:pPr>
      <w:r>
        <w:t xml:space="preserve">— usluge koje se ne pružaju putem sustava elektroničke obrade/popisa: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usluge govorne telefonije;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telefaks/teleks usluge;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usluge koje se pružaju putem govorne telefonije ili telefaksa;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liječničko savjetovanje s telefonom/telefaksom;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savjetovanje s odvjetnikom telefonom/telefaksom;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izravni marketing telefona/telefaksa.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Usluge koje se ne pružaju „na osobni zahtjev primatelja usluga”</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Usluge koje se pružaju prijenosom podataka bez da simultani primitak osobno traži neograničeni broj individualnih primatelja (transmisija s jedne točke na više točaka): </w:t>
      </w:r>
    </w:p>
    <w:p w14:paraId="7348FF90" w14:textId="622E29E3">
      <w:pPr>
        <w:spacing w:after="0" w:line="240" w:lineRule="auto"/>
        <w:ind w:left="1287"/>
        <w:rPr>
          <w:rFonts w:ascii="Times New Roman" w:hAnsi="Times New Roman" w:cs="Times New Roman"/>
          <w:i/>
          <w:sz w:val="24"/>
          <w:szCs w:val="24"/>
        </w:rPr>
        <w:pStyle w:val="P68B1DB1-Normal12"/>
      </w:pPr>
      <w:r>
        <w:t xml:space="preserve">(a) usluge televizijskog emitiranja (uključujući usluge na zahtjev u blizini videozapisa), obuhvaćene člankom 1. stavkom 1. točkom (e) Direktive 2010/13/EU;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(b) usluge radijskog emitiranja; </w:t>
      </w:r>
    </w:p>
    <w:p w14:paraId="50FD6B17" w14:textId="6C6940F1">
      <w:pPr>
        <w:spacing w:after="0" w:line="240" w:lineRule="auto"/>
        <w:ind w:left="567" w:firstLine="720"/>
        <w:pStyle w:val="P68B1DB1-Normal12"/>
      </w:pPr>
      <w:r>
        <w:t xml:space="preserve">(C) (televizijski) teletekst.”</w:t>
      </w:r>
    </w:p>
    <w:p w14:paraId="4CB8A09D" w14:textId="49490E91">
      <w:pPr>
        <w:pStyle w:val="BodyText"/>
        <w:ind w:left="1440"/>
        <w:jc w:val="right"/>
      </w:pPr>
      <w:r>
        <w:t xml:space="preserve">(Prilog I. Direktivi (EU) 2015/1535)</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Presuda od 2. lipnja 2005.</w:t>
        </w:r>
      </w:hyperlink>
      <w:r>
        <w:rPr>
          <w:rFonts w:ascii="Times New Roman" w:hAnsi="Times New Roman" w:cs="Times New Roman" w:eastAsia="Times New Roman"/>
          <w:b/>
          <w:i/>
          <w:szCs w:val="20"/>
        </w:rPr>
        <w:t xml:space="preserve">, Mediakabel BV, C-89/04, EU:C:2005:348, t. 38. i 39.</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Usluga televizijskog emitiranja koja je stavljena na raspolaganje na zahtjev pretplatnika, ali za koju učestalost i vrijeme filmova određuje pružatelj, ne predstavlja „uslugu informacijskog društva” jer sadržaj odabire i planira pružatelj te se stoga ne isporučuje na pojedinačni zahtjev primatelja.</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Iako takva usluga ispunjava prva dva kriterija za „uslugu informacijskog društva” u smislu članka 1. točke 2. Direktive 98/34, odnosno da se pruža na daljinu i djelomično prenosi elektroničkom opremom, ona ne ispunjava treći kriterij pojma, prema kojem se predmetna usluga mora pružati „na osobni zahtjev primatelja usluga”. Popis filmova koji se nude kao dio usluge kao što je Filmtime određuje pružatelj usluga. Taj odabir filmova nudi se svim pretplatnicima pod istim uvjetima, bilo putem pisanih medija ili putem informacija prenesenih na televizijskom ekranu, a ti su filmovi dostupni u vrijeme emitiranja koje odredi pružatelj usluge. Pojedinačni ključ koji omogućuje pristup filmovima samo je sredstvo za uklanjanje slika čiji se signali istodobno šalju svim pretplatnicima.</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Takvom uslugom stoga ne upravlja izolirani korisnik koji ima slobodan izbor programa u interaktivnom okruženju. Mora se smatrati uslugom na zahtjev u blizini videozapisa, koja se pruža na osnovi „od točke do više točaka”, a ne „na osobni zahtjev primatelja usluga”.</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Presuda od 2. veljače 2016.</w:t>
        </w:r>
      </w:hyperlink>
      <w:r>
        <w:t xml:space="preserve">, Ince, C-336/14, EU:C:2016:72, t. 75. i 76.</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odredbe kojima se ograničava ponuda internetskih igara na sreću ili zabranjuje internetsko oglašavanje takvih igara mogu se smatrati „propisima o uslugama” jer se odnose na „uslugu informacijskog društva”. Za razliku od toga, odredbe kojima se zahtijeva prethodno odobrenje priređivača igara na sreću ili kojima se zabranjuje davanje takvog odobrenja privatnim subjektima odnose se na uvjete poslovnog nastana poduzeća i stoga ne predstavljaju „pravila o uslugama”.</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neke odredbe Ugovora o igrama na sreću mogu se kvalificirati kao „pravila o uslugama” u dijelu u kojem se odnose na „uslugu informacijskog društva” u smislu članka 1. točke 2. Direktive 98/34. Te odredbe sadržavaju zabranu nuđenja igara na sreću putem interneta, propisanu člankom 4. stavkom 4. Ugovora o igrama na sreću, izuzeća od te zabrane, nabrojena u članku 25. stavku 6. tog ugovora, ograničenja koja se odnose na mogućnost nuđenja sportskog klađenja putem telekomunikacijske opreme na temelju članka 21. stavka 2. navedenog ugovora kao i zabranu emitiranja oglašavanja igara na sreću na internetu ili putem telekomunikacijskih sredstava na temelju članka 5. stavka 3. istog ugovora.</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Što se tiče, naprotiv, odredaba Ugovora o igrama na sreću različitima od onih koje se odnose na „usluge informacijskog društva” u smislu članka 1. stavka 1. Direktive 98/34 – poput onih kojima se uvodi obveza ishođenja dozvole za organizaciju ili prikupljanje sportskih oklada kao i nemogućnost izdavanja takvih dozvola privatnim subjektima – one ne predstavljaju „tehničke propise” u smislu članka 1. stavka 11. te direktive. Nacionalne odredbe kojima se samo utvrđuju uvjeti za poslovni nastan ili pružanje usluga poduzeća, kao što su odredbe koje obavljanje djelatnosti uvjetuju prethodnim odobrenjem, ne predstavljaju tehničke propise u smislu te odredbe (vidjeti u tom smislu presudu Lindberg, C-267/03, EU:C:2005:246, t. 87.).”</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Presuda Suda od 13. listopada 2016.</w:t>
        </w:r>
      </w:hyperlink>
      <w:r>
        <w:t xml:space="preserve">, Naczelnik Urzędu Celnego I w., C 303/15</w:t>
        <w:noBreakHyphen/>
        <w:t xml:space="preserve">, EU:C:2016:771, točka 24.</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Odredba kojom se obavljanje djelatnosti igara na sreću uvjetuje posjedovanjem dozvole za rad kasina ne predstavlja „propis o uslugama” jer se ne odnosi na „uslugu informacijskog društva”.</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ta se odredba ne može svrstati u kategoriju „pravila o uslugama [informacijskog društva]” u smislu članka 1. točke 5. Direktive 98/34 jer se ne odnosi na „uslugu informacijskog društva” u smislu članka 1. točke 2. te direktive.”</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Presuda od 20. prosinca 2017.</w:t>
      </w:r>
      <w:r>
        <w:rPr>
          <w:color w:val="0000FF"/>
          <w:u w:val="single"/>
        </w:rPr>
        <w:fldChar w:fldCharType="end"/>
        <w:t xml:space="preserve">, Falbert i dr., C 255/16</w:t>
        <w:noBreakHyphen/>
        <w:t xml:space="preserve">, EU:C:2017:983, t. 27. do 29., 32. i 33.</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Nacionalne odredbe o uslugama igara na sreću ili oglašavanja mogu predstavljati „pravila o uslugama” ako se izravno odnose na usluge koje se pružaju na daljinu, elektroničkim putem i na osobni zahtjev primatelja. Čak i ako se u tekstu takvih odredbi ne pravi razlika između usluga na internetu i izvan njega, njihov cilj u pogledu „usluga informacijskog društva” može se izvesti iz njihovih uvodnih izjava ili </w:t>
      </w:r>
      <w:r>
        <w:rPr>
          <w:i/>
        </w:rPr>
        <w:t xml:space="preserve">pripremnih akata</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Valja podsjetiti da, sukladno članku 1. točki 2. navedene direktive, pojam „tehnički propis” obuhvaća samo propise o uslugama informacijskog društva, odnosno o svim uslugama koje se obavljaju elektronskim sredstvima na daljinu i na osobni zahtjev primatelja usluga (vidjeti u tom smislu presude od 13. listopada 2016., M. i S., C-303/15, EU:C:2016:771, t. 21. i od 1. veljače 2017., Município de Palmela, C-144/16, EU:C:2017:76, t. 28.).</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U tom pogledu valja istaknuti da se članak 10. stavak 3. točka 3. Zakona o igrama na sreću u osnovi odnosi na dva tipa usluga, odnosno, s jedne strane, na usluge oglašavanja, koje su neposredni predmet sankcija predviđenih tom odredbom, i, s druge strane, na usluge igara na sreću, na koje se odnosi zabrana oglašavanja i koje predstavljaju glavni predmet Zakona o igrama na sreću kao cjeline.</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I usluge oglašavanja i usluge igara na sreću, u mjeri u kojoj se pružaju, među ostalim, elektroničkim sredstvima (na internetu), predstavljaju „usluge informacijskog društva” u smislu članka 1. točke 2. Direktive 98/34 i s njima povezana pravila koja se stoga mogu smatrati „propisima o uslugama” u smislu članka 1. točke 5. Direktive 98/34.”</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U tom pogledu valja istaknuti, kao prvo, da se pitanje je li neki propis izričito usmjeren na usluge informacijskog društva, u skladu s člankom 1. točkom 5. prvom alinejom Direktive 98/34, treba utvrditi i s obzirom na njegovo obrazloženje i s obzirom na njegov praktični dio. Osim toga, u skladu s tom odredbom, ne traži se da predmetni propis kao cjelina ima za „specifičan cilj i svrhu” reguliranje usluga informacijskog društva, s obzirom na to da je dovoljno da on taj cilj ili svrhu ostvaruje nekima od svojih odredaba.</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Stoga, ako iz samog teksta nacionalnog pravila ne proizlazi da je njegov cilj, barem djelomično, upravo urediti usluge informacijskog društva, kao što je to slučaj u ovom predmetu, u kojem se u tekstu ne pravi nikakva razlika između usluga koje se pružaju izvan interneta i usluga koje se pružaju na internetu, taj se cilj ipak može jasno izvesti iz obrazloženja tog pravila, kao što je to ovdje slučaj, na temelju relevantnih nacionalnih pravila o tumačenju, koja osobito omogućuju smjernice za to pravilo.”</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Presuda od 20. prosinca 2017.</w:t>
        </w:r>
      </w:hyperlink>
      <w:r>
        <w:t xml:space="preserve">, Asociación Profesional Elite Taxi, C</w:t>
        <w:noBreakHyphen/>
        <w:t xml:space="preserve">434/15, EU:C:2017:981, t. 37. i 39. do 41.</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Uslugu posredovanja koja povezuje, putem aplikacije za pametni telefon i uz naknadu, vozače koji nisu profesionalni vozači koji upotrebljavaju vlastita vozila s osobama koje traže gradski prijevoz mora se smatrati neodvojivo povezanom s uslugom prijevoza i stoga kvalificirati kao „usluga u području prijevoza” (a ne kao „usluga informacijskog društva”).</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bookmarkStart w:id="76" w:name="point37"/>
      <w:r>
        <w:t>37</w:t>
      </w:r>
      <w:bookmarkEnd w:id="76"/>
      <w:r>
        <w:t xml:space="preserve">. Međutim, valja istaknuti da je usluga poput one u glavnom postupku više od usluge posredovanja koja se sastoji od povezivanja, putem aplikacije za pametni telefon, neprofesionalnog vozača koji se koristi vlastitim vozilom s osobom koja želi prijeći gradsku vožnju.”</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U tom pogledu iz informacija kojima Sud raspolaže proizlazi da Uberova usluga posredovanja počiva na odabiru vozača koji se prijevozom ne bave profesionalno i koji se koriste svojim vlastitim vozilom te kojima to društvo stavlja na raspolaganje aplikaciju bez koje, s jedne strane, ti vozači ne bi mogli pružati usluge prijevoza i, s druge strane, osobe koje žele obaviti gradski prijevoz ne bi imale pristup uslugama tih vozača. Povrh toga, Uber ima odlučujući utjecaj na uvjete pod kojima ti vozači pružaju uslugu. U odnosu na potonji navod proizlazi, među ostalim, da Uber putem istoimene aplikacije u najmanju ruku utvrđuje najvišu cijenu vožnje, da to društvo tu cijenu naplaćuje od klijenta prije prosljeđivanja njezina dijela vozaču vozila koji se prijevozom ne bavi profesionalno i da izvršava određenu kontrolu nad kvalitetom vozila i njihovim vozačima te ponašanjem potonjih, koje, ovisno o slučaju, može dovesti do njihova isključivanja.</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Stoga valja smatrati da ta usluga posredovanja čini sastavni dio ukupne usluge čiji je glavni element usluga prijevoza i da se stoga ne može kvalificirati kao „usluga informacijskog društva” u smislu članka 1. točke 2. Direktive 98/34, na koji upućuje članak 2. točka (a) Direktive 2000/31, nego kao „usluga na području prijevoza” u smislu članka 2. stavka 2. točke (d) Direktive 2006/123.</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Ta je kvalifikacija uostalom potvrđena sudskom praksom Suda prema kojoj pojam „usluge u području prijevoza” ne obuhvaća samo usluge prijevoza kao takve, nego i svaku uslugu koja je neraskidivo povezana sa svakim fizičkim činom premještanja osoba ili robe s jednog mjesta na drugo prijevoznim sredstvima (vidjeti u tom smislu presudu od 15. listopada 2015., Grupo Itevelesa i dr., C-168/14, EU:C:2015:685, t. 45. i 46. i mišljenje 2/15 (Sporazum o slobodnoj trgovini sa Singapurom) od 16. svibnja 2017., EU:C:2017:376, t. 61.).”</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Presuda od 10. travnja 2018.</w:t>
        </w:r>
      </w:hyperlink>
      <w:r>
        <w:t xml:space="preserve">, Uber France, C</w:t>
        <w:noBreakHyphen/>
        <w:t xml:space="preserve">320/16, EU:C:2018:221, t. 21. i 22.</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Odredba nacionalnog prava kojom se propisuju kaznene sankcije za organizaciju sustava povezivanja klijenata s vozačima, bez potrebnog ovlaštenja, odnosi se na „uslugu u području prijevoza” (a ne na „uslugu informacijskog društva”) ako je usluga posredovanja na koju se primjenjuje sastavni dio cjelokupne usluge čiji je glavni element usluga prijevoza.</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Sud je utvrdio da je usluga posredovanja koju je pružilo dotično društvo bila neodvojivo povezana s ponudom usluga gradskog prijevoza koje nisu javne, uzimajući u obzir činjenicu da je, kao prvo, to društvo podnijelo zahtjev bez kojeg ti vozači ne bi trebali pružati usluge prijevoza i da osobe koje žele prijeći gradski prijevoz ne bi koristile usluge koje pružaju ti vozači i, kao drugo, da je to društvo izvršavalo odlučujući utjecaj na uvjete pod kojima su ti vozači pružali usluge, osobito određivanjem najviše cijene, preuzimanjem te tarife od klijenta prije nego što je djelomično plati vozaču vozila koji se ne bavi profesionalnom djelatnošću i izvršavanjem određenog nadzora nad kvalitetom vozila, vozačima i njihovim ponašanjem, što u određenim okolnostima može dovesti do njihova isključenja (vidjeti u tom smislu presudu od 20. prosinca 2017., Asociación Profesional Elite Taxi, C-434/15, EU:C:2017:981, t. 38. i 39.).</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Sud je na temelju tih elemenata utvrdio da uslugu posredovanja o kojoj je riječ u tom predmetu treba smatrati sastavnim dijelom ukupne usluge čiji je glavni element usluga prijevoza te je stoga treba kvalificirati kao „uslugu informacijskog društva” u smislu članka 1. točke 2. Direktive 98/34, nego kao „uslugu u području prijevoza” u smislu članka 2. stavka 2. točke (d) Direktive 2006/123 (vidjeti u tom smislu presudu od 20. prosinca 2017., Asociación Profesional Elite Taxi, C-434/15, EU:C:2017:981, t. 40.).”</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Presuda od 26. rujna 2018.</w:t>
        </w:r>
      </w:hyperlink>
      <w:r>
        <w:t xml:space="preserve">, Van Gennip i dr., C-137/17, EU:C:2018:771, t. 42. i 43.</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odredbe koje stavljanje na tržište proizvoda uvjetuju posjedovanjem odobrenja kupca nisu obuhvaćene pojmom „propis o uslugama” jer se ne odnose na „usluge informacijskog društva”.</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Što se tiče, kao treće, kategorije „propisa o uslugama”, valja podsjetiti na to da na temelju članka 1. točke 5. Direktive 98/34 takav propis predstavlja zahtjev opće naravi koji se odnosi na pristup uslužnim djelatnostima iz članka 1. točke 2. te iste direktive, a koje označavaju „svak[u] uslug[u] informacijskog društva, to jest svak[u] uslug[u] koja se obično pruža uz naknadu, na daljinu, elektronskim sredstvima te na osobni zahtjev primatelja usluga” (presuda od 4. veljače 2016., Ince, C-336/14, EU:C:2016:72, t. 74.).</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U ovom slučaju valja utvrditi, kao što je to nezavisni odvjetnik istaknuo u točki 73. svojeg mišljenja, da se propis koji je predmet glavnog postupka ne odnosi na usluge informacijskog društva u smislu članka 1. točke 2. Direktive 98/34. U skladu s tim, taj propis ne može biti obuhvaćen kategorijom „pravila o uslugama” informacijskog društva u smislu članka 1. točke 5. te direktive.”</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Presuda od 12. rujna 2019.</w:t>
        </w:r>
      </w:hyperlink>
      <w:r>
        <w:t xml:space="preserve">, VG Media, C-299/17, EU:C:2019:716, t. 32., 33. i 36.</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Nacionalna odredba kojom se komercijalnim operatorima pretraživača i pružateljima usluga komercijalnog sadržaja zabranjuje stavljanje novina na raspolaganje javnosti predstavlja „tehnički propis” i o njoj treba obavijestiti Komisiju.</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Smatra se da je pravilo posebno usmjereno na „usluge informacijskog društva” ako se određenim odredbama nastoji postići taj cilj, čak i ako to nije isključivi cilj tog pravila. Taj se cilj može izvesti iz obrazloženja navedenog pravila, koje se može nalaziti u pripremnim aktima, čak i ako ne proizlazi izričito iz teksta samog pravila.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U tom pogledu valja istaknuti da se, u skladu s člankom 1. točkom 5. petim podstavkom prvom alinejom te direktive, smatra da se neki propis izričito odnosi na usluge informacijskog društva s obzirom na njegovo obrazloženje i normativan dio. Usto, na temelju te iste odredbe ne zahtijeva se da su „specifičan cilj i svrha” cjelokupnog predmetnog propisa reguliranje usluga informacijskog društva, s obzirom na to da je dovoljno da se taj cilj ili svrha ostvaruje nekima od njegovih odredaba (presuda od 20. prosinca 2017., Falbert i dr., C-255/16, EU:C:2017:983, t. 32.).</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Osim toga, čak i ako iz samog teksta nacionalnog pravila ne proizlazi da je njegov cilj, barem djelomično, konkretno urediti usluge informacijskog društva, taj cilj ipak može jasno proizlaziti iz obrazloženja tog pravila, kako se čini, u skladu s relevantnim nacionalnim pravilima o tumačenju u tom pogledu, osobito iz pripremnih akata tog pravila (vidjeti u tom smislu presudu od 20. prosinca 2017., Falbert i dr., C-255/16, EU:C:2017:983, t. 33.).”</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Naime, iako sud koji je uputio zahtjev nije naveo jasne naznake o specifičnom cilju i svrsi nacionalnog propisa o kojem je riječ u glavnom postupku, iz očitovanja koje je iznijela njemačka vlada na raspravi pred Sudom proizlazi da se izmjena UrhG-a izričito odnosila na operatore internetskih tražilica. Osim toga, stranke glavnog postupka i Komisija u svojim pisanim očitovanjima navode da je cilj tog propisa zaštita legitimnih interesa izdavača novina i časopisa u digitalnom svijetu. Stoga je očito da je glavna svrha i cilj nacionalnog propisa o kojem je riječ u glavnom postupku zaštita tih izdavača od povreda autorskog prava koje se čine posredstvom internetskih tražilica. U tom se kontekstu čini da je zaštita potrebna samo za sustavne povrede djela internetskih izdavača od strane pružatelja usluga informacijskog društva.”</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Presuda od 19. prosinca 2019.</w:t>
        </w:r>
      </w:hyperlink>
      <w:r>
        <w:t xml:space="preserve">, Airbnb Ireland, C</w:t>
        <w:noBreakHyphen/>
        <w:t xml:space="preserve">390/18, EU:C:2019:1112, t. 64. do 68. i 99.</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Usluga posredovanja kojom se klijenti povezuju s iznajmljivačima koji nude kratkoročni smještaj putem elektroničke platforme, uz pružanje pomoćnih usluga, predstavlja „uslugu informacijskog društva” jer pomoćne usluge ne daju znatan utjecaj na pružanje usluga smještaja.</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Da bi se usluga kvalificirala kao „usluga informacijskog društva”, ona mora kumulativno ispunjavati četiri uvjeta: mora se osigurati uz naknadu, na daljinu, elektroničkim putem i na osobni zahtjev primatelja.</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Čak i kada se promatraju zajedno kao cjelina, bez obzira na to jesu li fakultativne, usluge koje pruža Airbnb Ireland i koje su navedene u točkama 59. do 63. ove presude ne mogu dovesti u pitanje odvojivost usluge posredovanja koju pruža to društvo i stoga njezinu kvalifikaciju kao „usluge informacijskog društva” a da se u bitnome ne mijenjaju obilježja svojstvena toj usluzi. U tom bi pogledu, uostalom, bilo paradoksalno da takve dodatne usluge s dodanom vrijednošću koje elektronička platforma pruža svojim klijentima, među ostalim, kako bi se razlikovala od svojih konkurenata, mogu, u nedostatku dodatnih dokaza, utjecati na prirodu i stoga pravnu kvalifikaciju djelovanja te platforme, kao što je to naveo nezavisni odvjetnik u točki 46. svojeg mišljenja.</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Štoviše, suprotno onomu što tvrde AHTOP i francuska vlada, načini funkcioniranja usluge posredovanja poput one koju pruža Airbnb Ireland ne mogu se izjednačiti s načinima pružanja usluge posredovanja koja je bila predmet presuda od 20. prosinca 2017., Asociación Profesional Elite Taxi (C-434/15, EU:C:2017:981, t. 39.) i od 10. travnja 2018., Uber France (C-320/16, EU:C:2018:221, t. 21.).</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Osim činjenice da su navedene presude dio posebnog konteksta gradskog prijevoza osoba, na koji se primjenjuje članak 58. stavak 1. UFEU-a, i da se usluge koje pruža Airbnb Ireland ne mogu usporediti s onima o kojima je riječ u predmetima u kojima su donesene presude iz prethodne točke, dodatne usluge navedene u točkama 59. do 63. ove presude ne pokazuju razinu nadzora koju je Sud utvrdio u navedenim presudama.</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Tako je Sud je u njima utvrdio da je Uber imao odlučujući utjecaj na uvjete pod kojima vozači koji se prijevozom ne bave profesionalno, a koji se koriste aplikacijom koju im to društvo stavlja na raspolaganje, pružaju uslugu prijevoza (presude od 20. prosinca 2017., Asociación Profesional Elite Taxi, C-434/15, EU:C:2017:981, t. 39. i od 10. travnja 2018., Uber France, C-320/16, EU:C:2018:221, t. 21.).</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Na temelju elemenata koje je naveo sud koji je uputio zahtjev i na koje se podsjeća u točki 19. ove presude ne može se utvrditi da Airbnb Ireland izvršava takav odlučujući utjecaj na uvjete pružanja usluga smještaja na koje se odnosi njegova usluga posredovanja, tim više što Airbnb Ireland ne određuje, izravno ili neizravno, naplaćenu najamninu, kao što je to utvrđeno u točkama 56. i 62. ove presude, još manje odabire iznajmljivače ili smještaj namijenjen za najam na njegovoj platformi.”</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S obzirom na to da Francuska Republika nije dostavila obavijest o Hoguetovu zakonu i s obzirom na kumulativnu prirodu uvjeta predviđenih u članku 3. stavku 4. Direktive 2000/31, na koje se podsjeća u točkama 84. i 85. ove presude, valja smatrati da se taj zakon ni u kojem slučaju ne može primijeniti na pojedinca koji se nalazi u situaciji poput one društva Airbnb Ireland u glavnom postupku, neovisno o tome ispunjava li taj zakon druge uvjete predviđene tom odredbom.”</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Presuda od 22. listopada 2020.</w:t>
        </w:r>
      </w:hyperlink>
      <w:r>
        <w:t xml:space="preserve">, Sportingbet i Internet Opportunity Entertainment, C</w:t>
        <w:noBreakHyphen/>
        <w:t xml:space="preserve">275/19, EU:C:2020:856, t. 47. do 49.</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Zakonodavstvo kojim se javnom subjektu dodjeljuje isključivo pravo priređivanja određenih igara na sreću, uključujući na internetu, obuhvaćeno je definicijom „pravila o uslugama” u dijelu u kojem se odnose na uslugu informacijskog društva.</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Na temelju članka 1. točke 5. navedene direktive, „propis o uslugama” je svaki zahtjev opće naravi koji se odnosi na uspostavljanje uslužnih djelatnosti u okviru značenja iz članka 1. točke 2. te direktive, a koje se odnose na „svak[u] uslug[u] informacijskog društva, to jest svak[u] uslug[u] koja se obično pruža uz naknadu, na daljinu, elektronskim sredstvima te na osobni zahtjev primatelja usluga”.</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S tim u vezi Sud je već presudio da se odredbe koje se odnose na zabranu priređivanja igara na sreću putem interneta, iznimke od te zabrane, ograničenja mogućnosti ponude sportskih klađenja putem interneta te zabrana oglašavanja igara na sreću putem interneta mogu kvalificirati kao „propisi o uslugama” u smislu članka 1. točke 5. Direktive 98/34, s obzirom na to da se odnose na „usluge informacijskog društva” u smislu njezina članka 1. točke 2. (vidjeti analogijom presudu od 4. veljače 2016., Ince, C-336/14, EU:C:2016:72, t. 75.).</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U predmetnom se slučaju pravila sadržana u člancima 2. i 3. Uredbe sa zakonskom snagom br. 282/2003 odnose posebno na usluge informacijskog društva. Osim toga, zbog dodjele isključivog prava priređivanja igara na sreću na internetu društvu Santa Casa, tim se odredbama svim gospodarskim subjektima, osim Santa Case, zabranjuje pružanje tih usluga.”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Presuda od 3. prosinca 2020.</w:t>
        </w:r>
      </w:hyperlink>
      <w:r>
        <w:t xml:space="preserve">, Star Taxi App, C</w:t>
        <w:noBreakHyphen/>
        <w:t xml:space="preserve">62/19, EU:C:2020:980, t. 52. do 54. i 64. do 66.</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Usluga posredovanja koja samo povezuje klijente s već ovlaštenim vozačima taksija – bez organiziranja same usluge prijevoza, odabira vozača, određivanja cijena karata ili nadzora nad vozilima ili vozačima – obuhvaćena je kategorijom „usluge informacijskog društva”.</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Osim toga, propis koji nije posebno usmjeren na takve usluge, nego se bez razlike primjenjuje na sve oblike slanja, uključujući telefonom ili aplikacijom, ne može se kvalificirati kao „propis o uslugama”.</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Kao prvo, iz odluke suda koji je uputio zahtjev proizlazi da, za razliku od usluge posredovanja o kojoj je riječ u predmetu u kojem je donesena presuda od 20. prosinca 2017., Asociación Profesional Elite Taxi (C-434/15, EU:C:2017:981) koja je uspostavila i učinila dostupnim pružanje usluga gradskog prijevoza neprofesionalnih vozača kojih prije nije bilo na tržištu, usluga o kojoj je riječ u glavnom postupku ograničava se na to da – kao što je to nezavisni odvjetnik naveo u točki 49. svojeg mišljenja – omogući povezivanje osoba koje se žele koristiti gradskim prijevozom isključivo s ovlaštenim vozačima autotaksija čija je djelatnost i prije postojala te za koje je navedena usluga posredovanja samo jedan od načina privlačenja korisnika na koju oni, štoviše, nisu ni u kojem pogledu obvezani.</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Kao drugo, za takvu se uslugu posredovanja ne može smatrati da se njome organizira opće pružanje naknadne usluge gradskog prijevoza s obzirom na to da pružatelj usluge ne odabire vozače taksija, ne određuje i ne naplaćuje cijenu vožnje niti izvršava nadzor nad kvalitetom vozila i njihovih vozača kao ni nad njihovim ponašanjem.</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Iz toga slijedi da se usluga posredovanja poput one koju pruža Star Taxi App ne može smatrati sastavnim dijelom cjelokupne usluge čiji je glavni element usluga prijevoza i stoga je treba kvalificirati kao „uslugu informacijskog društva” u smislu članka 2. točke (a) Direktive 2000/31.”</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U ovom slučaju iz odluke suda koji je uputio zahtjev proizlazi da rumunjski propis o kojem je riječ u glavnom postupku, neovisno o tomu je li riječ o Zakonu br. 38/2003 ili Odluci br. 178/2008, ni u kojem dijelu ne spominje usluge informacijskog društva. K tomu, članak 3., članak 21. stavci 1. i 3.bis kao i članak 41. stavak 2.bis iz Priloga 1. Odluci br. 178/2008 bez ikakve se razlike odnose na sve vrste usluga autotaksi centrale, neovisno o tomu pružaju li se one telefonom ili na druge načine, kao što je to računalna aplikacija.</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Usto, kao što je to nezavisni odvjetnik naveo u točki 108. svojeg mišljenja, Zakon br. 38/2003 pružateljima usluge autotaksi centrale koji svoju djelatnost obavljaju putem aplikacije za pametni telefon, na istoj osnovi kao i svi drugi operateri koji pružaju uslugu autotaksi centrale, nameće posjedovanje opreme – u ovom slučaju radio primopredajnika – koji su posve beskorisni zbog tehničkih načina pružanja te usluge.</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Stoga, s obzirom na to da se ne odnosi izričito na usluge informacijskog društva, propisi poput onih o kojima je riječ u glavnom postupku samo implicitno ili uzgredno utječu na takve usluge. Takvo se pravilo stoga ne može smatrati „propisom o uslugama” u smislu članka 1. stavka 1. točke (e) Direktive 2015/1535 ili, slijedom toga, „tehničkim propisom” u smislu članka 1. stavka 1. točke (f) te direktive.”</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Presuda od 29. veljače 2024.</w:t>
        </w:r>
      </w:hyperlink>
      <w:r>
        <w:rPr>
          <w:rFonts w:ascii="Times New Roman" w:hAnsi="Times New Roman" w:cs="Times New Roman" w:eastAsia="Times New Roman"/>
          <w:b/>
          <w:i/>
          <w:szCs w:val="20"/>
        </w:rPr>
        <w:t xml:space="preserve">, Doctipharma SAS, C-606/21, EU:C:2024:179, t. 26. do 30. i 34. do 36.</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Naknadu za uslugu koju pružatelj usluga pruža u okviru gospodarske djelatnosti ne moraju nužno platiti korisnici. To se odnosi na uslugu koja se pruža na internetskoj stranici, a sastoji se od povezivanja ljekarnika i kupaca radi prodaje lijekova, pri čemu za uslugu plaćaju ljekarnici koji su se pretplatili na njezinu platformu na temelju fiksne naknade.</w:t>
      </w:r>
    </w:p>
    <w:p w14:paraId="60E238C1" w14:textId="77777777">
      <w:pPr>
        <w:pStyle w:val="P68B1DB1-BodyText22"/>
      </w:pPr>
    </w:p>
    <w:p w14:paraId="16BCA1E5" w14:textId="5221BD03">
      <w:pPr>
        <w:pStyle w:val="P68B1DB1-BodyText22"/>
      </w:pPr>
      <w:r>
        <w:t xml:space="preserve">Takva usluga nije dio cjelokupne usluge čiji je glavni element drugačija pravna kvalifikacija, a ne „usluga informacijskog društva”.</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U članku 1. točki 2. Direktive 98/34 i članku 1. stavku 1. točki (b) Direktive 2015/1535 pojam „usluga informacijskog društva” definira se kao „svaka usluga koja se obično pruža uz naknadu, na daljinu, elektroničkim sredstvima i na osobni zahtjev primatelja usluga”.</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U ovom slučaju, valja podsjetiti na to da, kad je riječ o prvom uvjetu navedenom u tim odredbama, prema ustaljenoj sudskoj praksi, naknadu za uslugu koju davatelj usluga pruža u okviru svoje gospodarske djelatnosti ne plaćaju nužno sve osobe koje su njezini korisnici (vidjeti u tom smislu presude od 15. rujna 2016., Mc Fadden, C-484/14, EU:C:2016:689, t. 41. i od 4. svibnja 2017., Vanderborght, C-339/15, EU:C:2017:335, t. 36.).</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Stoga, kako bi se usluga poput one o kojoj je riječ u glavnom postupku kvalificirala kao usluga koja je obuhvaćena pojmom „usluga informacijskog društva” u smislu članka 1. točke 2. Direktive 98/34 i članka 1. stavka 1. točke (b) Direktive 2015/1535, nije važno pruža li se ta usluga besplatno osobi koja kupuje lijek koji se izdaje bez recepta jer ona dovodi do sklapanja ugovora o pružanju usluga između pružatelja te usluge i svakog ljekarnika koji koristi navedenu uslugu uz plaćanje.</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Isto tako, u tom pogledu nije važna činjenica da su, kao što je to navelo društvo Doctipharma, prema općim uvjetima prodaje, ljekarnici koji su se pretplatili na njegovu platformu to plaćanje vršili paušalno ili, kao što je to navela francuska vlada, činjenica da usluga koju pruža društvo Doctipharma podliježe mjesečnoj pretplati koju tom društvu plaćaju ljekarnici klijenti i povratu postotka od iznosa prodaje naplaćenog na platformi.</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Iz toga slijedi da, podložno provjerama koje treba izvršiti sud koji je uputio zahtjev, za uslugu o kojoj je riječ u glavnom postupku u svakom slučaju treba smatrati da je pružena uz naknadu.”</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Taj se zaključak ne dovodi u pitanje sudskom praksom Suda u presudama od 20. prosinca 2017., Asociación Profesional Elite Taxi (C-434/15, EU:C:2017:981), od 19. prosinca 2019., Airbnb Ireland (C-390/18, EU:C:2019:1112) i od 3. prosinca 2020.,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Naime, iz te sudske prakse proizlazi da uslugu povezivanja kupaca i pružatelja druge usluge različite prirode koja ispunjava sve uvjete predviđene člankom 1. točkom 2. Direktive 98/34 i člankom 1. stavkom 1. točkom (b) Direktive 2015/1535 treba kvalificirati kao „uslugu informacijskog društva” kada je takva usluga odvojena od usluge različite prirode koju pružaju ti pružatelji. Međutim, situacija mora biti drukčija ako se pokaže da je ta usluga koja povezuje prodavatelje s klijentima sastavni dio cjelokupne usluge čiji je glavni element predmet pravne kvalifikacije različite od „usluge informacijskog društva” (presuda od 3. prosinca 2020., Star Taxi App, C-62/19, EU:C:2020:980, t. 49. i navedena sudska praksa).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Kao što je to nezavisni odvjetnik istaknuo u točkama 28. i 29. svojeg mišljenja, usluga povezivanja ljekarnika i kupaca radi prodaje lijekova koji se izdaju bez recepta s internetskih stranica ljekarni koje su pretplaćene na tu uslugu ne može biti sastavni dio cjelokupne usluge čiji se glavni element ne može kvalificirati kao „usluga informacijskog društva”.</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Presuda od 13. ožujka 2025.</w:t>
        </w:r>
      </w:hyperlink>
      <w:r>
        <w:rPr>
          <w:rFonts w:ascii="Times New Roman" w:hAnsi="Times New Roman" w:cs="Times New Roman" w:eastAsia="Times New Roman"/>
          <w:b/>
          <w:i/>
          <w:szCs w:val="20"/>
        </w:rPr>
        <w:t xml:space="preserve">, Unigames UAB, C</w:t>
        <w:noBreakHyphen/>
        <w:t xml:space="preserve">120/24, EU:C:2025:174, t. 38. do 42.</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Zabrana oglašavanja igara na sreću na stranicama igara na sreću ne odnosi se na uslugu oglašavanja koja je neovisna o usluzi igara na sreću, nego na uslugu neodvojivu od usluge internetskih igara na sreću. Slijedom toga, kako bi se utvrdilo je li riječ o „propisu o uslugama”, najprije valja razmotriti kvalifikaciju usluga internetskih igara kao „usluga informacijskog društva”.</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Razmatranja iznesena u točkama 36. i 37. ove presude</w:t>
      </w:r>
      <w:r>
        <w:rPr>
          <w:i w:val="0"/>
        </w:rPr>
        <w:t xml:space="preserve"> [prema kojima se usluge internetskih igara na sreću trebaju smatrati,uslugama informacijskog društva’] </w:t>
      </w:r>
      <w:r>
        <w:t xml:space="preserve">ne dovodi u pitanje činjenica da informacije o igrama na sreću koje je priređivač igara na sreću objavio na svojoj internetskoj stranici nisu nužno pružene „na osobni zahtjev primatelja usluga”. Ta objava informacija ne može se, u okolnostima poput onih o kojima je riječ u glavnom postupku, smatrati uslugom oglašavanja ili drugom uslugom koja se pruža primateljima usluga igara na sreću na daljinu, nego je riječ o aktivnosti koja je sporedna i neodvojiva od predmetnih usluga igara na sreću na daljinu iz koje ona ima sve svoje ekonomsko značenje (vidjeti po analogiji presudu od 1. listopada 2020., A (Oglašavanje i prodaja lijekova na internetu), C-649/18, EU:C:2020:764, t. 56.). Stoga samo same usluge igara na sreću moraju ispunjavati relevantne uvjete da bi bile obuhvaćene pojmom „usluga” u smislu članka 1. stavka 1. točke (b) Direktive 2015/1535, a zabrana o kojoj je riječ u glavnom postupku, koja se odnosi na takvu objavu informacija, mora pak ispunjavati posebne kriterije predviđene u članku 1. stavku 1. točki (e) te direktive kako bi ih se moglo smatrati „propisom o” tim uslugama u smislu potonje odredbe.</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U potonjem pogledu, iako je nesporno da je zabrana o kojoj je riječ u glavnom postupku „zahtjev opće naravi” u smislu članka 1. stavka 1. točke (e) Direktive 2015/1535, valja još ispitati, kao prvo, može li se smatrati da se ona „odnosi na pokretanje i obavljanje uslužnih djelatnosti”, pri čemu se u toj odredbi pojašnjava da je to slučaj, među ostalim, u pogledu odredbi koje se odnose na pružatelja usluga, usluge i primatelja usluga.</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U tom pogledu valja utvrditi da članak 10. stavak 19. Zakona o igrama na sreću može biti obuhvaćen pojmom „propis o uslugama” jer predviđa zabranu poticanja, među ostalim, sudjelovanja u igrama na sreću na daljinu i, osobito, objavljivanja informacija o igrama na sreću na internetskoj stranici priređivača igara na sreću ili izvršavanja radnji kojima se potiče sudjelovanje u igrama na sreću (vidjeti u tom smislu presudu od 22. listopada 2020., Sportingbet i Internet Opportunity Entertainment, C-275/19, EU:C:2020:856, t. 48. i navedenu sudsku praksu).</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S druge strane, kao što to proizlazi iz samog teksta članka 1. stavka 1. točke (e) Direktive 2015/1535, da bi se mogla kvalificirati kao „propis o uslugama”, zabrana o kojoj je riječ u glavnom postupku mora biti „posebno” usmjerena na usluge informacijskog društva (vidjeti u tom smislu presudu od 12. rujna 2019., VG Media, C-299/17, EU:C:2019:716, t. 31.).</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U tom pogledu, iz članka 1. stavka 1. točke (e) drugog podstavka podtočke i. Direktive 2015/1535 proizlazi da se provjera je li pravilo posebno usmjereno na usluge informacijskog društva mora provesti kako s obzirom na tekst tog pravila tako i s obzirom na cilj koji se njime želi postići. Osim toga, u skladu s tom odredbom, nije potrebno da „poseban cilj i cilj” cjelokupnog predmetnog pravila bude uređivanje usluga informacijskog društva, nego je dovoljno da taj cilj ili cilj nastoji ostvariti određenim odredbama (vidjeti u tom smislu presudu od 12. rujna 2019., VG Media, C-299/17, EU:C:2019:716, t. 32. i navedenu sudsku praksu). Naposljetku, u skladu s člankom 1. stavkom 1. točkom (e) drugim podstavkom podtočkom ii. te direktive, ne smatra se da je pravilo posebno usmjereno na usluge informacijskog društva ako na te usluge utječe samo implicitno ili uzgredno.”</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Odredbe o zabrani</w:t>
      </w:r>
      <w:bookmarkEnd w:id="98"/>
      <w:bookmarkEnd w:id="99"/>
    </w:p>
    <w:p w14:paraId="11A12362" w14:textId="77777777">
      <w:pPr>
        <w:pStyle w:val="BodyText"/>
      </w:pPr>
    </w:p>
    <w:p w14:paraId="6DD7108F" w14:textId="22E84863">
      <w:pPr>
        <w:pStyle w:val="P68B1DB1-BodyText11"/>
        <w:ind w:left="567"/>
        <w:rPr>
          <w:iCs/>
        </w:rPr>
      </w:pPr>
      <w:r>
        <w:t xml:space="preserve">„tehnički propis” znači [...] zakoni i drugi propisi država članica, osim onih predviđenih u članku 7., kojima se zabranjuje izrada, uvoz, stavljanje na tržište ili uporaba proizvoda ili zabranjuje pružanje ili korištenje usluge ili poslovni nastan kao pružatelj usluga.”</w:t>
      </w:r>
    </w:p>
    <w:p w14:paraId="6EA3335C" w14:textId="77777777">
      <w:pPr>
        <w:pStyle w:val="BodyText"/>
        <w:ind w:left="567"/>
        <w:rPr>
          <w:i/>
          <w:iCs/>
        </w:rPr>
      </w:pPr>
    </w:p>
    <w:p w14:paraId="05F6428B" w14:textId="3C27EE7A">
      <w:pPr>
        <w:pStyle w:val="BodyText"/>
        <w:ind w:left="1440"/>
        <w:jc w:val="right"/>
      </w:pPr>
      <w:r>
        <w:t xml:space="preserve">(članak 1. stavak 1. točka (f) prva rečenica Direktive (EU) 2015/1535)</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Presuda od 16. rujna 1996.</w:t>
        </w:r>
      </w:hyperlink>
      <w:r>
        <w:t xml:space="preserve">, Komisija protiv Italije, C-279/94, EU:C:1997:396, točka 30.</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Zabrana stavljanja na tržište i uporabe azbesta predstavlja „tehnički propis” koji se mora prijaviti jer zabranjuje stavljanje na tržište i uporabu proizvoda.</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Što se tiče članka 1. stavka 2. Zakona br. 257/92, tom se odredbom zabranjuje vađenje, uvoz, izvoz, stavljanje na tržište i proizvodnja azbesta, proizvoda od azbesta i proizvoda koji sadržavaju azbest nakon razdoblja od jedne godine nakon stupanja na snagu Zakona. Takva odredba, kojom se zabranjuje stavljanje na tržište i uporaba azbesta, predstavlja tehnički propis koji je talijanska vlada trebala dostaviti u skladu s člankom 8. stavkom 1. prvim podstavkom Direktive.”</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Presuda od 21. travnja 2005.</w:t>
        </w:r>
      </w:hyperlink>
      <w:r>
        <w:t xml:space="preserve">, Lindberg, C-267/03, EU:C:2005:246, t. 75. do 77.</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Nacionalna zabrana koja se odnosi na određene igre na sreću može se kvalificirati kao odredba zabrane ako ne ostavlja mjesta nikakvoj razumnoj uporabi dotičnog proizvoda osim isključivo marginalnog. S druge strane, kvalifikacija kao zabrane ne ovisi o utjecaju zabrane na sastav, prirodu ili stavljanje na tržište predmetnih proizvoda.</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U tom je pogledu važno da, za razliku od druge kategorije koja se sastoji od drugih zahtjeva u smislu članka 1. stavka 3., ta treća kategorija tehničkog propisa definirana u članku 1. stavku 9. Direktive 83/189 ne uključuje uvjet prema kojem predmetna zabrana mora biti takva da znatno utječe na sastav ili prirodu proizvoda ili njegovo stavljanje na tržište.</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Da bi bile obuhvaćene tom trećom kategorijom tehničkog propisa koji se odnosi na zabranu, među ostalim, uporabe, mjere moraju imati doseg koji znatno nadilazi ograničenje određenih mogućih uporaba predmetnog proizvoda i stoga se ne smije ograničiti samo na ograničenje njegove uporabe.</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Kao što je to istaknuo nezavisni odvjetnik u točki 70. svojeg mišljenja, ta kategorija tehničkih propisa osobito je namijenjena tomu da obuhvati nacionalne mjere koje ne ostavljaju mjesta nikakvoj razumnoj uporabi dotičnog proizvoda osim isključivo marginalnog. Na nacionalnom je sudu da provjeri je li zabrana koja proizlazi iz nacionalne odredbe o kojoj je riječ u glavnom postupku takva mjera.”</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Presuda od 8. rujna 2005.</w:t>
        </w:r>
      </w:hyperlink>
      <w:r>
        <w:t xml:space="preserve">, Lidl Italia, C-303/04, EU:C:2005:528, t. 12. i 13.</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Nacionalna zabrana stavljanja na tržište proizvoda koji nisu proizvedeni od određenih materijala predstavlja odredbu kojom se zabranjuje proizvodnja i stavljanje na tržište proizvoda.</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u skladu s člankom 1. točkom 11. Direktive 98/34, nacionalnu odredbu države članice kojom se zabranjuje proizvodnja, uvoz, stavljanje na tržište ili uporaba proizvoda treba smatrati kategorijom tehničkih propisa (vidjeti presudu od 11. srpnja 2005., Lindberg, C-267/03, Zb., str. I-0000., t. 54.).</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U ovom je slučaju dovoljno utvrditi da je članak 19. stavak 2. Zakona br. 93/2001 takva odredba. U skladu s tom odredbom, proizvodnja i stavljanje na tržište pamučnih pupoljaka koji nemaju navedena obilježja, odnosno oni koji nisu u cijelosti proizvedeni od biorazgradivih materijala u skladu s normama UNI 10785 predstavljaju prekršaje za koje se izriču administrativne kazne.”</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Presuda od 26. listopada 2006.</w:t>
        </w:r>
      </w:hyperlink>
      <w:r>
        <w:t xml:space="preserve">, Komisija protiv Grčke, C-65/05, EU:C:2006:673, točka 61.</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Tehnički propis treba smatrati mjerama kojima se zabranjuje instaliranje svih uređaja za električne ili elektroničke igre izvan kasina i korištenje računalnih igara u poduzećima koja pružaju internetske usluge, kao i to da se upravljanje takvim poduzetnicima uvjetuje izdavanjem posebne dozvole.</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bookmarkStart w:id="104" w:name="point61"/>
      <w:bookmarkEnd w:id="104"/>
      <w:r>
        <w:t xml:space="preserve">. [...] mjere poput onih predviđenih člankom 2. stavkom 1. i člankom 3. Zakona br. 3037/2002, u mjeri u kojoj zabranjuju ugradnju u Grčkoj svih električnih, elektromehaničkih i elektroničkih igara, uključujući sve računalne igre, u svim javnim i privatnim prostorima osim kasina, kao i korištenje igara na računalima u poduzećima koja pružaju internetske usluge, i kojima se upravljanje takvim poduzetnicima uvjetuje izdavanjem posebnog odobrenja, moraju se smatrati tehničkim propisima u smislu članka 1. točke 11. Direktive 98/34 (vidjeti u tom smislu presudu od 11. srpnja 2005.,</w:t>
        <w:noBreakHyphen/>
        <w:t xml:space="preserve">Lindberg, C 267/03, Zb., str. I</w:t>
        <w:noBreakHyphen/>
        <w:t>3247.).”</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Presuda od 19. srpnja 2012.</w:t>
        </w:r>
      </w:hyperlink>
      <w:r>
        <w:t xml:space="preserve">, Fortuna i dr., C-213/11, C-214/11 i C-217/11, EU:C:2012:495, t. 24. i 25.</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Mjeru zabrane uporabe automata za igre na sreću izvan kasina treba kvalificirati kao „tehnički propis”.</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Sud je već presudio da mjere kojima se zabranjuje korištenje svih električnih, elektromehaničkih i elektroničkih igara u svim javnim i privatnim prostorima, osim kasina, treba smatrati tehničkim propisom u smislu članka 1. točke 11. Direktive 98/34 (presuda Suda od 11. srpnja 2006., Komisija/Grčka, C-65/05, Zb., str. I-10341., t. 61.).</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U skladu s tim, mjeru poput članka 14. stavka 1. Zakona o igrama na sreću, kojom se samo kasinima dopušta organiziranje igara na automatima, treba kvalificirati kao „tehnički propis” u smislu članka 1. točke 11. Direktive 98/34.”</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Presuda od 27. listopada 2016.</w:t>
        </w:r>
      </w:hyperlink>
      <w:r>
        <w:t xml:space="preserve">, James Elliott Construction, C-613/14, EU:C:2016:821, t. 70.</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Nacionalne odredbe kojima se utvrđuju implicitni ugovorni uvjeti u pogledu tržišne kakvoće, prikladnosti za uporabu ili opće kvalitete prodanih proizvoda ne predstavljaju odredbe o zabrani.</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propis o kojem je riječ u glavnom postupku nije obuhvaćen područjem primjene tehničkih propisa iz članka 1. točke 11. Direktive 98/34, s obzirom na to da, ograničavajući se na navođenje prešutnih ugovornih zahtjeva, ne sadržava nikakvu zabranu, u smislu te direktive, proizvodnje, uvoza, stavljanja na tržište ili korištenja proizvoda, pružanja ili korištenja usluge ili poslovnog nastana kao pružatelja usluga.”</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Presuda od 28. svibnja 2020.</w:t>
        </w:r>
      </w:hyperlink>
      <w:r>
        <w:t xml:space="preserve">, ECO-WIND Construction, C-727/17, EU:C:2020:393, t. 45. do 47.</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Propis kojim se propisuje minimalna udaljenost za postavljanje vjetroturbina ne predstavlja zabranu proizvodnje, uvoza, stavljanja na tržište ili uporabe proizvoda, osim ako se njime de facto zabranjuje stavljanje na tržište vjetroturbina, a da se pritom ne ostavlja prostora za bilo kakvu uporabu vjetroturbina osim isključivo marginalne.</w:t>
      </w:r>
    </w:p>
    <w:p w14:paraId="57350EE4" w14:textId="77777777">
      <w:pPr>
        <w:pStyle w:val="BodyText"/>
        <w:jc w:val="left"/>
      </w:pPr>
    </w:p>
    <w:p w14:paraId="671DACC6" w14:textId="1CB89713">
      <w:pPr>
        <w:pStyle w:val="P68B1DB1-BodyText19"/>
        <w:ind w:left="567"/>
        <w:rPr>
          <w:iCs/>
        </w:rPr>
      </w:pPr>
      <w:r>
        <w:t xml:space="preserve"> Ta kategorija pretpostavlja da predmetna mjera ima doseg koji jasno prelazi ograničenje određenih uporaba predmetnog proizvoda i da se ne svodi na jednostavno ograničenje njegove uporabe (presude od 21. travnja 2005., Lindberg, C-267/03, EU:C:2005:246, t. 76. i od 19. srpnja 2012., Fortuna i dr., C-213/11, C-214/11 i C-217/11, EU:C:2012:495, t. 31.).</w:t>
      </w:r>
    </w:p>
    <w:p w14:paraId="787A0A4F" w14:textId="77777777">
      <w:pPr>
        <w:pStyle w:val="P68B1DB1-BodyText19"/>
        <w:ind w:left="567"/>
        <w:rPr>
          <w:iCs/>
        </w:rPr>
      </w:pPr>
    </w:p>
    <w:p w14:paraId="7CEA657E" w14:textId="35F61E5B">
      <w:pPr>
        <w:pStyle w:val="P68B1DB1-BodyText19"/>
        <w:ind w:left="567"/>
        <w:rPr>
          <w:iCs/>
        </w:rPr>
      </w:pPr>
      <w:r>
        <w:t xml:space="preserve">46. Naime, navedena kategorija konkretno se odnosi na nacionalne mjere kojima se ne ostavlja mjesta nikakvoj drugoj uporabi kojoj dotični proizvod razumno može poslužiti, osim isključivo marginalnoj (presude od 21. travnja 2005., Lindberg, C-267/03, EU:C:2005:246, t. 76. i od 19. srpnja 2012., Fortuna i dr., C-213/11, C-214/11 i C-217/11, EU:C:2012:495, t. 32.).</w:t>
      </w:r>
    </w:p>
    <w:p w14:paraId="47448916" w14:textId="77777777">
      <w:pPr>
        <w:pStyle w:val="P68B1DB1-BodyText19"/>
        <w:ind w:left="567"/>
        <w:rPr>
          <w:iCs/>
        </w:rPr>
      </w:pPr>
    </w:p>
    <w:p w14:paraId="6508CA59" w14:textId="00D7F268">
      <w:pPr>
        <w:pStyle w:val="P68B1DB1-BodyText19"/>
        <w:ind w:left="567"/>
        <w:rPr>
          <w:iCs/>
        </w:rPr>
      </w:pPr>
      <w:r>
        <w:t xml:space="preserve">47. U ovom slučaju, iako zahtjev prema kojem je postavljanje vjetroelektrane uvjetovano poštovanjem uvjeta minimalne udaljenosti između te vjetroelektrane i objekata koji imaju stambenu funkciju, koji je propisan nacionalnim propisom o kojem je riječ u glavnom postupku, doista uključuje zabranu postavljanja vjetroelektrane na udaljenosti koja je manja od deseterostruke ukupne visine planiranog postrojenja od bilo kojeg objekta koji ima stambenu funkciju, valja istaknuti da taj propis, međutim, ne zabranjuje gospodarskim subjektima da nastave postavljati vjetroelektrane i stoga upotrebljavati i stavljati na tržište vjetroelektrane.”</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Tehnički propisi u skladu s činjenicama</w:t>
      </w:r>
      <w:bookmarkEnd w:id="109"/>
      <w:bookmarkEnd w:id="110"/>
    </w:p>
    <w:p w14:paraId="297F85EC" w14:textId="77777777">
      <w:pPr>
        <w:pStyle w:val="BodyText"/>
      </w:pPr>
    </w:p>
    <w:p w14:paraId="6C908457" w14:textId="3B825828">
      <w:pPr>
        <w:pStyle w:val="P68B1DB1-BodyText11"/>
        <w:ind w:left="567"/>
        <w:rPr>
          <w:i/>
        </w:rPr>
      </w:pPr>
      <w:r>
        <w:t xml:space="preserve">„De facto tehnički propisi uključuju: </w:t>
      </w:r>
    </w:p>
    <w:p w14:paraId="277715A6" w14:textId="77777777">
      <w:pPr>
        <w:pStyle w:val="BodyText"/>
        <w:ind w:left="567"/>
        <w:rPr>
          <w:i/>
        </w:rPr>
      </w:pPr>
    </w:p>
    <w:p w14:paraId="28BCD2BD" w14:textId="757EEC79">
      <w:pPr>
        <w:pStyle w:val="P68B1DB1-BodyText11"/>
        <w:numPr>
          <w:ilvl w:val="0"/>
          <w:numId w:val="31"/>
        </w:numPr>
        <w:rPr>
          <w:i/>
        </w:rPr>
      </w:pPr>
      <w:r>
        <w:t xml:space="preserve">zakone i druge propise države članice koji se odnose na tehničke specifikacije ili druge zahtjeve ili na pravila o uslugama, ili na profesionalne kodekse ili kodekse prakse koji se pak odnose na tehničke specifikacije ili druge zahtjeve ili na propise o uslugama, a čije ispunjavanje stvara pretpostavku o sukladnosti s obvezama propisanima prethodno navedenim zakonima i drugim propisima; </w:t>
      </w:r>
    </w:p>
    <w:p w14:paraId="32E4257D" w14:textId="77777777">
      <w:pPr>
        <w:pStyle w:val="BodyText"/>
        <w:ind w:left="1287"/>
        <w:rPr>
          <w:i/>
        </w:rPr>
      </w:pPr>
    </w:p>
    <w:p w14:paraId="5E0B6B62" w14:textId="2D5EF06C">
      <w:pPr>
        <w:pStyle w:val="P68B1DB1-BodyText11"/>
        <w:numPr>
          <w:ilvl w:val="0"/>
          <w:numId w:val="31"/>
        </w:numPr>
        <w:rPr>
          <w:i/>
        </w:rPr>
      </w:pPr>
      <w:r>
        <w:t xml:space="preserve">dobrovoljne sporazume u kojima je ugovorna stranka neko državno tijelo, a koji u općem interesu osiguravaju poštovanje tehničkih specifikacija ili drugih zahtjeva ili propisa koji se odnose na usluge, uz izuzeće specifikacija iz natječaja za javne nabave; </w:t>
      </w:r>
    </w:p>
    <w:p w14:paraId="4BEF10A9" w14:textId="77777777">
      <w:pPr>
        <w:pStyle w:val="BodyText"/>
        <w:rPr>
          <w:i/>
        </w:rPr>
      </w:pPr>
    </w:p>
    <w:p w14:paraId="5C79F6B1" w14:textId="7967F579">
      <w:pPr>
        <w:pStyle w:val="P68B1DB1-BodyText11"/>
        <w:numPr>
          <w:ilvl w:val="0"/>
          <w:numId w:val="31"/>
        </w:numPr>
        <w:rPr>
          <w:i/>
        </w:rPr>
      </w:pPr>
      <w:r>
        <w:t xml:space="preserve">tehničke specifikacije ili druge zahtjeve ili pravila o uslugama povezane s fiskalnim ili financijskim mjerama koje utječu na potrošnju proizvoda ili usluga kroz poticanje pridržavanja takvih tehničkih specifikacija ili drugih zahtjeva ili propisa o uslugama; nisu uključene tehničke specifikacije ili drugi zahtjevi ili propisi o uslugama povezani s nacionalnim sustavima socijalnog osiguranja. </w:t>
      </w:r>
    </w:p>
    <w:p w14:paraId="712A28B1" w14:textId="77777777">
      <w:pPr>
        <w:pStyle w:val="BodyText"/>
        <w:rPr>
          <w:i/>
        </w:rPr>
      </w:pPr>
    </w:p>
    <w:p w14:paraId="24545D3F" w14:textId="615DFC82">
      <w:pPr>
        <w:pStyle w:val="P68B1DB1-BodyText11"/>
        <w:ind w:left="567"/>
        <w:rPr>
          <w:i/>
        </w:rPr>
      </w:pPr>
      <w:r>
        <w:t xml:space="preserve">To obuhvaća tehničke propise koje nameću tijela koja su imenovale države članice i koji se nalaze na popisu koji prema potrebi sastavlja i ažurira Komisija u okviru Odbora iz članka 2.”</w:t>
      </w:r>
    </w:p>
    <w:p w14:paraId="5E87FB40" w14:textId="77777777">
      <w:pPr>
        <w:pStyle w:val="BodyText"/>
        <w:ind w:left="567"/>
        <w:rPr>
          <w:i/>
        </w:rPr>
      </w:pPr>
    </w:p>
    <w:p w14:paraId="5389ED96" w14:textId="0CBC1966">
      <w:pPr>
        <w:pStyle w:val="BodyText"/>
        <w:jc w:val="right"/>
      </w:pPr>
      <w:r>
        <w:t xml:space="preserve">(članak 1. stavak 1. točka (f) druga i treća rečenica Direktive (EU) 2015/1535)</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Presuda od 20. ožujka 1997.</w:t>
        </w:r>
      </w:hyperlink>
      <w:r>
        <w:t xml:space="preserve">, Bic Benelux, C-13/96, EU:C:1997:173, t. 23. do 25.</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Zahtjev za označivanje namijenjen informiranju potrošača o ekološkom otisku određenih proizvoda i povezan s porezom, ali predstavlja tehničku specifikaciju. Ne može se smatrati da je isključivo „povezan s poreznom mjerom” i stoga nije obuhvaćen definicijom „de facto tehničkih propisa”.</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kao prvo, zahtjev označivanja o kojem je riječ u glavnom postupku predstavlja, u skladu s definicijom iz članka 1. stavka 5. Direktive 83/189, de jure tehnički propis u smislu da je njegovo „poštovanje [...] obvezno [...] u slučaju stavljanja na tržište” dotičnog proizvoda i da je, u skladu s definicijom iz članka 1. stavka 1., tehnička specifikacija, s obzirom na to da se u njemu definiraju „svojstva koja se zahtijevaju od proizvoda, kao što su [...] zahtjevi koji se primjenjuju na proizvod u pogledu [...] obilježavanja ili označivanja”.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S druge strane, cilj je predmetne oznake informirati javnost, među ostalim, o učincima proizvoda na okoliš, a belgijska vlada potvrdila je važnost koju tom aspektu treba pridati pravila o označivanju. Cilj poreza za zaštitu okoliša, a to je zaštita okoliša, stoga je ojačan oznakom koja, kao i druge oznake za okoliš, neovisno o tome jesu li povezane s porezom za zaštitu okoliša, podsjećaju potrošače na štetne učinke predmetnih proizvoda na okoliš.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Budući da se predmetni zahtjev označivanja nikako ne može smatrati isključivo pratećom fiskalnom mjerom, ona stoga ne predstavlja zahtjev povezan s poreznom mjerom u smislu članka 1. stavka 9. drugog podstavka treće alineje Direktive 83/189, kako je izmijenjena Direktivom 94/10.”</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Presuda od 10. srpnja 2014.,</w:t>
        </w:r>
      </w:hyperlink>
      <w:r>
        <w:rPr>
          <w:b/>
          <w:i/>
        </w:rPr>
        <w:t xml:space="preserve"> Ivansson i dr.</w:t>
      </w:r>
      <w:r>
        <w:rPr>
          <w:sz w:val="25"/>
        </w:rPr>
        <w:t>,</w:t>
      </w:r>
      <w:r>
        <w:rPr>
          <w:b/>
          <w:i/>
        </w:rPr>
        <w:t xml:space="preserve"> C-307/13, EU:C:2014:2058, t. 30. i 31.</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Upućivanje na detaljna upravna pravila koja sadržavaju „tehničke specifikacije” ili „ostale zahtjeve” može nacrtu zakona dati status „de facto tehničkog propisa”.</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valja utvrditi da, iako taj stavak </w:t>
      </w:r>
      <w:r>
        <w:rPr>
          <w:i w:val="0"/>
        </w:rPr>
        <w:t>nije</w:t>
      </w:r>
      <w:r>
        <w:t xml:space="preserve"> sam po sebi tehnički propis, on u svojem drugom podstavku upućuje na dodatne odredbe o uzgoju kokoši koje bi Odbor za poljoprivredu naknadno priopćio.</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Takvo upućivanje na detaljnija upravna pravila može, pod uvjetom da se može smatrati da su ta pravila sama po sebi „tehničke specifikacije” ili „ostali zahtjevi”, dati svojstvo „de facto tehničkog propisa” članku 9. Dekreta o držanju, u skladu s člankom 1. točkom 11. prvom alinejom Direktive 98/34.”</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Presuda od 11. lipnja 2015.</w:t>
        </w:r>
      </w:hyperlink>
      <w:r>
        <w:t xml:space="preserve">, Berlington Hungary i dr., C-98/14, EU:C:2015:386, t. 95. do 97.</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Nacionalne odredbe kojima se s pet množi porez na automate za igre na sreću koji se koriste u igračnicama i kojima se uvodi proporcionalni porez na tu djelatnost ne predstavljaju „de facto tehničke propise” jer je riječ o poreznim odredbama, a ne o „tehničkim specifikacijama povezanima s poreznim pravilom” u smislu Direktive.</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U skladu s člankom 1. stavkom 11. trećom alinejom te direktive, „de facto tehnički propisi” u smislu te odredbe sastoje se od „tehničkih specifikacija ili drugih zahtjeva ili pravila o uslugama koji su povezani s fiskalnim ili financijskim mjerama koje utječu na potrošnju proizvoda ili usluga poticanjem sukladnosti s takvim tehničkim specifikacijama ili drugim zahtjevima ili pravilima o uslugama”.</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Iz tog teksta proizlazi da pojam „de facto tehnički propisi” ne znači same porezne mjere, nego tehničke specifikacije ili druge zahtjeve koji su s njim povezani.</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U skladu s tim, porezni propis poput onoga o kojem je riječ u glavnom postupku, koji nije popraćen nikakvom tehničkom specifikacijom ili bilo kojim drugim zahtjevom čiji je cilj osigurati usklađenost, ne može se kvalificirati kao „de facto tehnički propis”.</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Presuda od 8. listopada 2020.</w:t>
        </w:r>
      </w:hyperlink>
      <w:r>
        <w:t xml:space="preserve">, Admiral Sportwetten i dr., EU:C:2020:812, t. 38. i 41.</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Porezno zakonodavstvo, koje nije popraćeno nikakvom „tehničkom specifikacijom” ili bilo kojim drugim zahtjevom čiji je cilj osigurati usklađenost, ne može se kvalificirati kao „de facto tehnički propis”. Nacionalno porezno zakonodavstvo kojim se predviđa oporezivanje iskorištavanja uređaja za sportsko klađenje stoga ne predstavlja „tehnički propis”.</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kad je riječ o de facto tehničkim propisima u smislu članka 1. stavka 1. točke (f) podtočke iii. Direktive 2015/1535, Sud je već presudio da se porezno zakonodavstvo, koje nije popraćeno nikakvim tehničkim specifikacijama ili bilo kojim drugim zahtjevom koji se njime navodno nastoji osigurati, ne može kvalificirati kao „de facto tehnički propis” (vidjeti u tom smislu presudu od 11. lipnja 2015., Berlington Hungary i dr., C 98/14</w:t>
        <w:noBreakHyphen/>
        <w:t xml:space="preserve">, EU:C:2015:386, t. 97.).”</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bookmarkStart w:id="115" w:name="point41"/>
      <w:r>
        <w:t>41</w:t>
      </w:r>
      <w:bookmarkEnd w:id="115"/>
      <w:r>
        <w:t xml:space="preserve">. Slijedom toga, s obzirom na sva prethodna razmatranja, na prvo pitanje valja odgovoriti tako da članak 1. Direktive 2015/1535 treba tumačiti na način da nacionalno porezno pravilo kojim se predviđa oporezivanje korištenja terminala za klađenje ne predstavlja „tehnički propis” u smislu tog članka.”</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Presuda od 22. prosinca 2022.</w:t>
        </w:r>
      </w:hyperlink>
      <w:r>
        <w:rPr>
          <w:rFonts w:ascii="Times New Roman" w:hAnsi="Times New Roman" w:cs="Times New Roman" w:eastAsia="Times New Roman"/>
          <w:b/>
          <w:i/>
          <w:szCs w:val="20"/>
        </w:rPr>
        <w:t xml:space="preserve">, Airbnb Ireland i Airbnb Payments UK, C 83/21</w:t>
        <w:noBreakHyphen/>
        <w:t xml:space="preserve">, EU:C:2022:1018, t. 29. i 30.</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Porezni propis kao takav ne može se kvalificirati kao „de facto tehnički propis”.</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 29 Kao treće, što se tiče Direktive 2015/1535, valja istaknuti da se ona odnosi na „[UFEU], a osobito njegove članke 114., 337. i 43.”. Stoga najprije valja istaknuti da se isključenje predviđeno člankom 114. stavkom 2. UFEU-a u vezi s „fiskalnim odredbama” također primjenjuje u vezi s tom direktivom zbog razloga navedenih u točki 25. ove presude.</w:t>
      </w:r>
    </w:p>
    <w:p w14:paraId="5619063A" w14:textId="77777777">
      <w:pPr>
        <w:pStyle w:val="P68B1DB1-BodyText19"/>
        <w:ind w:left="567"/>
      </w:pPr>
    </w:p>
    <w:p w14:paraId="43BD732D" w14:textId="6B6E6B11">
      <w:pPr>
        <w:pStyle w:val="P68B1DB1-BodyText19"/>
        <w:ind w:left="567"/>
        <w:rPr>
          <w:iCs/>
        </w:rPr>
      </w:pPr>
      <w:r>
        <w:t xml:space="preserve">30. 30 Osim toga, sadržaj Direktive 2015/1535 neizravno potvrđuje isključenje „fiskalnih odredbi” iz njezina područja primjene jer se u tekstu članka 1. stavka 1. točke (f) podtočke iii. te direktive međude factotehničkim propisima navode tehničke specifikacije ili drugi zahtjevi ili propisi o uslugama „povezani s fiskalnim ili financijskim mjerama”. To stoga nisu stvarne porezne mjere, nego samo mjere povezane s poreznim mjerama (vidjeti u tom smislu presudu od 8. listopada 2020., Admiral Sportwetten i dr., C-711/19, EU:C:2020:812, t. 38.); potonja stoga kao takva ostaje izvan područja primjene te direktive.”</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Isključena pitanja</w:t>
      </w:r>
      <w:bookmarkEnd w:id="117"/>
      <w:bookmarkEnd w:id="118"/>
      <w:bookmarkEnd w:id="119"/>
    </w:p>
    <w:p w14:paraId="1278603B" w14:textId="77777777">
      <w:pPr>
        <w:pStyle w:val="BodyText"/>
        <w:rPr>
          <w:b/>
          <w:bCs/>
        </w:rPr>
      </w:pPr>
    </w:p>
    <w:p w14:paraId="1B32B976" w14:textId="77777777">
      <w:pPr>
        <w:pStyle w:val="P68B1DB1-BodyText11"/>
        <w:ind w:left="567"/>
      </w:pPr>
      <w:r>
        <w:t xml:space="preserve">„2. Ova se Direktiva ne primjenjuje na: </w:t>
      </w:r>
    </w:p>
    <w:p w14:paraId="04019AF2" w14:textId="77777777">
      <w:pPr>
        <w:pStyle w:val="P68B1DB1-BodyText11"/>
        <w:ind w:left="1287" w:firstLine="153"/>
      </w:pPr>
      <w:r>
        <w:t xml:space="preserve">(a) usluge radijskog emitiranja; </w:t>
      </w:r>
    </w:p>
    <w:p w14:paraId="1EADA741" w14:textId="108B47F0">
      <w:pPr>
        <w:pStyle w:val="P68B1DB1-BodyText11"/>
        <w:ind w:left="1440"/>
      </w:pPr>
      <w:r>
        <w:t xml:space="preserve">(b) usluge televizijskog emitiranja obuhvaćene člankom 1. stavkom 1. točkom (e) Direktive 2010/13/EU Europskog parlamenta i Vijeća (1). </w:t>
      </w:r>
    </w:p>
    <w:p w14:paraId="7DD31811" w14:textId="77777777">
      <w:pPr>
        <w:pStyle w:val="P68B1DB1-BodyText11"/>
        <w:ind w:left="567"/>
      </w:pPr>
    </w:p>
    <w:p w14:paraId="21C04911" w14:textId="0885ED27">
      <w:pPr>
        <w:pStyle w:val="P68B1DB1-BodyText11"/>
        <w:ind w:left="567"/>
      </w:pPr>
      <w:r>
        <w:t xml:space="preserve">3. Ova se Direktiva ne primjenjuje na pravila koja se odnose na pitanja obuhvaćena zakonodavstvom Unije u području telekomunikacijskih usluga, kako su obuhvaćena Direktivom 2002/21/EZ Europskog parlamenta i Vijeća (2). </w:t>
      </w:r>
    </w:p>
    <w:p w14:paraId="14E66827" w14:textId="77777777">
      <w:pPr>
        <w:pStyle w:val="P68B1DB1-BodyText11"/>
        <w:ind w:left="567"/>
      </w:pPr>
    </w:p>
    <w:p w14:paraId="21D3AD3B" w14:textId="663656A4">
      <w:pPr>
        <w:pStyle w:val="P68B1DB1-BodyText11"/>
        <w:ind w:left="567"/>
      </w:pPr>
      <w:r>
        <w:t xml:space="preserve">4. Ova se Direktiva ne primjenjuje na pravila koja se odnose na pitanja obuhvaćena zakonodavstvom Unije u području financijskih usluga, kako je netaksativno navedeno u Prilogu II. ovoj Direktivi. </w:t>
      </w:r>
    </w:p>
    <w:p w14:paraId="0E58960E" w14:textId="77777777">
      <w:pPr>
        <w:pStyle w:val="P68B1DB1-BodyText11"/>
        <w:ind w:left="567"/>
      </w:pPr>
    </w:p>
    <w:p w14:paraId="66AEA247" w14:textId="77777777">
      <w:pPr>
        <w:pStyle w:val="P68B1DB1-BodyText11"/>
        <w:ind w:left="567"/>
      </w:pPr>
      <w:r>
        <w:t xml:space="preserve">5. Uz iznimku članka 5. stavka 3., ova se Direktiva ne primjenjuje na pravila koja su donijela uređena tržišta ili koja su donesena za uređena tržišta u smislu Direktive 2004/39/EZ Europskog parlamenta i Vijeća (3) ili od strane ili za druga tržišta ili tijela koja obavljaju funkcije poravnanja ili namire za ta tržišta.</w:t>
      </w:r>
    </w:p>
    <w:p w14:paraId="5D510CB9" w14:textId="77777777">
      <w:pPr>
        <w:pStyle w:val="P68B1DB1-BodyText11"/>
        <w:ind w:left="567"/>
      </w:pPr>
    </w:p>
    <w:p w14:paraId="70E3F74F" w14:textId="117D7E99">
      <w:pPr>
        <w:pStyle w:val="P68B1DB1-BodyText11"/>
        <w:ind w:left="567"/>
      </w:pPr>
      <w:r>
        <w:t xml:space="preserve">6. Ova se Direktiva ne primjenjuje na mjere koje države članice uvode na temelju Ugovora radi zaštite osoba, posebno radnika, prilikom uporabe proizvoda, ako te mjere ne utječu na proizvode.</w:t>
      </w:r>
    </w:p>
    <w:p w14:paraId="24FE75EA" w14:textId="77777777">
      <w:pPr>
        <w:pStyle w:val="P68B1DB1-BodyText11"/>
        <w:ind w:left="567"/>
      </w:pPr>
    </w:p>
    <w:p w14:paraId="74938EC0" w14:textId="5965F3C9">
      <w:pPr>
        <w:pStyle w:val="BodyText"/>
        <w:ind w:left="1080"/>
        <w:jc w:val="right"/>
      </w:pPr>
      <w:r>
        <w:t xml:space="preserve">(Članak 1. stavci od 2. do 6. Direktive (EU) 2015/1535)</w:t>
      </w:r>
    </w:p>
    <w:p w14:paraId="2BAD670C" w14:textId="77777777">
      <w:pPr>
        <w:pStyle w:val="BodyText"/>
        <w:rPr>
          <w:i/>
          <w:iCs/>
          <w:sz w:val="20"/>
        </w:rPr>
      </w:pPr>
    </w:p>
    <w:p w14:paraId="0C974BBF" w14:textId="3B58908A">
      <w:pPr>
        <w:pStyle w:val="P68B1DB1-BodyText23"/>
        <w:ind w:left="567"/>
        <w:rPr>
          <w:iCs/>
        </w:rPr>
      </w:pPr>
      <w:r>
        <w:t xml:space="preserve">„‚televizijsko emitiranje’ ili ‚televizijsko emitiranje’ (tj. linearna audiovizualna medijska usluga) znači audiovizualna medijska usluga koju pruža pružatelj medijske usluge za istodobno gledanje programa na temelju rasporeda programa;”</w:t>
      </w:r>
    </w:p>
    <w:p w14:paraId="68D48BC5" w14:textId="77777777">
      <w:pPr>
        <w:pStyle w:val="BodyText"/>
        <w:ind w:left="567"/>
        <w:rPr>
          <w:i/>
          <w:iCs/>
          <w:szCs w:val="24"/>
        </w:rPr>
      </w:pPr>
    </w:p>
    <w:p w14:paraId="1E9F9AD6" w14:textId="648E8643">
      <w:pPr>
        <w:pStyle w:val="BodyText"/>
        <w:ind w:left="1080"/>
        <w:jc w:val="right"/>
      </w:pPr>
      <w:r>
        <w:t xml:space="preserve">(Članak 1. stavak 1. točka (e) Direktive 2010/13/EU)</w:t>
      </w:r>
    </w:p>
    <w:p w14:paraId="13E3D11F" w14:textId="77777777">
      <w:pPr>
        <w:pStyle w:val="BodyText"/>
        <w:ind w:left="1080"/>
        <w:jc w:val="right"/>
      </w:pPr>
    </w:p>
    <w:p w14:paraId="6E0ADBB8" w14:textId="55100584">
      <w:pPr>
        <w:pStyle w:val="P68B1DB1-BodyText11"/>
        <w:jc w:val="center"/>
        <w:rPr>
          <w:i/>
        </w:rPr>
      </w:pPr>
      <w:r>
        <w:t xml:space="preserve">Indikativni popis financijskih usluga obuhvaćenih člankom 1. stavkom 4.</w:t>
      </w:r>
    </w:p>
    <w:p w14:paraId="25F72A02" w14:textId="77777777">
      <w:pPr>
        <w:pStyle w:val="BodyText"/>
        <w:jc w:val="center"/>
        <w:rPr>
          <w:i/>
        </w:rPr>
      </w:pPr>
    </w:p>
    <w:p w14:paraId="319C26B1" w14:textId="77777777">
      <w:pPr>
        <w:pStyle w:val="P68B1DB1-BodyText11"/>
        <w:ind w:left="567"/>
        <w:rPr>
          <w:i/>
        </w:rPr>
      </w:pPr>
      <w:r>
        <w:t xml:space="preserve">— Investicijske usluge, </w:t>
      </w:r>
    </w:p>
    <w:p w14:paraId="4E853016" w14:textId="77777777">
      <w:pPr>
        <w:pStyle w:val="P68B1DB1-BodyText11"/>
        <w:ind w:left="567"/>
        <w:rPr>
          <w:i/>
        </w:rPr>
      </w:pPr>
      <w:r>
        <w:t xml:space="preserve">— djelatnosti osiguranja i reosiguranja, </w:t>
      </w:r>
    </w:p>
    <w:p w14:paraId="6692A963" w14:textId="77777777">
      <w:pPr>
        <w:pStyle w:val="P68B1DB1-BodyText11"/>
        <w:ind w:left="567"/>
        <w:rPr>
          <w:i/>
        </w:rPr>
      </w:pPr>
      <w:r>
        <w:t xml:space="preserve">— bankarske usluge, </w:t>
      </w:r>
    </w:p>
    <w:p w14:paraId="23791C4C" w14:textId="77777777">
      <w:pPr>
        <w:pStyle w:val="P68B1DB1-BodyText11"/>
        <w:ind w:left="567"/>
        <w:rPr>
          <w:i/>
        </w:rPr>
      </w:pPr>
      <w:r>
        <w:t xml:space="preserve">— operacije povezane s mirovinskim fondovima, </w:t>
      </w:r>
    </w:p>
    <w:p w14:paraId="783F6792" w14:textId="77777777">
      <w:pPr>
        <w:pStyle w:val="P68B1DB1-BodyText11"/>
        <w:ind w:left="567"/>
        <w:rPr>
          <w:i/>
        </w:rPr>
      </w:pPr>
      <w:r>
        <w:t xml:space="preserve">— usluge povezane s trgovanjem budućnosnicama ili opcijama. </w:t>
      </w:r>
    </w:p>
    <w:p w14:paraId="2DCD1B55" w14:textId="77777777">
      <w:pPr>
        <w:pStyle w:val="BodyText"/>
        <w:ind w:left="567"/>
        <w:rPr>
          <w:i/>
        </w:rPr>
      </w:pPr>
    </w:p>
    <w:p w14:paraId="337555AF" w14:textId="77777777">
      <w:pPr>
        <w:pStyle w:val="P68B1DB1-BodyText11"/>
        <w:ind w:left="567"/>
        <w:rPr>
          <w:i/>
        </w:rPr>
      </w:pPr>
      <w:r>
        <w:t xml:space="preserve">Takve usluge posebno uključuju: </w:t>
      </w:r>
    </w:p>
    <w:p w14:paraId="3764E7FA" w14:textId="7CA8CD82">
      <w:pPr>
        <w:pStyle w:val="P68B1DB1-BodyText11"/>
        <w:ind w:left="567"/>
        <w:rPr>
          <w:i/>
        </w:rPr>
      </w:pPr>
      <w:r>
        <w:t xml:space="preserve">(a) investicijske usluge iz Priloga Direktivi 2004/39/EZ; usluge subjekata za zajednička ulaganja; </w:t>
      </w:r>
    </w:p>
    <w:p w14:paraId="5E0AD7FB" w14:textId="67C20460">
      <w:pPr>
        <w:pStyle w:val="P68B1DB1-BodyText11"/>
        <w:ind w:left="567"/>
        <w:rPr>
          <w:i/>
        </w:rPr>
      </w:pPr>
      <w:r>
        <w:t xml:space="preserve">(b) usluge obuhvaćene djelatnostima koje podliježu uzajamnom priznavanju iz Priloga I. Direktivi 2013/36/EU Europskog parlamenta i Vijeća (1); </w:t>
      </w:r>
    </w:p>
    <w:p w14:paraId="48C2F22B" w14:textId="3B1B8A48">
      <w:pPr>
        <w:pStyle w:val="P68B1DB1-BodyText11"/>
        <w:ind w:left="567"/>
        <w:rPr>
          <w:i/>
        </w:rPr>
      </w:pPr>
      <w:r>
        <w:t xml:space="preserve">(C) djelatnosti osiguranja i reosiguranja iz Direktive 2009/138/EZ Europskog parlamenta i Vijeća (2).</w:t>
      </w:r>
    </w:p>
    <w:p w14:paraId="29E9A8E3" w14:textId="77777777">
      <w:pPr>
        <w:pStyle w:val="BodyText"/>
        <w:ind w:left="720"/>
        <w:rPr>
          <w:i/>
        </w:rPr>
      </w:pPr>
    </w:p>
    <w:p w14:paraId="79D13F1F" w14:textId="142C9AC5">
      <w:pPr>
        <w:pStyle w:val="BodyText"/>
        <w:ind w:left="1080"/>
        <w:jc w:val="right"/>
      </w:pPr>
      <w:r>
        <w:t xml:space="preserve">(Prilog II. Direktivi (EU) 2015/1535)</w:t>
      </w:r>
    </w:p>
    <w:p w14:paraId="0C95D790" w14:textId="77777777">
      <w:pPr>
        <w:pStyle w:val="BodyText"/>
        <w:ind w:left="567"/>
        <w:rPr>
          <w:i/>
          <w:iCs/>
          <w:szCs w:val="24"/>
        </w:rPr>
      </w:pPr>
    </w:p>
    <w:p w14:paraId="7A47117F" w14:textId="7E196DE2">
      <w:pPr>
        <w:pStyle w:val="P68B1DB1-BodyText23"/>
        <w:ind w:left="567"/>
        <w:rPr>
          <w:iCs/>
        </w:rPr>
      </w:pPr>
      <w:r>
        <w:t xml:space="preserve">„‚uređeno tržište’ znači multilateralni sustav kojim upravlja i/ili kojim upravlja tržišni operater, a koji objedinjuje ili olakšava objedinjavanje višestrukih interesa trećih strana za kupnju i prodaju financijskih instrumenata – u sustavu i u skladu s njegovim nediskrecijskim pravilima – na način koji dovodi do sklapanja ugovora u pogledu financijskih instrumenata uvrštenih za trgovanje prema njegovim pravilima i/ili sustavima te koji ima odobrenje i djeluje redovito i u skladu s glavom III. ove Direktive;”</w:t>
      </w:r>
    </w:p>
    <w:p w14:paraId="326B89D5" w14:textId="77777777">
      <w:pPr>
        <w:pStyle w:val="BodyText"/>
        <w:ind w:left="567"/>
        <w:rPr>
          <w:i/>
          <w:iCs/>
          <w:szCs w:val="24"/>
        </w:rPr>
      </w:pPr>
    </w:p>
    <w:p w14:paraId="2EE59DAD" w14:textId="7FE2F68F">
      <w:pPr>
        <w:pStyle w:val="P68B1DB1-BodyText24"/>
        <w:ind w:left="567"/>
        <w:jc w:val="right"/>
      </w:pPr>
      <w:r>
        <w:t xml:space="preserve">(Članak 4. stavak 21. Direktive (EU) 2014/65, </w:t>
      </w:r>
    </w:p>
    <w:p w14:paraId="510D994F" w14:textId="6EE676DC">
      <w:pPr>
        <w:pStyle w:val="P68B1DB1-BodyText24"/>
        <w:ind w:left="567"/>
        <w:jc w:val="right"/>
      </w:pPr>
      <w:r>
        <w:t xml:space="preserve">preinaka Direktive 2004/39/EZ)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Presuda od 2. lipnja 2005.</w:t>
        </w:r>
      </w:hyperlink>
      <w:r>
        <w:rPr>
          <w:rFonts w:ascii="Times New Roman" w:hAnsi="Times New Roman" w:cs="Times New Roman" w:eastAsia="Times New Roman"/>
          <w:b/>
          <w:i/>
          <w:szCs w:val="20"/>
        </w:rPr>
        <w:t xml:space="preserve">, Mediakabel BV, C-89/04, EU:C:2005:348, t. 22. i 23.</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Usluga televizijskog emitiranja dostupna na zahtjev pretplatnika, koja se sastoji od filmova čiju učestalost i vremenski raspored određuje pružatelj, usluga je „gotovo videozapisa na zahtjev” koja je obuhvaćena pojmom „usluge televizijskog emitiranja”. Taj je pojam autonomno definiran Direktivom 2010/13/EU (bivši Direktiva 89/552/EEZ), neovisno o pojmu „usluga informacijskog društva”.</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doseg pojma „televizijsko emitiranje” zasigurno se ne može izvesti isključenjem pojma „usluga informacijskog društva”. Direktiva 98/34, kako u članku 1. točki 2. tako i u Prilogu V., upućuje na usluge koje nisu obuhvaćene pojmom „usluga informacijskog društva” i koje kao takve nisu usluge televizijskog emitiranja. To je, među ostalim, slučaj s uslugama radijskog emitiranja. Isto tako, usluge televizijskog emitiranja ne mogu se ograničiti na usluge „koje se pružaju prijenosom podataka bez pojedinačnog zahtjeva za istodobnim primanjem neograničenog broja pojedinačnih prijamnika” iz točke 3. Priloga V. Direktivi 98/34. Ako bi se slijedilo to tumačenje, usluge poput televizije dostupne pretplatom, koje se prenose ograničenom broju primatelja, bile bi isključene iz pojma „usluga televizijskog emitiranja”, iako su obuhvaćene tim pojmom, na temelju kriterija utvrđenih u članku 1. točki (a) Direktive 89/552.</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Naposljetku, prilikom donošenja direktiva 98/34 i 98/48 zakonodavac Zajednice nije namjeravao izmijeniti Direktivu 89/552, koja je sama izmijenjena manje od godinu dana ranije Direktivom 97/36. Tako se u uvodnoj izjavi 20. Direktive 98/48, kojom je izmijenjena Direktiva 98/34, navodi da Direktiva 98/48 „ne dovodi u pitanje područje primjene Direktive 89/552”.</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Presuda od 12. rujna 2019.</w:t>
        </w:r>
      </w:hyperlink>
      <w:r>
        <w:t xml:space="preserve">, VG Media, C-299/17, EU:C:2019:716, t. 38.</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„Tehnička pravila” u području intelektualnog vlasništva nisu isključena iz područja primjene Direktive, za razliku od onih koja se odnose na telekomunikacijske ili financijske usluge.</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okolnost da je članak 87.g stavak 4. UrhG-a dio nacionalnog propisa o autorskom pravu ili autorskom pravu srodnim pravima ne može dovesti u pitanje tu ocjenu. Naime, tehnički propisi iz područja intelektualnog vlasništva nisu izričito isključeni iz područja primjene članka 1. točke 5. Direktive 98/34, a za razliku od tehničkih propisa iz područja telekomunikacijskih ili financijskih usluga koji su regulirani na europskoj razini. Osim toga, iz presude od 8. studenoga 2007., Schwibbert (C 20/05,</w:t>
        <w:noBreakHyphen/>
        <w:t xml:space="preserve">EU:C:2007:652) proizlazi da odredbe nacionalnog zakonodavstva o intelektualnom vlasništvu mogu biti „tehnički propis” koji podliježe obavješćivanju u skladu s člankom 8. stavkom 1. te direktive.”</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Obveza obavješćivanja</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Obavijest u fazi nacrta</w:t>
      </w:r>
      <w:bookmarkEnd w:id="123"/>
      <w:bookmarkEnd w:id="124"/>
    </w:p>
    <w:p w14:paraId="27EBED2C" w14:textId="3CCBF668">
      <w:pPr>
        <w:pStyle w:val="BodyText"/>
        <w:rPr>
          <w:b/>
          <w:bCs/>
        </w:rPr>
      </w:pPr>
    </w:p>
    <w:p w14:paraId="58135D0C" w14:textId="021350D1">
      <w:pPr>
        <w:pStyle w:val="P68B1DB1-BodyText11"/>
        <w:ind w:left="567"/>
        <w:rPr>
          <w:iCs/>
        </w:rPr>
      </w:pPr>
      <w:r>
        <w:t xml:space="preserve">„Pridržavajući se članka 7., države članice Komisiji odmah dostavljaju sve nacrte tehničkih propisa, osim ako se njima u cijelosti prenosi tekst međunarodne ili europske norme, u kojem su slučaju dovoljne informacije o relevantnoj normi; također dostavljaju Komisiji izjavu o razlozima zbog kojih je donošenje takvog tehničkog propisa potrebno, ako ti razlozi već nisu pojašnjeni u nacrtu.”</w:t>
      </w:r>
    </w:p>
    <w:p w14:paraId="79E57C28" w14:textId="77777777">
      <w:pPr>
        <w:pStyle w:val="BodyText"/>
        <w:ind w:left="567"/>
        <w:rPr>
          <w:i/>
          <w:iCs/>
        </w:rPr>
      </w:pPr>
    </w:p>
    <w:p w14:paraId="4348B9F9" w14:textId="1F348A6E">
      <w:pPr>
        <w:pStyle w:val="BodyText"/>
        <w:jc w:val="right"/>
      </w:pPr>
      <w:r>
        <w:t xml:space="preserve">(članak 5. stavak 1. prva rečenica Direktive (EU) 2015/1535)</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Presuda od 2. kolovoza 1993.</w:t>
        </w:r>
      </w:hyperlink>
      <w:r>
        <w:t xml:space="preserve">, Komisija protiv Italije, C-139/92, EU:C:1993:346, točke 8. i 9.</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Time što u fazi nacrta nije dostavila ministarsku uredbu o definiciji i provjeri najveće snage, kao i o konstrukciji i ugradnji motora za plovila za razonodu, Italija nije ispunila svoje obveze dostave nacrta tehničkih propisa.</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Talijanska vlada ne osporava da u fazi nacrta nije obavijestila Komisiju o predmetnoj ministarskoj uredbi.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Budući da je utvrđeno da su povrijeđeni članci 8. i 9. Direktive, potrebno je, na način koji traži Komisija, utvrditi postojanje povrede obveze.”</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Presuda od 14. srpnja 1994.</w:t>
        </w:r>
      </w:hyperlink>
      <w:r>
        <w:t xml:space="preserve">, Komisija protiv Nizozemske, C-61/93, EU:C:1994:302, točke 6. i 10.</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Time što je donijela odluke o zahtjevima u pogledu otpornosti na boce bezalkoholnih pića te o sastavu, razvrstavanju, pakiranju i označivanju pesticida, a da o njima nije obavijestila Komisiju u fazi nacrta, Nizozemska je povrijedila svoje obveze dostave nacrta tehničkih propisa.</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U dopisu od 17. studenoga 1989. nizozemska tijela priznala su da Uredba od 16. siječnja 1989. sadržava tehničke norme obuhvaćene Direktivom 83/189 i da nisu obavijestila Komisiju o nacrtu izmjene. Međutim, istaknuli su da je odluka poslana Komisiji, koja je priložena dopisu od 22. svibnja 1989. u kojem se toj instituciji daju informacije o privatizaciji pondera i tijela nadležnih za mjere.”</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Nesporno je da su u skladu s člankom 8. Direktive nacrti odluka od 16. siječnja 1989., 24. kolovoza 1988. i 21. listopada 1988. trebali biti odmah dostavljeni Komisiji u fazi izrade nacrta i da takva obavijest nije dostavljena.”</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Presuda od 14. srpnja 1994.</w:t>
        </w:r>
      </w:hyperlink>
      <w:r>
        <w:t xml:space="preserve">, Komisija protiv Nizozemske, C-52/93, EU:C:1994:301, točke 6. i 10.</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Time što je izmijenila Uredbu o standardima kvalitete za cvjetne lukovice a da o tome nije obavijestila Komisiju u fazi nacrta, Nizozemska je povrijedila svoje obveze dostave nacrta tehničkih propisa.</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Dopisom od 4. studenoga 1991. nizozemska tijela priznala su da je predmetni propis tehnički propis u smislu Direktive 83/189 i da nisu obavijestila Komisiju o nacrtu izmjene.”</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Nesporno je da je u skladu s člankom 8. Direktive o nacrtu izmjene XIII. Uredbe o PVS-u trebalo odmah obavijestiti Komisiju i da takva obavijest nije dostavljena.”</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Presuda od 8. rujna 2005.</w:t>
        </w:r>
      </w:hyperlink>
      <w:r>
        <w:t xml:space="preserve">, Komisija protiv Portugala, C-500/03, EU:C:2005:515, točke 39. do 41.</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Direktivom se od država članica zahtijeva da odmah obavijeste Komisiju o svakom nacrtu tehničkog propisa. Donošenjem tehničkog propisa, a da o tome nije obavijestio Komisiju, Portugal nije ispunio svoje obveze dostavljanja nacrta tehničkih propisa.</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(Budući da je presuda dostupna isključivo na francuskom i portugalskom jeziku, sljedeći tekst je prijevod.)</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Budući da je ova tužba zbog povrede obveze ograničena na zahtjev za utvrđenje povrede formalnog postupka prethodne obavijesti, dovoljno je istaknuti, a da pritom nije potrebno odgovoriti na druge argumente stranaka, da je Sud već presudio da članak 8. stavak 1. Direktive 98/34 obvezuje države članice da Komisiji odmah dostave svaki nacrt tehničkog propisa (vidjeti u tom smislu osobito presude od 2. kolovoza 1993., Komisija/Italija, 139/92, Zb., str.</w:t>
        <w:noBreakHyphen/>
        <w:t xml:space="preserve">I 3., t. 31. i od 11. siječnja 1996., Komisija/Nizozemska</w:t>
        <w:noBreakHyphen/>
        <w:t xml:space="preserve">, 273/94, Zb., str. I-</w:t>
        <w:noBreakHyphen/>
        <w:t xml:space="preserve">, t. 1.).</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Budući da relevantne odredbe Uredbe br. 783/98 predstavljaju tehničke propise u smislu Direktive 98/34, kao što je to navedeno u točki 31. ove presude, Portugalska Republika bila je dužna dostaviti ih u obliku nacrta u skladu s člankom 8. stavkom 1. Direktive 98/34 (vidjeti u tom smislu, kad je riječ o odredbama sličnima onima Direktive 98/34, presude od 7. svibnja 1998., Komisija/Belgija, 145/97,</w:t>
        <w:noBreakHyphen/>
        <w:t xml:space="preserve">Zb., str.</w:t>
        <w:noBreakHyphen/>
        <w:t xml:space="preserve">I-13., t. 43. i od 21. travnja 2005., Lindberg, 267/03, </w:t>
        <w:noBreakHyphen/>
        <w:t xml:space="preserve">Zb., str. I-, t.).</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Slijedom toga, valja utvrditi da je Portugalska Republika donošenjem Odluke br. 783/98, a da o tome nije obavijestila Komisiju u fazi nacrta, povrijedila obveze koje ima na temelju članka 8. Direktive 98/34.”</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Presuda od 26. listopada 2006.</w:t>
        </w:r>
      </w:hyperlink>
      <w:r>
        <w:t xml:space="preserve">, Komisija protiv Grčke, C-65/05, EU:C:2006:673, točke 60. – 62.</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Direktivom se od država članica zahtijeva da odmah obavijeste Komisiju o svakom nacrtu tehničkog propisa. Time što nije dostavila takvu obavijest prije donošenja tehničkog propisa, Grčka nije ispunila svoje obveze iz ove Direktive.</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u Uredbi br. 1367/2006 ne postoji nijedan element na temelju kojeg bi se moglo smatrati da pojam „emisije u okoliš” u smislu članka 6. stavka 1. prve rečenice te uredbe treba ograničiti na emisije koje potječu iz određenih industrijskih postrojenja, kao što su tvornice i elektrane.</w:t>
      </w:r>
    </w:p>
    <w:p w14:paraId="4BFB9A72" w14:textId="77777777">
      <w:pPr>
        <w:pStyle w:val="P68B1DB1-BodyText25"/>
        <w:ind w:left="510"/>
      </w:pPr>
    </w:p>
    <w:p w14:paraId="0E60EA19" w14:textId="5C6F09B6">
      <w:pPr>
        <w:pStyle w:val="P68B1DB1-BodyText25"/>
        <w:ind w:left="510"/>
      </w:pPr>
      <w:r>
        <w:t xml:space="preserve">61. To ograničenje ne može se izvesti ni iz Arhuške konvencije, koju treba uzeti u obzir za tumačenje Uredbe br. 1367/2006, s obzirom na to da je, kao što to predviđa njezin članak 1., cilj te uredbe utvrditi pravila koja će omogućiti primjenu odredaba Arhuške konvencije na institucije i tijela Unije i time doprinijeti provedbi obveza koje proizlaze iz te Konvencije.</w:t>
      </w:r>
    </w:p>
    <w:p w14:paraId="37017D07" w14:textId="77777777">
      <w:pPr>
        <w:pStyle w:val="P68B1DB1-BodyText25"/>
        <w:ind w:left="510"/>
      </w:pPr>
    </w:p>
    <w:p w14:paraId="36CD38D8" w14:textId="043FC15A">
      <w:pPr>
        <w:pStyle w:val="P68B1DB1-BodyText25"/>
        <w:ind w:left="510"/>
        <w:rPr>
          <w:iCs/>
        </w:rPr>
      </w:pPr>
      <w:r>
        <w:t xml:space="preserve">62. Naprotiv, kao što je to Sud istaknuo u točki 72. današnje presude Bayer CropScience i Stichting De Bijenstichting (C-442/14), takvo bi ograničenje bilo protivno izričitom tekstu članka 4. stavka 4. prvog podstavka točke (d) Arhuške konvencije. Naime, ta odredba predviđa da informacije o emisijama važne za zaštitu okoliša moraju biti otkrivene. Informacije o emisijama koje potječu iz izvora koji nisu industrijska postrojenja, kao što su one koje proizlaze iz uporabe sredstava za zaštitu bilja na biljkama ili tlu, jednako su važne za zaštitu okoliša kao i informacije koje se odnose na emisije industrijskog podrijetla.”</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Obavijesti o novim tehničkim propisima</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Presuda od 1. lipnja 1994.</w:t>
        </w:r>
      </w:hyperlink>
      <w:r>
        <w:t xml:space="preserve">, Komisija protiv Njemačke, C-317/92, EU:C:1994:212, točke 25. i 26.</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Proširenje postojećeg „tehničkog propisa” na nove proizvode obuhvaćeno je obvezom obavješćivanja, iako je početni tehnički propis čije se područje primjene proširuje već prijavljen Komisiji.</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 Ta argumentacija ne može se prihvatiti. Naime, predmetna njemačka uredba predstavlja novu tehničku specifikaciju u smislu prethodno navedenog članka 1. s obzirom na to da se sterilni medicinski instrumenti koji se ne mogu ponovno upotrijebiti mogu stavljati u promet ili upotrebljavati u Njemačkoj samo ako su ispunjene određene obveze čija je primjena prije bila ograničena na označivanje lijekova. Primjena, na određene proizvode, pravila koje se prije odnosilo samo na druge proizvode, predstavlja, u pogledu prvonavedenog, novu uredbu i stoga se o njoj mora obavijestiti u skladu s Direktivom.</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To utvrđenje nije dovedeno u pitanje činjenicom da se, kao što to tvrdi njemačka vlada, proširenje područja primjene pravila temelji na ovlašćujućoj odredbi koja je prethodno priopćena Komisiji. Ta ovlašćujuća mjera, poduzeta kao takva, ne zahtijeva obavješćivanje na temelju navedenog članka 8. jer ne predstavlja novu specifikaciju. Situacija je drukčija u pogledu provedbe te mjere, koja predstavlja novu specifikaciju koja se mora prijaviti.”</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Presuda od 3. lipnja 1999.</w:t>
        </w:r>
      </w:hyperlink>
      <w:r>
        <w:rPr>
          <w:b/>
          <w:i/>
          <w:sz w:val="22"/>
          <w:szCs w:val="22"/>
        </w:rPr>
        <w:t xml:space="preserve">, Colim NV, C-33/189, EU:C:1999:274, t. 22.</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Nacionalna mjera kojom se reproduciraju ili zamjenjuju postojeći „tehnički propisi”, o kojima je Komisija već obaviještena, bez dodavanja novih specifikacija, ne predstavlja nacrt „tehničkog propisa”.</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cilj Direktive 83/189 jest preventivnim nadzorom zaštititi slobodno kretanje robe, koje je jedan od temelja Zajednice (presuda Suda od 11. srpnja 1997., Bic Benelux ν Belgium State, C-13/96, Zb., str. I-1753., t. 19.). Cilj je tog nadzora ukloniti ili smanjiti prepreke slobodnom kretanju robe koje bi mogle proizaći iz tehničkih propisa koje države članice predlažu donijeti. Nacionalna mjera kojom se preuzimaju ili zamjenjuju, bez dodavanja novih ili dodatnih specifikacija, postojeći tehnički propisi koji su, ako su doneseni nakon stupanja na snagu Direktive 83/189, propisno priopćeni Komisiji, ne može se smatrati „nacrtom” tehničkog propisa u smislu članka 1. stavka 6. Direktive 83/189 niti, slijedom toga, obvezom obavješćivanja.”</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Presuda od 21. travnja 2005.</w:t>
        </w:r>
      </w:hyperlink>
      <w:r>
        <w:t xml:space="preserve">, Lindberg, C-267/03, EU:C:2005:246, t. 82. i 85.</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Pravilo kojim se samo ponavljaju ili zamjenjuju već prijavljena pravila bez dodavanja novih „tehničkih propisa” ne mora se priopćiti.</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najprije valja istaknuti da se nacionalna mjera kojom se preuzimaju ili zamjenjuju, bez dodavanja novih ili dodatnih specifikacija, postojeći tehnički propisi koji su, ako su doneseni nakon stupanja na snagu Direktive 83/189, propisno dostavljeni Komisiji, ne može smatrati „nacrtom” tehničkog propisa u smislu članka 1. stavka 9. Direktive 83/189 ni, slijedom toga, obvezom obavješćivanja (vidjeti gore navedenu presudu Colim, t. 22.). U ovom slučaju valja uzeti u obzir datum stupanja na snagu Direktive 83/189 u pogledu Kraljevine Švedske.”</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S obzirom na prethodno navedeno, na treće pitanje valja odgovoriti da redefiniranje u nacionalnom zakonodavstvu usluge povezane s dizajnom proizvoda, osobito usluge upravljanja određenim automatima za igre na sreću, kao što je to učinio Zakon iz 1996., može predstavljati tehnički propis o kojem treba obavijestiti na temelju Direktive 83/189, ako se tim novim propisom ne ponavljaju ili zamjenjuju, bez dodavanja novih ili dodatnih specifikacija, postojeći tehnički propisi koji su, ako su doneseni nakon stupanja na snagu Direktive 83/189 u dotičnoj državi članici, propisno priopćeni Komisiji.”</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Presuda od 13. ožujka 2025.</w:t>
        </w:r>
      </w:hyperlink>
      <w:r>
        <w:rPr>
          <w:rFonts w:ascii="Times New Roman" w:hAnsi="Times New Roman" w:cs="Times New Roman" w:eastAsia="Times New Roman"/>
          <w:b/>
          <w:i/>
          <w:szCs w:val="20"/>
        </w:rPr>
        <w:t xml:space="preserve">, Unigames UAB, C-120/24, EU:C:2025:174, t. 57. i 58.</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Potrebno je dostaviti obavijest o izmjeni nacrta tehničkog propisa kojom se znatno proširuje njegovo područje primjene. Izmjena kojom se uvode sankcije za novo ponašanje mora se smatrati bitnom revizijom tehničkog propisa.</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Iz zahtjeva za prethodnu odluku proizlazi da je člankom 10. stavkom 19. Zakona o igrama na sreću „bitno revidirana” zabrana poticanja sudjelovanja u igrama na sreću. Konkretno, sud koji je uputio zahtjev navodi da se postupanje koje se stavlja na teret društvu Unigames na temelju zakona koji je trenutačno na snazi, a koje se sastoji od objave na internetskoj stranici tog društva informacija o djelatnostima igara na sreću koje ono nudi, nije moglo kazniti na temelju starog Zakona o igrama na sreću. Stoga je, prema mišljenju suda koji je uputio zahtjev, tim člankom 10. stavkom 19. prošireno područje primjene te zabrane.</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Stoga iz navoda iznesenih u zahtjevu za prethodnu odluku proizlazi da su člankom 10. stavkom 19. Zakona o igrama na sreću dodani novi ili dodatni zahtjevi, u smislu sudske prakse navedene u točki 52. ove presude, u odnosu na članak 10. stavak 19. starog Zakona o igrama na sreću. Iz toga slijedi da je, podložno eventualnim provjerama koje mora izvršiti sud koji je uputio zahtjev, izmjenu koja je dovela do zakona koji je trenutačno na snazi trebalo priopćiti na temelju članka 5. stavka 1. prvog podstavka Direktive 2015/1535.”</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Obavijest o cjelovitom tekstu</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Presuda od 16. rujna 1997.</w:t>
        </w:r>
      </w:hyperlink>
      <w:r>
        <w:t xml:space="preserve">, C-279/94, Komisija/Italija, EU:C:1997:396, t. 38. i 42.</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Tekst koji sadržava „tehničke propise” mora se dostaviti u cijelosti, uključujući mjere koje nisu „tehnički propisi”, čak i ako samo „tehnički propisi” podliježu razdoblju mirovanja.</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Što se tiče obveze talijanske vlade da dostavi cjeloviti tekst Zakona br. 257/92, uključujući odredbe koje ne predstavljaju tehničke propise, valja istaknuti da, u skladu s posljednjom rečenicom članka 8. stavka 1. prvog podstavka Direktive, države članice također moraju dostaviti Komisiji tekst osnovnih zakonskih ili regulatornih odredaba na koje se uglavnom i izravno odnosi, ako je poznavanje tog teksta potrebno za procjenu implikacija nacrta tehničkog propisa.”</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Međutim, sama činjenica da su sve odredbe Zakona br. 257/92 priopćene Komisiji ne sprečava Talijansku Republiku da odmah i bez čekanja rezultata postupka ispitivanja predviđenog Direktivom donese odredbe koje nisu tehnički propisi.”</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Obavijest o predmetnim osnovnim </w:t>
      </w:r>
      <w:bookmarkEnd w:id="139"/>
      <w:r>
        <w:t>odredbama</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„Prema potrebi i osim ako je već poslana uz prethodnu obavijest, države članice istodobno dostavljaju Komisiji tekst osnovnih zakonodavnih ili regulatornih odredaba koje se uglavnom i izravno odnose na njih, ako je poznavanje tog teksta potrebno za procjenu implikacija nacrta tehničkog propisa.”</w:t>
      </w:r>
    </w:p>
    <w:p w14:paraId="3C018828" w14:textId="77777777">
      <w:pPr>
        <w:pStyle w:val="BodyText"/>
        <w:ind w:left="1440"/>
        <w:jc w:val="right"/>
        <w:rPr>
          <w:i/>
          <w:iCs/>
        </w:rPr>
      </w:pPr>
    </w:p>
    <w:p w14:paraId="21D14611" w14:textId="15758967">
      <w:pPr>
        <w:pStyle w:val="BodyText"/>
        <w:ind w:left="1440"/>
        <w:jc w:val="right"/>
      </w:pPr>
      <w:r>
        <w:t xml:space="preserve">(članak 5. stavak 1. druga rečenica Direktive (EU) 2015/1535)</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Presuda od 7. svibnja 1998.</w:t>
        </w:r>
      </w:hyperlink>
      <w:r>
        <w:t xml:space="preserve">, Komisija protiv Belgije, C-145/97, EU:C:1998:212, točke 11. i 12.</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Države članice moraju dostaviti ne samo nacrt teksta koji sadržava „tehničke propise”, nego i tekst osnovnih zakonodavnih ili regulatornih odredaba na koje se uglavnom i izravno odnosi. Svrha je te obveze omogućiti Komisiji da raspolaže što je više moguće informacija i da na taj način učinkovito izvršava ovlasti koje su joj dodijeljene Direktivom.</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Kao drugo, što se tiče točnog dosega obveze priopćavanja, člankom 8. stavkom 1. prvim podstavkom Direktive predviđa se da države članice također dostavljaju tekst osnovnih zakonodavnih ili regulatornih odredaba na koje se to uglavnom i izravno odnosi, ako je poznavanje tog teksta potrebno za procjenu implikacija nacrta tehničkog propisa.</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Kao što je to Sud pojasnio u svojoj presudi u predmetu C-279/94 Komisija protiv Italije [1997.] ECR I-4743, točka 40., cilj je te odredbe omogućiti Komisiji da raspolaže što je više moguće informacijama o svakom nacrtu tehničkog propisa s obzirom na njegov sadržaj, područje primjene i opći kontekst kako bi joj se omogućilo što učinkovitije izvršavanje ovlasti koje su joj dodijeljene Direktivom.”</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Ponovna obavijest</w:t>
      </w:r>
      <w:bookmarkEnd w:id="143"/>
      <w:r>
        <w:t xml:space="preserve"> tijekom razdoblja mirovanja</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„Države članice ponovno dostavljaju nacrt tehničkog propisa Komisiji pod uvjetima određenima u prvom i drugom podstavku ovog stavka ako unesu izmjene kojima se znatno mijenja njegovo područje primjene, skraćuje prvotno predviđeni raspored za provedbu, dodaju specifikacije ili zahtjevi ili ih čini restriktivnijima.”</w:t>
      </w:r>
    </w:p>
    <w:p w14:paraId="3E582DDB" w14:textId="77777777">
      <w:pPr>
        <w:pStyle w:val="BodyText"/>
        <w:ind w:left="1440"/>
        <w:jc w:val="right"/>
        <w:rPr>
          <w:i/>
          <w:iCs/>
        </w:rPr>
      </w:pPr>
    </w:p>
    <w:p w14:paraId="57E3F15D" w14:textId="51B7D3EF">
      <w:pPr>
        <w:pStyle w:val="BodyText"/>
        <w:ind w:left="1440"/>
        <w:jc w:val="right"/>
      </w:pPr>
      <w:r>
        <w:t xml:space="preserve">(članak 5. stavak 1. treća rečenica Direktive (EU) 2015/1535)</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Presuda od 15. travnja 2010.</w:t>
        </w:r>
      </w:hyperlink>
      <w:r>
        <w:t xml:space="preserve">, Sandström, C-433/05, EU:C:2010:184, t. 47. i 48.</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Izmjene nacrta tehničkog propisa koje su već dostavljene Komisiji i kojima se samo ublažavaju uvjeti uporabe predmetnog proizvoda ne predstavljaju značajnu promjenu koja zahtijeva daljnju prijavu.</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s obzirom na cilj Direktive 98/34, naveden u točki 41. ove presude, izmjene nacrta tehničkog propisa koji je već dostavljen Komisiji na temelju članka 8. stavka 1. prvog podstavka Direktive 98/34, koje u pogledu dostavljenog nacrta sadržavaju samo ublažavanje uvjeta uporabe predmetnog proizvoda i koje stoga smanjuju mogući utjecaj tehničkog propisa na trgovinu, ne predstavljaju značajnu izmjenu nacrta u smislu članka 8. stavka 1. trećeg podstavka te direktive. Takve izmjene stoga ne podliježu obvezi prethodnog obavješćivanja.</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Iako na temelju članka 8. stavka 3. Direktive 98/34 države članice Komisiji bez odgode dostavljaju konačni tekst tehničkog propisa, neobavješćivanje o neznatnoj izmjeni takvog propisa prije njezina donošenja ne utječe na primjenjivost te uredbe ako ne postoji obveza prethodnog obavješćivanja.”</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Presuda od 31. siječnja 2013.</w:t>
        </w:r>
      </w:hyperlink>
      <w:r>
        <w:t xml:space="preserve">, Belgische Petroleum Unie i dr., C-26/11, EU:C:2013:44, t. 56. i 57.</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Direktivom se ne zahtijeva ponovno obavješćivanje o nacrtu nacionalnog zakonodavstva ako je, nakon što je dostavljen, nacrt izmijenjen kako bi se uzele u obzir primjedbe Komisije, a izmijenjeni nacrt naknadno je dostavljen Komisiji.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u tim se okolnostima Kraljevina Belgija ograničila na izmjenu odredbi nacrta zakona u skladu sa zahtjevom Komisije za uklanjanje prepreke trgovini, tako da se, na temelju članka 10. stavka 1. posljednje alineje Direktive 98/34, obveza obavješćivanja Komisije na temelju članka 8. stavka 1. prvog podstavka te direktive ne primjenjuje na nacrt zakona o obvezi miješanja.</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U tim okolnostima na drugo pitanje valja odgovoriti tako da članak 8. Direktive 98/34, u vezi s njezinim člankom 10. stavkom 1. zadnjom alinejom, treba tumačiti na način da ne zahtijeva dostavu nacrta nacionalnog zakonodavstva kojim se naftna društva koja stavljaju na tržište benzinska i/ili dizelska goriva obvezuju također da u istoj kalendarskoj godini stave na tržište određene postotke biogoriva ako je, nakon što je priopćen u skladu s člankom 8. stavkom 1. prvim podstavkom, nacrt izmijenjen kako bi se uzela u obzir Komisijina očitovanja o njemu, a izmijenjeni nacrt zatim je dostavljen Komisiji.”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Presuda od 10. srpnja 2014.,</w:t>
        </w:r>
      </w:hyperlink>
      <w:r>
        <w:rPr>
          <w:b/>
          <w:i/>
        </w:rPr>
        <w:t xml:space="preserve"> Ivansson i dr.</w:t>
      </w:r>
      <w:r>
        <w:rPr>
          <w:sz w:val="25"/>
        </w:rPr>
        <w:t>,</w:t>
      </w:r>
      <w:r>
        <w:rPr>
          <w:rFonts w:ascii="Open Sans" w:hAnsi="Open Sans" w:cs="Open Sans" w:eastAsiaTheme="minorHAnsi"/>
          <w:color w:val="000000"/>
          <w:sz w:val="18"/>
          <w:szCs w:val="18"/>
        </w:rPr>
        <w:t xml:space="preserve"> </w:t>
      </w:r>
      <w:r>
        <w:rPr>
          <w:b/>
          <w:i/>
        </w:rPr>
        <w:t xml:space="preserve">C-307/13, EU:C:2014:2058, t. 48. do 50</w:t>
      </w:r>
      <w:r>
        <w:rPr>
          <w:sz w:val="25"/>
        </w:rPr>
        <w:t>.</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Komisiju se mora obavijestiti o svakoj značajnoj promjeni rasporeda provedbe nacionalne mjere, uključujući znatno skraćivanje. Neobavješćivanje čini mjeru neprimjenjivom i neprovedivom protiv pojedinaca.</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U tom smislu valja podsjetiti da je Sud ocijenio da povreda obveze priopćavanja Komisiji predstavlja povredu postupka u donošenju dotičnih tehničkih propisa i dovodi do neprimjenjivosti tih tehničkih propisa, na način da ih se ne može primijeniti na pojedince (vidjeti u tom smislu osobito presude CIA Security International, C-194/94, EU:C:1996:172, t. 54. i Schwibbert, C-20/05, EU:C:2007:652, t. 44.). Pojedinci se na tu neprimjenjivost mogu pozvati pred nacionalnim sucem, koji treba odbiti primijeniti nacionalni tehnički propis koji nije dostavljen sukladno Direktivi 98/34 (vidjeti osobito presudu Schwibbert, EU:C:2007:652, t. 44. i navedenu sudsku praksu).</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Slijedi da bi, u slučaju da dostava iz članka 9. Dekreta (1988:539) Komisiji kao datum stupanja na snagu zaista sadrži 1. svibnja 2003. i da je skraćivanje njegova rasporeda provedbe na 15. travnja iste godine zaista značajno, nedostatak nove dostave navedene nacionalne odredbe Komisiji imao za posljedicu to da tu odredbu nije moguće primijeniti na tuženika iz glavnog postupka.</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Slijedom toga, na drugo pitanje valja odgovoriti da, ako skraćivanje rasporeda stupanja na snagu tehničkog propisa podliježe obvezi priopćavanja Komisiji, kako je predviđena u članku 8. stavku 1. trećem podstavku Direktive 98/34, nedostavljanje takvog priopćenja dovelo bi do neprimjenjivosti te nacionalne mjere, tako da se ona ne bi mogla izvršiti u odnosu na pojedince.”</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Iznimke od obveze prijavljivanja</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Prenošenje europskog akta</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„Članci 5. i 6. ne primjenjuju se na one zakone i druge propise država članica ili dobrovoljne sporazume kojima države članice: </w:t>
      </w:r>
    </w:p>
    <w:p w14:paraId="2762B474" w14:textId="77777777">
      <w:pPr>
        <w:pStyle w:val="BodyText"/>
        <w:ind w:left="567"/>
        <w:rPr>
          <w:i/>
        </w:rPr>
      </w:pPr>
    </w:p>
    <w:p w14:paraId="753FC221" w14:textId="4E9C46C0">
      <w:pPr>
        <w:pStyle w:val="P68B1DB1-BodyText11"/>
        <w:ind w:left="1440"/>
        <w:rPr>
          <w:iCs/>
        </w:rPr>
      </w:pPr>
      <w:r>
        <w:t xml:space="preserve">(a) u skladu s obvezujućim aktima Unije koji dovode do donošenja tehničkih specifikacija ili pravila o uslugama;”</w:t>
      </w:r>
    </w:p>
    <w:p w14:paraId="2A077376" w14:textId="77777777">
      <w:pPr>
        <w:pStyle w:val="BodyText"/>
        <w:ind w:left="567"/>
        <w:rPr>
          <w:i/>
          <w:iCs/>
        </w:rPr>
      </w:pPr>
    </w:p>
    <w:p w14:paraId="7AE538ED" w14:textId="4CFA3BCA">
      <w:pPr>
        <w:pStyle w:val="BodyText"/>
        <w:jc w:val="right"/>
      </w:pPr>
      <w:r>
        <w:t xml:space="preserve">(Članak 7. stavak 1. točka (a) Direktive (EU) 2015/1535)</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Presuda od 17. rujna 1996.</w:t>
        </w:r>
      </w:hyperlink>
      <w:r>
        <w:t xml:space="preserve">, Komisija protiv Italije, C-289/94, EU:C:1996:330, točke 43. do 45.</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Kako bi se nacionalna mjera smatrala mjerom za prenošenje koja je izuzeta od obveze priopćavanja, mora se uspostaviti izravna veza s obvezujućim aktom Zajednice.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Direktiva 91/492 sadržava mnogo šire odredbe o stavljanju na tržište ne samo školjkaša nego i morskih puževa, plaštenjaka i bodljikaša. Njome se utvrđuju novi zahtjevi za sve faze prikupljanja, rukovanja, skladištenja, prijevoza i distribucije mekušaca te se uvodi sustav registracije i označivanja kako bi se omogućilo utvrđivanje podrijetla svake serije u zdravstvene svrhe.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Osim toga, nepostojanje izravne veze između Direktive 91/492 i dviju uredbi o kojima je riječ potvrđeno je tvrdnjom talijanske vlade prema kojoj je ta direktiva prenesena u talijansko pravo prethodno navedenom Zakonodavnom uredbom br. 530 od 30. prosinca 1992., koja je, kao što sama tvrdi, jedina mjera za provedbu Direktive 91/492 i o kojoj je Komisija 27. siječnja 1993. uputila detaljno mišljenje u kojem je kritizirala tu uredbu jer se primjenjivala na drugi toksin (NSP) koji nije naveden u Direktivi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Budući da ne predstavljaju mjere za prenošenje Direktive 91/492 koje mogu opravdati primjenu članka 10. Direktive 83/189, Uredbu br. 257 od 1. kolovoza 1990. i Odluku od 1. rujna 1990. trebalo je priopćiti Komisiji u skladu s člankom 8. potonje direktive.”</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Presuda od 26. rujna 2000.</w:t>
        </w:r>
      </w:hyperlink>
      <w:r>
        <w:t xml:space="preserve">, Unilever, C-443/98, EU:C:2000:496, t. 28. i 29.</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Kada države članice raspolažu širokom marginom prosudbe prilikom prenošenja direktive Unije, nacionalne mjere donesene u tu svrhu ne mogu se smatrati nacionalnim odredbama „u skladu s obvezujućim aktom Zajednice”.</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Kao drugo, talijanska vlada tvrdi da je pobijani zakon izuzet od obveze obavješćivanja na temelju članka 10. Direktive 83/189 jer je donesen u skladu s Direktivom Vijeća 79/112/EEZ od 18. prosinca 1978. o usklađivanju zakonodavstava država članica o označivanju, prezentiranju i oglašavanju hrane za prodaju krajnjem potrošaču. Člankom 3. stavkom 1. točkom 7. te direktive zahtijeva se da se mjesto podrijetla ili mjesto podrijetla proizvoda navede na etiketi ako bi izostavljanje takvih informacija moglo dovesti potrošače u zabludu u pogledu stvarnog podrijetla hrane.</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Ta se tvrdnja ne može prihvatiti. Kao što je to istaknula Komisija, ta odredba Direktive 79/112 općenito ostavlja državama članicama dovoljno manevarskog prostora za zaključak da se nacionalna pravila o označivanju koja se odnose na podrijetlo, poput onih donesenih u pobijanom zakonu, ne mogu smatrati nacionalnim odredbama koje su u skladu s obvezujućim aktom Zajednice u smislu članka 10. stavka 1. prve alineje Direktive 83/189.”</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Presuda od 22. siječnja 2000.</w:t>
        </w:r>
      </w:hyperlink>
      <w:r>
        <w:t xml:space="preserve">, Canal Satélite Digital, C-390/99, EU:C:2002:34, t. 48.</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Nacionalne odredbe kojima se prenose obvezujuće mjere Zajednice koje sadrže „tehničke specifikacije” ne podliježu obvezi obavješćivanja, pod uvjetom da su strogo ograničene na takvo prenošenje.</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Kad je riječ o drugom dijelu trećeg pitanja, koji se odnosi na obvezu iz članka 8. Direktive 83/189 da Komisiji dostavi svaki nacrt tehničkog propisa, članak 10. te direktive pokazuje da se članci 8. i 9. ne primjenjuju na zakone i druge propise država članica ili na dobrovoljne sporazume koje one sklapaju, pri čemu države članice poštuju obvezujuće mjere Zajednice koje dovode do donošenja tehničkih specifikacija. Stoga, u mjeri u kojoj se nacionalnim propisom o kojem je riječ u glavnom postupku prenosi Direktiva 95/47 i samo u toj mjeri, ne postoji obveza obavješćivanja na temelju Direktive 83/189.”</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Presuda od 8. rujna 2005.</w:t>
        </w:r>
      </w:hyperlink>
      <w:r>
        <w:t xml:space="preserve">, Komisija protiv Portugala, C-500/03, EU:C:2005:515, točke 34. i 35.</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Na nacionalne odredbe kojima se utvrđuju značajke rekreacijskih plovila ne može se primijeniti izuzeće od obavješćivanja rezerviranog za prenošenje ako Direktiva na koju se poziva ostavlja državama članicama slobodu definiranja uvjeta koje smatraju potrebnima za zaštitu okoliša, konfiguracije i sigurnosti plovnih putova.</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(Presuda je dostupna isključivo na francuskom i portugalskom jeziku, sljedeći tekst je prijevod.)</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[...]Države članice imaju pravo, predviđeno člankom 2. stavkom 2. Direktive 94/25, na nacionalnoj razini definirati uvjete koje smatraju potrebnima u pogledu plovidbe u određenim vodama kako bi zaštitile okoliš i strukturu plovnih putova te osigurale sigurnost na tim vodama. Međutim, ne može se ni u kojem slučaju smatrati da su te odredbe nacionalnog zakonodavstva donesene radi usklađivanja s obvezujućim aktom Zajednice.</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Iz toga slijedi da Uredba o plovidbi u lagunama, kojom se uvode tehnička ograničenja za rekreacijska plovila u skladu s člankom 2. stavkom 2. Direktive 94/25, nije obuhvaćena područjem primjene članka 10. stavka 1. prve alineje Direktive 98/34.”</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Primjena zaštitne klauzule</w:t>
      </w:r>
      <w:bookmarkEnd w:id="158"/>
      <w:bookmarkEnd w:id="159"/>
    </w:p>
    <w:p w14:paraId="19EB441C" w14:textId="77777777">
      <w:pPr>
        <w:pStyle w:val="BodyText"/>
        <w:ind w:left="567"/>
      </w:pPr>
    </w:p>
    <w:p w14:paraId="3421D751" w14:textId="45643AD7">
      <w:pPr>
        <w:pStyle w:val="P68B1DB1-BodyText11"/>
        <w:ind w:left="567"/>
        <w:rPr>
          <w:iCs/>
        </w:rPr>
      </w:pPr>
      <w:r>
        <w:t xml:space="preserve">„Članci 5. i 6. </w:t>
      </w:r>
      <w:r>
        <w:rPr>
          <w:i w:val="0"/>
        </w:rPr>
        <w:t xml:space="preserve">[o obvezi obavješćivanja i razdoblju mirovanja] </w:t>
      </w:r>
      <w:r>
        <w:t xml:space="preserve">ne primjenjuju se na one zakone i druge propise država članica ili dobrovoljne sporazume kojima države članice: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primjenjuje zaštitne klauzule predviđene obvezujućim aktima Unije;”</w:t>
      </w:r>
    </w:p>
    <w:p w14:paraId="3AF0BFA4" w14:textId="77777777">
      <w:pPr>
        <w:pStyle w:val="P68B1DB1-BodyText11"/>
        <w:ind w:left="567"/>
        <w:rPr>
          <w:iCs/>
        </w:rPr>
      </w:pPr>
    </w:p>
    <w:p w14:paraId="6099E717" w14:textId="6C5840E7">
      <w:pPr>
        <w:pStyle w:val="BodyText"/>
        <w:jc w:val="right"/>
      </w:pPr>
      <w:r>
        <w:t xml:space="preserve">(Članak 7. stavak 1. točka (c) Direktive (EU) 2015/1535)</w:t>
      </w:r>
    </w:p>
    <w:p w14:paraId="0B43480F" w14:textId="77777777">
      <w:pPr>
        <w:pStyle w:val="BodyText"/>
        <w:jc w:val="right"/>
      </w:pPr>
    </w:p>
    <w:p w14:paraId="2F300DBD" w14:textId="39C2EC6A">
      <w:pPr>
        <w:pStyle w:val="P68B1DB1-BodyText11"/>
        <w:ind w:left="567"/>
        <w:rPr>
          <w:iCs/>
        </w:rPr>
      </w:pPr>
      <w:r>
        <w:t xml:space="preserve">„Prethodno navedene mjere usklađivanja, u odgovarajućim slučajevima, uključuju zaštitnu klauzulu kojom se države članice ovlašćuju da iz jednog ili više negospodarskih razloga iz članka 36. poduzmu privremene mjere koje podliježu postupku kontrole Unije.”</w:t>
      </w:r>
    </w:p>
    <w:p w14:paraId="618BDE87" w14:textId="77777777">
      <w:pPr>
        <w:pStyle w:val="BodyText"/>
        <w:jc w:val="right"/>
      </w:pPr>
    </w:p>
    <w:p w14:paraId="4DE4DD33" w14:textId="77777777">
      <w:pPr>
        <w:pStyle w:val="BodyText"/>
        <w:jc w:val="right"/>
      </w:pPr>
      <w:r>
        <w:t xml:space="preserve">(Članak 114. stavak 10. Ugovora o funkcioniranju Europske unije)</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Presuda od 8. rujna 2005.</w:t>
        </w:r>
      </w:hyperlink>
      <w:r>
        <w:t xml:space="preserve">, Komisija protiv Portugala, C-500/03, EU:C:2005:515, točke 34. i 35.</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Na nacionalne odredbe kojima se uvode trajne mjere ne može se primijeniti izuzeće od obveze obavješćivanja rezervirano za zaštitne klauzule jer potonje po definiciji uključuju samo privremene mjere.</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(Budući da je presuda dostupna isključivo na francuskom i portugalskom jeziku, sljedeći tekst je prijevod.)</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Budući da je ova tužba zbog povrede obveze ograničena na zahtjev za utvrđenje povrede formalnog postupka prethodne obavijesti, dovoljno je istaknuti, a da pritom nije potrebno odgovoriti na druge argumente stranaka, da je Sud već presudio da članak 8. stavak 1. Direktive 98/34 obvezuje države članice da Komisiji odmah dostave svaki nacrt tehničkog propisa (vidjeti u tom smislu osobito presude od 2. kolovoza 1993., Komisija/Italija, C-139/92, Zb., str. I-3., t. 31. i od 11. siječnja 1996., Komisija/Nizozemska, C-273/94, Zb., str. I-, t. 1.).</w:t>
      </w:r>
    </w:p>
    <w:p w14:paraId="4A696586" w14:textId="77777777">
      <w:pPr>
        <w:pStyle w:val="BodyText"/>
        <w:ind w:left="567"/>
        <w:rPr>
          <w:i/>
          <w:iCs/>
          <w:sz w:val="20"/>
          <w:szCs w:val="16"/>
        </w:rPr>
      </w:pPr>
    </w:p>
    <w:p w14:paraId="7FC8797C" w14:textId="46BA7B1B">
      <w:pPr>
        <w:pStyle w:val="P68B1DB1-BodyText25"/>
        <w:ind w:left="567"/>
        <w:jc w:val="left"/>
      </w:pPr>
      <w:r>
        <w:t xml:space="preserve">40. Budući da relevantne odredbe Uredbe br. 783/98 predstavljaju tehničke propise u smislu Direktive 98/34, kao što je to navedeno u točki 31. ove presude, Portugalska Republika bila je dužna dostaviti ih u obliku nacrta u skladu s člankom 8. stavkom 1. Direktive 98/34 (vidjeti u tom smislu, što se tiče odredaba sličnih onima Direktive 98/34, presude od 7. svibnja 1998., Komisija/Belgija, C-145/97, Zb., str. I-13., t. 43. i od 21. travnja 2005., Lindberg, C-267/03, Zb., str. I-, t.).”</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Presuda od 8. listopada 2020.</w:t>
        </w:r>
      </w:hyperlink>
      <w:r>
        <w:t xml:space="preserve">, Union des industries de la protection des plantes, C-514/19, EU:C:2020:803, t. 46. i 47.</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(upućujući na </w:t>
      </w:r>
      <w:hyperlink r:id="rId93" w:history="1">
        <w:r>
          <w:rPr>
            <w:rStyle w:val="Hyperlink"/>
            <w:rFonts w:ascii="Times New Roman" w:hAnsi="Times New Roman" w:cs="Times New Roman" w:eastAsia="Times New Roman"/>
            <w:b/>
            <w:i/>
            <w:color w:val="0000FF"/>
            <w:szCs w:val="20"/>
          </w:rPr>
          <w:t xml:space="preserve">mišljenje nezavisne odvjetnice J. Kokott</w:t>
        </w:r>
      </w:hyperlink>
      <w:r>
        <w:rPr>
          <w:rFonts w:ascii="Times New Roman" w:hAnsi="Times New Roman" w:cs="Times New Roman" w:eastAsia="Times New Roman"/>
          <w:b/>
          <w:i/>
          <w:szCs w:val="20"/>
        </w:rPr>
        <w:t xml:space="preserve">, EU:C:2020:422, t. 58.)</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Klauzula koja odgovara definiciji iz članka 114. Ugovora o funkcioniranju Europske unije zaštitna je klauzula, čak i ako nije tako navedena u aktu kojim se ona predviđa. Stoga se na njega primjenjuje izuzeće od obveze obavješćivanja.</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(Presuda Suda)</w:t>
      </w:r>
      <w:r>
        <w:rPr>
          <w:i/>
        </w:rPr>
        <w:t xml:space="preserve"> „46 [...] Članak 71. stavak 1. te uredbe treba smatrati zaštitnom klauzulom, kao što je to istaknula nezavisna odvjetnica u točki 58. svojeg mišljenja.</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Razlika između postupaka predviđenih člankom 5. te direktive i člankom 71. te uredbe stoga je potvrđena člankom 7. stavkom 1. točkom (c) te direktive, koji predviđa da se članci 5. i 6. te direktive ne primjenjuju na odredbe država članica kojima one primjenjuju zaštitne klauzule predviđene obvezujućim aktima Unije.”</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(mišljenje nezavisne odvjetnice J. Kokott)</w:t>
      </w:r>
      <w:r>
        <w:rPr>
          <w:i/>
        </w:rPr>
        <w:t xml:space="preserve"> </w:t>
      </w:r>
      <w:bookmarkStart w:id="163" w:name="point58"/>
      <w:r>
        <w:rPr>
          <w:i/>
        </w:rPr>
        <w:t>„</w:t>
      </w:r>
      <w:bookmarkEnd w:id="163"/>
      <w:r>
        <w:rPr>
          <w:i/>
        </w:rPr>
        <w:t xml:space="preserve">58.      Iako, za razliku od nekoliko usporedivih odredbi, članak 71. Uredbe o zaštiti bilja nije naslovljen „zaštitna klauzula”, njegov sadržaj odgovara definiciji zaštitnih klauzula iz članka 114. stavka 10. UFEU-a. Stoga se može smatrati i zaštitnom klauzulom u smislu članka 7. stavka 1. točke (c) Direktive o obavješćivanju.”</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Presuda od 9. ožujka 2023.</w:t>
        </w:r>
      </w:hyperlink>
      <w:r>
        <w:rPr>
          <w:rFonts w:ascii="Times New Roman" w:hAnsi="Times New Roman" w:cs="Times New Roman" w:eastAsia="Times New Roman"/>
          <w:b/>
          <w:i/>
          <w:szCs w:val="20"/>
        </w:rPr>
        <w:t xml:space="preserve">, Vapo Atlantic, C</w:t>
        <w:noBreakHyphen/>
        <w:t xml:space="preserve">604/21, EU:C:2023:175, t. 55. do 57.</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Iznimka od obveze obavješćivanja koja se temelji na „zaštitnoj klauzuli” moguća je samo ako akt o usklađivanju na koji se poziva izričito sadržava klauzulu koja odgovara definiciji iz članka 114. Ugovora o funkcioniranju Europske unije.</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Valja istaknuti da se prva dva podstavka članka 4. stavka 1. Direktive 2009/30 ograničavaju na određivanje državama članicama roka za njezino prenošenje, tj. najkasnije do 31. prosinca 2010., putem potrebnih zakonskih, regulatornih ili upravnih odredbi, pri čemu se od njih zahtijeva da Komisiji odmah dostave tekst tih odredaba. Trećim podstavkom te odredbe predviđa se da države članice, kada donose te odredbe, upućuju na Direktivu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Međutim, ništa u tekstu članka 4. stavka 1. Direktive 2009/30 ne upućuje na to da je zakonodavac Unije u nju namjeravao uvesti zaštitnu klauzulu u smislu članka 114. stavka 10. UFEU-a, koju bi države članice mogle upotrijebiti.</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U tom pogledu potonja odredba predviđa da mjere usklađivanja u odgovarajućim slučajevima uključuju zaštitnu klauzulu kojom se državama članicama odobrava da iz jednog razloga ili više njih navedenih u članku 36. UFEU-a, a koji nisu gospodarske naravi, poduzmu privremene mjere koje podliježu postupku nadzora Unije. Iz toga slijedi da takva zaštitna klauzula mora biti izričito predviđena aktom kojim se provodi usklađivanje. Članak 4. stavak 1. Direktive 2009/30 nema ta obilježja i stoga ne može predstavljati takvu zaštitnu klauzulu.”</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Izmjena u skladu sa zahtjevom Komisije</w:t>
      </w:r>
      <w:bookmarkEnd w:id="169"/>
      <w:bookmarkEnd w:id="170"/>
    </w:p>
    <w:p w14:paraId="049085CF" w14:textId="77777777">
      <w:pPr>
        <w:pStyle w:val="BodyText"/>
        <w:jc w:val="left"/>
      </w:pPr>
    </w:p>
    <w:p w14:paraId="40F4BBF6" w14:textId="77777777">
      <w:pPr>
        <w:pStyle w:val="P68B1DB1-BodyText11"/>
        <w:ind w:left="567"/>
        <w:rPr>
          <w:iCs/>
        </w:rPr>
      </w:pPr>
      <w:r>
        <w:t xml:space="preserve">„Članci 5. i 6. </w:t>
      </w:r>
      <w:r>
        <w:rPr>
          <w:i w:val="0"/>
        </w:rPr>
        <w:t xml:space="preserve">[o obvezi obavješćivanja i razdoblju mirovanja] </w:t>
      </w:r>
      <w:r>
        <w:t xml:space="preserve">ne primjenjuju se na one zakone i druge propise država članica ili dobrovoljne sporazume kojima države članice: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ograničavaju se na izmjenu tehničkog propisa u smislu članka 1. stavka 1. točke (f), u skladu sa zahtjevom Komisije, s ciljem uklanjanja prepreka trgovini ili, u slučaju pravila o uslugama, slobodnom kretanju usluga ili slobodi poslovnog nastana operatera usluga.”</w:t>
      </w:r>
    </w:p>
    <w:p w14:paraId="21F03EA5" w14:textId="77777777">
      <w:pPr>
        <w:pStyle w:val="BodyText"/>
        <w:jc w:val="center"/>
      </w:pPr>
    </w:p>
    <w:p w14:paraId="7883B4B7" w14:textId="369773F7">
      <w:pPr>
        <w:pStyle w:val="BodyText"/>
        <w:jc w:val="right"/>
      </w:pPr>
      <w:r>
        <w:t xml:space="preserve">(Članak 7. stavak 1. točka (f) Direktive (EU) 2015/1535)</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Presuda od 31. siječnja 2013.</w:t>
        </w:r>
      </w:hyperlink>
      <w:r>
        <w:t xml:space="preserve">, Belgische Petroleum Unie i dr., C-26/11, EU:C:2013:44, t. 56. i 57.</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Direktivom se ne zahtijeva obavješćivanje o nacrtu nacionalnog zakonodavstva ako je nakon prve obavijesti nacrt izmijenjen kako bi se uzele u obzir primjedbe Komisije, a izmijenjena verzija naknadno je dostavljena Komisiji.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u tim se okolnostima Kraljevina Belgija ograničila na izmjenu odredbi nacrta zakona u skladu sa zahtjevom Komisije za uklanjanje prepreke trgovini, tako da se, na temelju članka 10. stavka 1. posljednje alineje Direktive 98/34, obveza obavješćivanja Komisije na temelju članka 8. stavka 1. prvog podstavka te direktive ne primjenjuje na nacrt zakona o obvezi miješanja.</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U tim okolnostima na drugo pitanje valja odgovoriti tako da članak 8. Direktive 98/34, u vezi s njezinim člankom 10. stavkom 1. zadnjom alinejom, treba tumačiti na način da ne zahtijeva dostavu nacrta nacionalnog zakonodavstva kojim se naftna društva koja stavljaju na tržište benzinska i/ili dizelska goriva obvezuju također da u istoj kalendarskoj godini stave na tržište određene postotke biogoriva ako je, nakon što je priopćen u skladu s člankom 8. stavkom 1. prvim podstavkom, nacrt izmijenjen kako bi se uzela u obzir Komisijina očitovanja o njemu, a izmijenjeni nacrt zatim je dostavljen Komisiji.”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Okolnosti koje ne čine iznimke</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Presuda od 11. siječnja 1996.</w:t>
        </w:r>
      </w:hyperlink>
      <w:r>
        <w:t xml:space="preserve">, Komisija protiv Nizozemske, C-273/94, EU:C:1996:4, točke 14. i 15.</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Obveza obavješćivanja ne ovisi o pretpostavljenom učinku pravila na trgovinu među državama članicama.</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Ta se ocjena ne može dovesti u pitanje argumentom nizozemske vlade prema kojem je učinak sporne odluke poticanje stavljanja na tržište margarina i da je ona stoga u skladu s glavnim ciljem Direktive, a to je uklanjanje prepreka trgovini robom unutar Zajednice.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Države članice dužne su Komisiji dostaviti sve nacrte tehničkih propisa u skladu s člankom 8. Direktive. Takva obveza ne može podlijegati jednostranoj ocjeni države članice koja je sastavila uredbu o učincima koje ona može imati na trgovinu među državama članicama.”</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Presuda od 16. lipnja 1998.</w:t>
        </w:r>
      </w:hyperlink>
      <w:r>
        <w:t xml:space="preserve">, Lemmens, C-226/97, EU:C:1998:296, t. 18. do 20.</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Direktiva se primjenjuje na „tehničke propise” bez obzira na razlog njihova donošenja. Činjenica da mjera obuhvaća kazneno pravo ne oslobađa je od obveze obavješćivanja. Stoga nacionalne odredbe kojima se uređuje uređaj za analizu dišnog sustava koji policija upotrebljava za mjerenje alkohola čine tehnički propis o kojem je Komisija trebala biti obaviještena prije njegova donošenja.</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Francuska vlada pak tvrdi da se Direktiva ne primjenjuje na proizvode koji su, poput onih u ovom slučaju, namijenjeni korištenju u okviru izvršavanja javnih ovlasti i a fortiori u kaznenim postupcima koje su pokrenule države članice.</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Ti se argumenti ne mogu prihvatiti. Iako su u načelu kazneno zakonodavstvo i pravila kaznenog postupka u nadležnosti država članica, iz toga ne proizlazi da pravo Zajednice ne može utjecati na taj dio prava (vidjeti u tom smislu presude Cowan, 186/87, Zb., str. 195., t. 19. i od 12. prosinca 1981., Casati, 203/80, Zb., str. 2595., t. 27.).</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U tom slučaju ništa u Direktivi ne upućuje na to da su tehnički propisi u smislu njezina članka 1. isključeni iz obveze obavješćivanja jer su obuhvaćeni područjem primjene kaznenog prava ili da je područje primjene Direktive ograničeno na proizvode namijenjene za uporabu izvan okvira izvršavanja javnih ovlasti. Kao što je Sud već naveo u predmetu C-13/96 Bic Benelux [1997.] ECR I-1753, točka 19., direktiva se primjenjuje na tehničke propise neovisno o razlozima na temelju kojih su doneseni.”</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Presuda od 21. travnja 2005.</w:t>
        </w:r>
      </w:hyperlink>
      <w:r>
        <w:t xml:space="preserve">, Lindberg, C-267/03, EU:C:2005:246, t. 86., 91. i 92.</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Vrijednost proizvoda na koji se pravilo odnosi, veličina njegova tržišta i učinak tog pravila na trgovinu unutar Zajednice nisu relevantni kriteriji za utvrđivanje treba li „tehnički propis” prijaviti.</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Svojim četvrtim pitanjem sud koji je uputio zahtjev pita Sud o važnosti sljedećih elemenata za potrebe obveze priopćavanja predviđene Direktivom 83/189:</w:t>
      </w:r>
    </w:p>
    <w:p w14:paraId="767A8711" w14:textId="77777777">
      <w:pPr>
        <w:pStyle w:val="P68B1DB1-P68B1DB1-ListParagraph226"/>
        <w:tabs>
          <w:tab w:val="left" w:pos="396"/>
          <w:tab w:val="left" w:pos="425"/>
        </w:tabs>
        <w:ind w:left="709"/>
      </w:pPr>
      <w:r>
        <w:t xml:space="preserve">— Zamjenu zahtjeva za dozvolu zabranom u nacionalnom pravu,</w:t>
      </w:r>
    </w:p>
    <w:p w14:paraId="559C82EC" w14:textId="77777777">
      <w:pPr>
        <w:pStyle w:val="P68B1DB1-P68B1DB1-ListParagraph226"/>
        <w:tabs>
          <w:tab w:val="left" w:pos="396"/>
          <w:tab w:val="left" w:pos="425"/>
        </w:tabs>
        <w:ind w:left="709"/>
      </w:pPr>
      <w:r>
        <w:t xml:space="preserve">— Veća ili manja vrijednost proizvoda/usluge,</w:t>
      </w:r>
    </w:p>
    <w:p w14:paraId="7057795D" w14:textId="77777777">
      <w:pPr>
        <w:pStyle w:val="P68B1DB1-P68B1DB1-ListParagraph226"/>
        <w:tabs>
          <w:tab w:val="left" w:pos="396"/>
          <w:tab w:val="left" w:pos="425"/>
        </w:tabs>
        <w:ind w:left="709"/>
      </w:pPr>
      <w:r>
        <w:t xml:space="preserve">— Veličina tržišta proizvoda/usluge ili</w:t>
      </w:r>
    </w:p>
    <w:p w14:paraId="7E4DCD6F" w14:textId="27AB1FF7">
      <w:pPr>
        <w:pStyle w:val="P68B1DB1-P68B1DB1-ListParagraph226"/>
        <w:tabs>
          <w:tab w:val="left" w:pos="396"/>
          <w:tab w:val="left" w:pos="425"/>
        </w:tabs>
        <w:ind w:left="709"/>
      </w:pPr>
      <w:r>
        <w:t xml:space="preserve">— Učinak nove nacionalne odredbe o uporabi, koja bi mogla biti ili potpuna zabrana uporabe ili zabrana ili ograničenje unutar jednog od mogućih područja uporabe?”</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Što se tiče drugog i trećeg elementa navedenog u četvrtom prethodnom pitanju, valja istaknuti da, kao što je to navedeno u točki 50. ove presude, Direktiva 83/189 predviđa postupak preventivnog nadzora kako bi se provjerilo je li nacionalna norma koja sadržava tehnički propis obuhvaćena odredbama Ugovora o slobodnom kretanju robe i, u slučaju potvrdnog odgovora, kako bi se ispitalo je li takva norma u skladu s tim odredbama.</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U tom je pogledu u točki 51. ove presude utvrđeno da mogući učinci tehničkog propisa na trgovinu unutar Zajednice ne predstavljaju kriterij za definiranje područja primjene Direktive 83/189, osobito u pogledu obveze obavješćivanja koja se njime predviđa.”</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Neprimjenjivost</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Neprimjenjivost u slučaju neobavješćivanja</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Presuda od 30. travnja 1996.</w:t>
        </w:r>
      </w:hyperlink>
      <w:r>
        <w:t xml:space="preserve">, CIA Security International SA, C-194/94, EU:C:1996:172, t. 48. i 55.</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Povreda obveze obavješćivanja dovodi do neprimjenjivosti predmetnih „tehničkih propisa” tako da ih se ne može primijeniti na pojedince. Pojedinci se mogu pozvati na članke 8. i 9. Direktive 83/189 pred nacionalnim sudom koji mora odbiti primjenu nacionalnog „tehničkog propisa” o kojem nije dostavljena obavijest u skladu s tom direktivom.</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Nije potrebna izričita odredba u tom smislu kako bi nastala takva posljedica iz povrede obveza određenih Direktivom 83/189. Kao što je već istaknuto, nesporno je da je cilj te direktive zaštita slobode kretanja robe putem preventivne kontrole i da obveza priopćavanja predstavlja osnovno sredstvo za ostvarivanje te kontrole Zajednice. Učinkovitost nadzora Zajednice bit će znatno veća ako se Direktiva tumači na način da povreda obveze obavješćivanja predstavlja značajnu postupovnu povredu koja dovodi do neprimjenjivosti predmetnih tehničkih propisa na pojedince.”</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Stoga na peto i šesto pitanje valja odgovoriti da članke 8. i 9. Direktive 83/189 treba tumačiti na način da se pojedinci mogu na njih pozvati pred nacionalnim sudom koji mora odbiti primjenu nacionalnog tehničkog propisa koji nije dostavljen u skladu s tom direktivom.”</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Presuda od 16. lipnja 1998.</w:t>
        </w:r>
      </w:hyperlink>
      <w:r>
        <w:t xml:space="preserve">, Lemmens, C-226/97, EU:C:1998:296, t. 34. do 37.</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Nepoštovanje obveze obavješćivanja o tehničkom propisu koji se odnosi na uređaje za analizu daha ne dovodi do toga da se protiv pojedinca optuženog za vožnju pod utjecajem alkohola ne mogu primijeniti dokazi dobiveni uređajem za analizu daha odobrenim u skladu s pravilima koja nisu prijavljena.</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U kaznenim postupcima poput onih o kojima je riječ u glavnom postupku na optuženika se primjenjuju propisi kojima se, s jedne strane, zabranjuje i kažnjava vožnja pod utjecajem alkohola i, s druge strane, vozaču nalaže da unese svoj dah u uređaj namijenjen za mjerenje sadržaja alkohola, pri čemu rezultat tog testa predstavlja dokaz u kaznenom postupku. Takvi se propisi razlikuju od onih o kojima Komisija nije obaviještena u skladu s Direktivom, a koje se ne mogu primijeniti na pojedince.</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Iako nepriopćavanje tehničkih propisa, što predstavlja postupovnu neispravnost u njihovu donošenju, dovodi do neprimjenjivosti tih propisa jer se njima ometa uporaba ili stavljanje na tržište proizvoda koji nije u skladu s njima, to ne dovodi do nezakonitosti svake uporabe proizvoda koja je u skladu s propisima koji nisu prijavljeni.</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Uporaba proizvoda od strane tijela javne vlasti, u slučaju kao što je ovaj, ne može stvoriti prepreku trgovini koja bi se mogla izbjeći da je proveden postupak obavješćivanja.</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Stoga na prvo pitanje valja odgovoriti da Direktivu treba tumačiti na način da povreda obveze obavješćivanja o tehničkom propisu o uređaju za analizu daha, koja je propisana njezinim člankom 8., nema za učinak nemogućnost pozivanja na dokaze pribavljene takvim uređajem, koji su odobreni u skladu s propisima koji nisu priopćeni, protiv osobe zadužene za vožnju pod utjecajem alkohola.”</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Presuda od 6. lipnja 2002.</w:t>
        </w:r>
      </w:hyperlink>
      <w:r>
        <w:t xml:space="preserve">, Sapod Audic, C-159/00, EU:C:2002:343, t. 52. i 53.</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Na nacionalnom je sudu da odbije primijeniti odredbe koje nisu primjenjive zbog neobavješćivanja. Posljedice takve neprimjenjivosti uređene su nacionalnim pravom, pod uvjetom da nisu nepovoljnije od onih za slične unutarnje postupke i da ne onemogućuju ostvarivanje prava Unije.</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Međutim, valja istaknuti da je pitanje posljedica koje u glavnom postupku treba izvesti iz neprimjenjivosti članka 4. drugog stavka Uredbe br. 92 – 377 u pogledu strogosti sankcije u skladu s primjenjivim nacionalnim pravom, kao što je ništavost ili nemogućnost izvršenja ugovora između Sapoda i Eco-Emballagesa, pitanje uređeno nacionalnim pravom, osobito u pogledu pravila i načela ugovornog prava kojima se ta sankcija ograničava ili prilagođava kako bi njezina strogost bila proporcionalna utvrđenom nedostatku. Međutim, ta pravila i načela ne smiju biti manje povoljna od onih koja uređuju slična pravna sredstva u nacionalnom pravu (načelo ekvivalentnosti) i ne smiju biti oblikovana tako da u praksi onemoguće ostvarivanje prava dodijeljenih pravnim poretkom Zajednice (načelo djelotvornosti) (vidjeti, među ostalim, presude od 11. srpnja 1976., Rewe/Landwirtschaftskammer für das Saarland, 33/76, Zb., str. 1989., t. 5. i presudu Općeg suda od 8. srpnja 2001., Camorotto i Vignone, C-52/99 i C-53/99, Zb., str. I-1395., t. 21.).</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Stoga na drugi dio drugog pitanja, u dijelu u kojem se odnosi na Direktivu 83/189, valja odgovoriti da se, u slučaju da nacionalnu odredbu poput članka 4. drugog stavka Uredbe br. 92 – 377 treba tumačiti na način da zahtijeva primjenu žiga ili etikete, pojedinac može pozvati na neobavješćivanje o toj nacionalnoj odredbi u skladu s člankom 8. te direktive. Stoga je na nacionalnom sudu da odbije primijeniti tu odredbu, pri čemu je pitanje posljedica koje treba izvesti iz neprimjenjivosti te nacionalne odredbe u pogledu strogosti sankcije na temelju primjenjivog nacionalnog prava, kao što je ništavost ili nemogućnost izvršenja ugovora, pitanje uređeno nacionalnim pravom. Međutim, taj zaključak podliježe uvjetu da mjerodavna pravila nacionalnog prava nisu nepovoljnija od onih koja uređuju slične unutarnje postupke i da nisu oblikovana tako da u praksi onemogućavaju ostvarivanje prava dodijeljenih pravom Zajednice.”</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Presuda od 8. rujna 2005.</w:t>
        </w:r>
      </w:hyperlink>
      <w:r>
        <w:t xml:space="preserve">, Lidl Italia, C-303/04, EU:C:2005:528, t. 22. i 23.</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Povreda obveze obavješćivanja predstavlja bitnu postupovnu povredu zbog koje predmetni „tehnički propisi” nisu primjenjivi i stoga se ne mogu primijeniti na pojedince.</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iz ustaljene sudske prakse proizlazi da je cilj Direktive 98/34 zaštititi, putem preventivnog nadzora, slobodno kretanje robe, koje je jedan od temelja Zajednice, i da taj nadzor služi korisnoj svrsi s obzirom na to da tehnički propisi koji ulaze u područje primjene te direktive mogu predstavljati prepreke trgovini robom između država članica, pri čemu su takve prepreke dopuštene samo ako su nužne kako bi se zadovoljili važni zahtjevi u općem interesu (vidjeti u tom smislu presude od 12. prosinca 1996., CIA Security International, C-194/94, Zb., str. I-2201., t. 40. i od 12. prosinca 1998., Lemmens, C-226/97, Zb., str. I-3711., t. 32.).</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Budući da je obveza obavješćivanja iz, među ostalim, članka 8. stavka 1. prvog podstavka Direktive 98/34 nužna za postizanje tog nadzora Zajednice, učinkovitost takvog nadzora bit će toliko veća ako se ta direktiva tumači na način da nepoštovanje obveze obavješćivanja predstavlja bitnu postupovnu povredu koja može dovesti do neprimjenjivosti predmetnih tehničkih propisa i, prema tome, njihove neprimjenjivosti u odnosu na pojedince (presude CIA Security International, t. 44., 48. i 54. i Lemmens, t. 33.).”</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Presuda od 31. siječnja 2013.</w:t>
        </w:r>
      </w:hyperlink>
      <w:r>
        <w:t xml:space="preserve">, Belgische Petroleum Unie i dr., C 26/11</w:t>
        <w:noBreakHyphen/>
        <w:t xml:space="preserve">, EU:C:2013:44, t. 50.</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Povreda obveze obavješćivanja predstavlja bitnu postupovnu povredu zbog koje predmetni „tehnički propisi” nisu primjenjivi i stoga se ne mogu primijeniti na pojedince.</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Budući da je obveza obavješćivanja iz članka 8. stavka 1. prvog podstavka Direktive 98/34 nužna za postizanje tog nadzora, učinkovitost takvog nadzora bit će toliko veća ako se ta direktiva tumači na način da nepoštovanje obveze obavješćivanja predstavlja materijalnu postupovnu povredu koja može dovesti do neprimjenjivosti predmetnih tehničkih propisa i, prema tome, njihove neprimjenjivosti na pojedince (vidjeti gore navedenu presudu Lidl Italia, t. 23. i presudu Sandström, t. 43.).”</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Presuda od 2. veljače 2016.</w:t>
        </w:r>
      </w:hyperlink>
      <w:r>
        <w:t xml:space="preserve">, Ince, C-336/14, EU:C:2016:72, t. 67. i 68.</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Neobavješćivanje o „tehničkom propisu” čini ga neprimjenjivim i neizvršivim protiv pojedinaca. Potonji se može pozvati na članak 8. Direktive 98/34 pred nacionalnim sudovima, koji su stoga obvezni odbiti primjenu neprijavljenog pravila.</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Ponajprije treba podsjetiti da nepoštovanje obveze obavješćivanja predviđene člankom 8. stavkom 1. Direktive 98/34 predstavlja povredu postupka u donošenju dotičnih tehničkih propisa i dovodi do njihove neprimjenjivosti, na način da se ne mogu primijeniti na pojedince (vidjeti osobito presudu Ivansson i dr., C-307/13, EU:C:2014:2058, t. 48. i navedenu sudsku praksu).</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U tom pogledu valja naglasiti da, kao što je to istaknuo nezavisni odvjetnik u točki 60. svojeg mišljenja, iako članak 8. stavak 1. te direktive zahtijeva da se Komisiji dostavi cjelokupni nacrt zakona koji sadržava tehničke propise (vidjeti u tom smislu presudu Komisija/Italija, C-279/94, EU:C:1997:396, t. 40. i 41.), neprimjenjivost koja proizlazi iz povrede te obveze ne obuhvaća sve odredbe takvog zakona, nego samo tehničke propise koji su u njemu sadržani.”</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Rješenje od 21. travnja 2016.</w:t>
        </w:r>
      </w:hyperlink>
      <w:r>
        <w:t xml:space="preserve">, Beca Engineering, C-285/15, EU:C:2016:295, t. 37.</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Nepriopćavanje „tehničkog propisa” čini ga neprimjenjivim i neizvršivim protiv pojedinaca, koji se mogu pozvati na članak 8. Direktive 98/34 pred nacionalnim sudovima, koji su stoga obvezni odbiti njegovu primjenu.</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(Budući da je redoslijed dostupan isključivo na francuskom i talijanskom jeziku, sljedeći tekst je prijevod.)</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Iz ustaljene sudske prakse proizlazi da nepoštovanje obveze država članica da odmah obavijeste Komisiju o tehničkim propisima, koja je propisana člankom 8. Direktive 98/34, dovodi do neprimjenjivosti predmetnih tehničkih propisa, tako da ih se ne može primijeniti na pojedince te se oni stoga mogu pozvati na članak 8. Direktive 98/34 pred nacionalnim sudom, koji mora odbiti primijeniti nacionalni tehnički propis koji nije dostavljen u skladu s tom direktivom (vidjeti u tom smislu presude od 30. travnja 1996., CIA Security International, 194/94</w:t>
        <w:noBreakHyphen/>
        <w:t xml:space="preserve">, EU:C:1996:172, t. 44. i 54.; od 26. rujna 2000., Unilever,</w:t>
        <w:noBreakHyphen/>
        <w:t xml:space="preserve">443/98, EU:C:2000:496, t. 49.; i od 16. srpnja 2015., UNIC i Uni.co.pel, 95/14</w:t>
        <w:noBreakHyphen/>
        <w:t xml:space="preserve">, EU:C:2015:492, t. 29.”.</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Presuda od 1. veljače 2017.</w:t>
        </w:r>
      </w:hyperlink>
      <w:r>
        <w:t xml:space="preserve">, Município de Palmela, C</w:t>
        <w:noBreakHyphen/>
        <w:t xml:space="preserve">144/16, EU:C:2017:76, t. 36. i 37.</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Neprimjenjivost neprijavljenih tehničkih propisa odnosi se samo na odredbe koje se smatraju takvima, a ne na cijeli tekst u kojem su utvrđeni.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Osim toga, povreda takve obveze obavješćivanja sankcionira se neprimjenjivošću tehničkih pravila koja nisu dostavljena (vidjeti u tom smislu, u pogledu Direktive 83/189, presudu od 30. travnja 1996., CIA Security International, C-194/94, EU:C:1996:172, t. 54. i, kad je riječ o Direktivi 98/34, presudu od 4. veljače 2016., Ince, C-336/14, EU:C:2016:72, t. 67. i navedenu sudsku praksu).</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Kad je riječ o opsegu takve sankcije, iako članak 8. stavak 1. Direktive 83/189 i članak 8. stavak 1. Direktive 98/34 zahtijevaju da se Komisiji dostavi cjelokupni nacrt zakona koji sadržava tehničke propise, neprimjenjivost koja proizlazi iz povrede te obveze ne obuhvaća sve odredbe takvog zakona, nego samo tehničke propise koji su u njemu sadržani (vidjeti u tom smislu presudu od 4. veljače 2016., Ince, C-336/14, EU:C:2016:72, t. 68.).”</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Presuda od 12. rujna 2019.</w:t>
        </w:r>
      </w:hyperlink>
      <w:r>
        <w:t xml:space="preserve">, VG Media, C-299/17, EU:C:2019:716, t. 39.</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Na neprimjenjivost neprijavljenog „tehničkog propisa” može se pozvati u okviru spora između pojedinaca.</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Ako se tehnički propis poput onoga o kojem je riječ u glavnom postupku izričito odnosi na usluge informacijskog društva, njegov se nacrt mora prethodno dostaviti Komisiji na temelju članka 8. stavka 1. Direktive 98/34. U suprotnom, prema ustaljenoj sudskoj praksi, na neprimjenjivost tehničkog propisa koji nije dostavljen u skladu s tom odredbom može se pozvati u okviru spora između pojedinaca (presuda od 27. listopada 2016., James Elliott Construction, C 613/14</w:t>
        <w:noBreakHyphen/>
        <w:t xml:space="preserve">, EU:C:2016:821, t. 64. i navedena sudska praksa).”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Neprimjenjivost u slučaju posvojenja tijekom razdoblja mirovanja</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Presuda od 26. rujna 2000.</w:t>
        </w:r>
      </w:hyperlink>
      <w:r>
        <w:t xml:space="preserve">, Unilever, C-443/98, EU:C:2000:496, t. 44. i 49.</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Povreda obveze odgode donošenja „tehničkog propisa” predstavlja bitnu povredu postupka, a neprimjenjivost koja iz toga proizlazi može se istaknuti u parničnim postupcima u području građanskog ugovornog prava.</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Iako je Sud u točki 48. presude CIA Security, nakon što je podsjetio da je cilj Direktive 83/189 zaštita slobodnog kretanja robe preventivnim nadzorom i da je obveza obavješćivanja ključna za postizanje takvog nadzora Zajednice, utvrdio da bi učinkovitost takvog nadzora bila znatno veća ako bi se Direktiva tumačila na način da povreda obveze obavješćivanja predstavlja bitnu postupovnu povredu koja može dovesti do neprimjenjivosti predmetnih tehničkih propisa na pojedince, iz razmatranja navedenih u točkama 40. do 43. ove presude proizlazi da povreda obveza odgode donošenja iz članka 9. Direktive 83/189 također predstavlja bitnu postupovnu povredu koja može dovesti do neprimjenjivosti tehničkih propisa.”</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Stoga iz sudske prakse Suda proizlazi da se na neprimjenjivost tehničkog propisa koji nije dostavljen u skladu s člankom 8. Direktive 83/189 može pozvati u okviru spora između pojedinaca zbog razloga navedenih u točkama 40. do 43. ove presude. Isto vrijedi i za nepoštovanje obveza predviđenih člankom 9. te direktive i u tom pogledu nije potrebno različito postupati prema sporovima između pojedinaca u području nepoštenog tržišnog natjecanja, kao u predmetu CIA Security International, od sporova između pojedinaca koji se odnose na ugovorna prava i obveze, kao što je to slučaj u glavnom postupku.”</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Presuda od 16. srpnja 2015.</w:t>
        </w:r>
      </w:hyperlink>
      <w:r>
        <w:t xml:space="preserve">, UNIC i Uni.co.pel, C-95/14, EU:C:2015:492, t. 29. i 30.</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„Tehnički propis” ne može se primijeniti ako nije dostavljen ili ako je, iako je prijavljen, donesen i proveden prije isteka razdoblja mirovanja. Nepoštovanje tog roka mirovanja predstavlja materijalnu postupovnu povredu koja čini predmetni „tehnički propis” neprimjenjivim i neprimjenjivim na pojedince.</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 U tom pogledu valja istaknuti da se tehnički propis ne može primijeniti ako nije bio dostavljen u skladu s člankom 8. stavkom 1. Direktive 98/34 ili ako je, iako je dostavljen, donesen i proveden prije isteka tromjesečnog roka mirovanja propisanog člankom 9. stavkom 1. te direktive (vidjeti presude CIA Security International, C-194/94, EU:C:1996:172, t. 41., 44. i 54. i Unilever, C-443/98, EU:C:2000:496, t. 49.).</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Stoga je u glavnom postupku na sudu koji je uputio zahtjev da provjeri je li Zakon br. 8/2013 stupio na snagu bez poštovanja roka mirovanja propisanog člankom 9. Direktive 98/34. U slučaju potvrdnog odgovora, nepoštovanje tog roka mirovanja predstavlja bitnu postupovnu povredu koja čini sporni tehnički propis neprimjenjivim. Kao što je to nezavisna odvjetnica istaknula u točkama 44. do 47. svojeg mišljenja, članak 3. stavak 2. Zakona br. 8/2103 u tom bi slučaju bio neizvršiv protiv pojedinaca.”</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Presuda od 21. prosinca 2023.</w:t>
        </w:r>
      </w:hyperlink>
      <w:r>
        <w:rPr>
          <w:rFonts w:ascii="Times New Roman" w:hAnsi="Times New Roman" w:cs="Times New Roman" w:eastAsia="Times New Roman"/>
          <w:b/>
          <w:i/>
          <w:szCs w:val="20"/>
        </w:rPr>
        <w:t xml:space="preserve">, Papier Mettler Italia, C-86/22, EU:C:2023:1023, t. 48. i 51.</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Donošenje nacrta „tehničkog propisa” šest dana nakon obavijesti o njemu u suprotnosti je s Direktivom.</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Odredbe kojima se stupanje na snagu zakonodavstva uvjetuje time da Komisija ne reagira na to zakonodavstvo („suspenzivne klauzule”) protivne su Direktivi jer donošenje takvog zakonodavstva ne omogućuje uzimanje u obzir stajališta drugih država članica i krši načelo pravne sigurnosti.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S druge strane, donošenjem uredbe o kojoj je riječ u glavnom postupku u roku od šest dana od njezine dostave Komisiji na temelju članka 8. stavka 1. te direktive također se povređuje obveza predviđena u članku 9. stavku 1. te direktive, prema kojoj države članice odgađaju donošenje „nacrta tehničkog propisa” za tri mjeseca od datuma na koji je Komisija primila obavijest iz članka 8. stavka 1. navedene direktive.”</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S druge strane, navedena vlada tvrdi da je stupanje na snagu uredbe o kojoj je riječ u glavnom postupku bilo uvjetovano, u skladu s njezinim člankom 6., time da postupak obavješćivanja, pokrenut 12. ožujka 2013. na temelju članka 8. stavka 1. Direktive 98/34, završi s pozitivnim ishodom. Međutim, taj postupak nije doveo do takvog ishoda jer Komisija nije dala mišljenje o toj uredbi. Taj argument treba odbiti s obzirom na to da, s jedne strane, donošenje i objava te uredbe mogu sami po sebi imati određene učinke na slobodno kretanje predmetne robe. s druge strane, oni nisu omogućili uzimanje u obzir očitovanja i detaljnih mišljenja Kraljevine Nizozemske, Kraljevine Švedske i Ujedinjene Kraljevine Velike Britanije i Sjeverne Irske; kao treće, kao što je to istaknuo nezavisni odvjetnik u točki 52. svojeg mišljenja, one predstavljaju zakonodavnu tehniku koja nije u skladu s načelom pravne sigurnosti.”</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Pojašnjenje učinka neprimjenjivosti</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Presuda od 11. lipnja 2015.</w:t>
        </w:r>
      </w:hyperlink>
      <w:r>
        <w:t xml:space="preserve">, Berlington Hungary i dr., C-98/14, EU:C:2015:386, t. 108. i 109.</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Svrha obveza obavješćivanja i mirovanja nije dodjela prava pojedincima. Slijedom toga, njihova povreda od strane države članice ne daje, na temelju prava Unije, pojedincima pravo da od te države članice zatraže naknadu štete koja iz toga proizlazi.</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U tom pogledu, iz sudske prakse proizlazi da, iako je cilj Direktive 98/34 osigurati slobodno kretanje robe organiziranjem preventivnog nadzora čija učinkovitost zahtijeva izuzimanje iz primjene, u okviru spora između pojedinaca, nacionalne mjere donesene protivno njezinim člancima 8. i 9., ta direktiva ni na koji način ne definira materijalno područje primjene pravnog pravila na temelju kojeg nacionalni sud mora riješiti spor koji se pred njim vodi. Stoga ta direktiva ne stvara ni prava ni obveze za pojedince (presuda Unilever, C-443/98, EU:C:2000:496, t. 51.).</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U tim okolnostima valja smatrati da prvi od uvjeta navedenih u točki 104. nije ispunjen, tako da se pojedinci ne mogu pozivati na povredu članaka 8. i 9. te direktive kako bi se utvrdila odgovornost dotične države članice na temelju prava Unije.”</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Prekršajni postupak</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Presuda od 4. lipnja 2009.</w:t>
        </w:r>
      </w:hyperlink>
      <w:r>
        <w:t xml:space="preserve">, Komisija protiv Grčke, C-109/08, EU:C:2009:346, točke 14. do 17.</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Presuda Suda kojom se utvrđuje povreda obveze priopćavanja mora se odmah izvršiti kako bi se osigurala ujednačena primjena prava Unije. Postojanje takvog propusta na temelju članka 228. UEZ-a ocjenjuje se po isteku roka određenog u obrazloženom mišljenju. U ovom slučaju, s obzirom na to da Grčka nije poduzela nikakve mjere prije isteka određenog roka, povrijedila je obveze koje ima na temelju članka 228. stavka 1. UEZ-a.</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bookmarkStart w:id="206" w:name="point14"/>
      <w:r>
        <w:t>14</w:t>
      </w:r>
      <w:bookmarkEnd w:id="206"/>
      <w:r>
        <w:t xml:space="preserve">. Iako se u članku 228. UEZ-a ne navodi rok u kojem se mora poštovati presuda Suda kojom se utvrđuje povreda obveze države članice, iz ustaljene sudske prakse proizlazi da važnost neposredne i ujednačene primjene prava Zajednice podrazumijeva da se postupak usklađivanja mora pokrenuti odjednom i dovršiti u najkraćem mogućem roku (vidjeti, među ostalim, presudu Suda od 12. prosinca 2008., Komisija/Francuska, C-121/07, Zb., str. I</w:t>
        <w:noBreakHyphen/>
        <w:t xml:space="preserve">0000., t. 21. i navedenu</w:t>
        <w:noBreakHyphen/>
        <w:t xml:space="preserve">sudsku praksu).</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Osim toga, referentni datum za ocjenu postojanja povrede obveze na temelju članka 228. UEZ-a jest datum isteka roka određenog u obrazloženom mišljenju izdanom na temelju te odredbe (vidjeti osobito presudu od 12. prosinca 2007.,</w:t>
        <w:noBreakHyphen/>
        <w:t xml:space="preserve">Komisija/Njemačka, C 503/04, Zb., str. I</w:t>
        <w:noBreakHyphen/>
        <w:t xml:space="preserve">6153., t. 19. i navedenu</w:t>
        <w:noBreakHyphen/>
        <w:t xml:space="preserve">sudsku praksu).</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U ovom je slučaju sasvim jasno da do isteka roka od dva mjeseca predviđenog u obrazloženom mišljenju od 29. lipnja 2007. Helenska Republika nije poduzela nijednu od mjera potrebnih za izvršenje presude u predmetu C 65/05,</w:t>
        <w:noBreakHyphen/>
        <w:t xml:space="preserve">Komisija/Grčka, s obzirom na to da je nacrt prve mjere za izvršenje te presude dostavljen Komisiji tek 7. svibnja 2008.</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U tim okolnostima valja utvrditi da je Helenska Republika, kao što sama priznaje, povrijedila obveze koje ima na temelju članka 228. stavka 1. UEZ-a.”</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Usporedba Direktive 2015/1535 i Direktive 83/189/EEZ temelji se na izvornim neizmijenjenim aktima, dok se usporedba Direktive 98/34/EZ temelji na verziji izmijenjenoj Direktivom 98/48/EZ od 20. srpnja 1998.</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Direktiva (EU) 2015/1535 Europskog parlamenta i Vijeća od 9. rujna 2015. o utvrđivanju postupka pružanja informacija u području tehničkih propisa i pravila o uslugama informacijskog društva (kodificirani tekst)</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Direktiva 98/34/EZ Europskog parlamenta i Vijeća od 22. lipnja 1998. o utvrđivanju postupka osiguravanja informacija u području tehničkih normi i propisa, kako je izmijenjena Direktivom 98/48/EZ od 20. srpnja 1998. (uključujući pravila o uslugama)</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Direktiva Vijeća 83/189/EEZ od 28. ožujka 1983. o utvrđivanju postupka pružanja informacija u području tehničkih normi i propisa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hr"/>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