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54" w:rsidRPr="00D55954" w:rsidRDefault="00D55954" w:rsidP="00D55954">
      <w:pPr>
        <w:pStyle w:val="PlainText"/>
        <w:rPr>
          <w:rFonts w:ascii="Courier New" w:hAnsi="Courier New" w:cs="Courier New"/>
          <w:sz w:val="20"/>
          <w:szCs w:val="20"/>
        </w:rPr>
      </w:pPr>
      <w:r>
        <w:rPr>
          <w:rFonts w:ascii="Courier New" w:hAnsi="Courier New"/>
          <w:sz w:val="20"/>
          <w:szCs w:val="20"/>
        </w:rPr>
        <w:t xml:space="preserve">1. ------IND- 2018 0236 P-- FR- ------ 20191122 --- --- FINAL </w:t>
      </w:r>
    </w:p>
    <w:p w:rsidR="00B42FB5" w:rsidRPr="00B42FB5" w:rsidRDefault="00B42FB5" w:rsidP="00F17942">
      <w:pPr>
        <w:spacing w:after="105" w:line="300" w:lineRule="atLeast"/>
        <w:outlineLvl w:val="0"/>
        <w:rPr>
          <w:rFonts w:ascii="Arial" w:eastAsia="Times New Roman" w:hAnsi="Arial" w:cs="Arial"/>
          <w:b/>
          <w:bCs/>
          <w:color w:val="333333"/>
          <w:kern w:val="36"/>
          <w:sz w:val="30"/>
          <w:szCs w:val="30"/>
        </w:rPr>
      </w:pPr>
      <w:r>
        <w:rPr>
          <w:rFonts w:ascii="Arial" w:hAnsi="Arial"/>
          <w:b/>
          <w:bCs/>
          <w:color w:val="333333"/>
          <w:sz w:val="30"/>
          <w:szCs w:val="30"/>
        </w:rPr>
        <w:t>Décret-loi nº 131/2019</w:t>
      </w:r>
    </w:p>
    <w:p w:rsidR="00B42FB5" w:rsidRPr="00B42FB5" w:rsidRDefault="00B42FB5" w:rsidP="00F17942">
      <w:pPr>
        <w:spacing w:after="0" w:line="240" w:lineRule="auto"/>
        <w:rPr>
          <w:rFonts w:ascii="Arial" w:eastAsia="Times New Roman" w:hAnsi="Arial" w:cs="Arial"/>
          <w:color w:val="333333"/>
          <w:sz w:val="21"/>
          <w:szCs w:val="21"/>
        </w:rPr>
      </w:pPr>
      <w:r>
        <w:rPr>
          <w:rFonts w:ascii="Arial" w:hAnsi="Arial"/>
          <w:b/>
          <w:bCs/>
          <w:color w:val="333333"/>
          <w:sz w:val="21"/>
          <w:szCs w:val="21"/>
        </w:rPr>
        <w:t>Publication: </w:t>
      </w:r>
      <w:r>
        <w:rPr>
          <w:rFonts w:ascii="Arial" w:hAnsi="Arial"/>
          <w:color w:val="333333"/>
          <w:sz w:val="21"/>
          <w:szCs w:val="21"/>
        </w:rPr>
        <w:t>Journal de la République nº 166/2019, première série, du 30/08/2019</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bCs/>
          <w:color w:val="333333"/>
          <w:sz w:val="21"/>
          <w:szCs w:val="21"/>
        </w:rPr>
        <w:t xml:space="preserve">Émetteur: </w:t>
      </w:r>
      <w:r>
        <w:rPr>
          <w:rFonts w:ascii="Arial" w:hAnsi="Arial"/>
          <w:color w:val="333333"/>
          <w:sz w:val="21"/>
          <w:szCs w:val="21"/>
        </w:rPr>
        <w:t>Présidence du Conseil des ministres</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bCs/>
          <w:color w:val="333333"/>
          <w:sz w:val="21"/>
          <w:szCs w:val="21"/>
        </w:rPr>
        <w:t xml:space="preserve">Entité soumissionnaire: </w:t>
      </w:r>
      <w:r>
        <w:rPr>
          <w:rFonts w:ascii="Arial" w:hAnsi="Arial"/>
          <w:color w:val="333333"/>
          <w:sz w:val="21"/>
          <w:szCs w:val="21"/>
        </w:rPr>
        <w:t>Adjoint et économie</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bCs/>
          <w:color w:val="333333"/>
          <w:sz w:val="21"/>
          <w:szCs w:val="21"/>
        </w:rPr>
        <w:t xml:space="preserve">Type de document: </w:t>
      </w:r>
      <w:r>
        <w:rPr>
          <w:rFonts w:ascii="Arial" w:hAnsi="Arial"/>
          <w:color w:val="333333"/>
          <w:sz w:val="21"/>
          <w:szCs w:val="21"/>
        </w:rPr>
        <w:t>Décret-loi</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bCs/>
          <w:color w:val="333333"/>
          <w:sz w:val="21"/>
          <w:szCs w:val="21"/>
        </w:rPr>
        <w:t xml:space="preserve">Numéro: </w:t>
      </w:r>
      <w:r>
        <w:rPr>
          <w:rFonts w:ascii="Arial" w:hAnsi="Arial"/>
          <w:color w:val="333333"/>
          <w:sz w:val="21"/>
          <w:szCs w:val="21"/>
        </w:rPr>
        <w:t>131/2019</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bCs/>
          <w:color w:val="333333"/>
          <w:sz w:val="21"/>
          <w:szCs w:val="21"/>
        </w:rPr>
        <w:t xml:space="preserve">Pages: </w:t>
      </w:r>
      <w:r>
        <w:rPr>
          <w:rFonts w:ascii="Arial" w:hAnsi="Arial"/>
          <w:color w:val="333333"/>
          <w:sz w:val="21"/>
          <w:szCs w:val="21"/>
        </w:rPr>
        <w:t>20 - 47</w:t>
      </w:r>
    </w:p>
    <w:p w:rsidR="00B42FB5" w:rsidRPr="009A7005" w:rsidRDefault="00B42FB5" w:rsidP="00F17942">
      <w:pPr>
        <w:numPr>
          <w:ilvl w:val="0"/>
          <w:numId w:val="2"/>
        </w:numPr>
        <w:spacing w:after="0" w:line="300" w:lineRule="atLeast"/>
        <w:ind w:left="0"/>
        <w:rPr>
          <w:rFonts w:ascii="Arial" w:eastAsia="Times New Roman" w:hAnsi="Arial" w:cs="Arial"/>
          <w:color w:val="333333"/>
          <w:sz w:val="21"/>
          <w:szCs w:val="21"/>
          <w:lang w:val="fi-FI"/>
        </w:rPr>
      </w:pPr>
      <w:r w:rsidRPr="009A7005">
        <w:rPr>
          <w:rFonts w:ascii="Arial" w:hAnsi="Arial"/>
          <w:b/>
          <w:bCs/>
          <w:color w:val="333333"/>
          <w:sz w:val="21"/>
          <w:szCs w:val="21"/>
          <w:lang w:val="fi-FI"/>
        </w:rPr>
        <w:t xml:space="preserve">ELI: </w:t>
      </w:r>
      <w:r w:rsidRPr="009A7005">
        <w:rPr>
          <w:rFonts w:ascii="Arial" w:hAnsi="Arial"/>
          <w:color w:val="333333"/>
          <w:sz w:val="21"/>
          <w:szCs w:val="21"/>
          <w:lang w:val="fi-FI"/>
        </w:rPr>
        <w:t>https://data.dre.pt/eli/dec-lei/131/2019/08/30/p/dre</w:t>
      </w:r>
    </w:p>
    <w:p w:rsidR="00B42FB5" w:rsidRPr="009A7005" w:rsidRDefault="00B42FB5" w:rsidP="00F17942">
      <w:pPr>
        <w:spacing w:after="0" w:line="240" w:lineRule="auto"/>
        <w:rPr>
          <w:rFonts w:ascii="Arial" w:eastAsia="Times New Roman" w:hAnsi="Arial" w:cs="Arial"/>
          <w:color w:val="333333"/>
          <w:sz w:val="21"/>
          <w:szCs w:val="21"/>
          <w:lang w:val="fi-FI" w:eastAsia="pt-PT"/>
        </w:rPr>
      </w:pPr>
    </w:p>
    <w:p w:rsidR="00B42FB5" w:rsidRPr="00B42FB5" w:rsidRDefault="00B42FB5" w:rsidP="00F17942">
      <w:pPr>
        <w:spacing w:after="0" w:line="240" w:lineRule="auto"/>
        <w:rPr>
          <w:rFonts w:ascii="Arial" w:eastAsia="Times New Roman" w:hAnsi="Arial" w:cs="Arial"/>
          <w:color w:val="333333"/>
          <w:sz w:val="21"/>
          <w:szCs w:val="21"/>
        </w:rPr>
      </w:pPr>
      <w:r>
        <w:rPr>
          <w:rFonts w:ascii="Arial" w:hAnsi="Arial"/>
          <w:b/>
          <w:bCs/>
          <w:caps/>
          <w:color w:val="333333"/>
          <w:sz w:val="18"/>
          <w:szCs w:val="18"/>
        </w:rPr>
        <w:t>SOMMAIRE</w:t>
      </w:r>
    </w:p>
    <w:p w:rsidR="00B42FB5" w:rsidRPr="00B42FB5" w:rsidRDefault="00B42FB5" w:rsidP="00F17942">
      <w:pPr>
        <w:spacing w:after="225" w:line="390" w:lineRule="atLeast"/>
        <w:rPr>
          <w:rFonts w:ascii="Times New Roman" w:eastAsia="Times New Roman" w:hAnsi="Times New Roman" w:cs="Times New Roman"/>
          <w:color w:val="333333"/>
          <w:sz w:val="24"/>
          <w:szCs w:val="24"/>
        </w:rPr>
      </w:pPr>
      <w:r>
        <w:rPr>
          <w:rFonts w:ascii="Times New Roman" w:hAnsi="Times New Roman"/>
          <w:color w:val="333333"/>
          <w:sz w:val="24"/>
          <w:szCs w:val="24"/>
        </w:rPr>
        <w:t>Approbation du règlement sur l'installation et l'exploitation des récipients à pression simples et des équipements sous pression</w:t>
      </w:r>
    </w:p>
    <w:p w:rsidR="00B42FB5" w:rsidRPr="00B42FB5" w:rsidRDefault="00B42FB5" w:rsidP="00F17942">
      <w:pPr>
        <w:numPr>
          <w:ilvl w:val="0"/>
          <w:numId w:val="4"/>
        </w:numPr>
        <w:spacing w:before="420" w:after="0" w:line="300" w:lineRule="atLeast"/>
        <w:ind w:left="0"/>
        <w:rPr>
          <w:rFonts w:ascii="Arial" w:eastAsia="Times New Roman" w:hAnsi="Arial" w:cs="Arial"/>
          <w:color w:val="333333"/>
          <w:sz w:val="21"/>
          <w:szCs w:val="21"/>
        </w:rPr>
      </w:pPr>
      <w:r>
        <w:rPr>
          <w:rFonts w:ascii="Arial" w:hAnsi="Arial"/>
          <w:b/>
          <w:bCs/>
          <w:caps/>
          <w:color w:val="333333"/>
          <w:sz w:val="18"/>
          <w:szCs w:val="18"/>
        </w:rPr>
        <w:t>TEXTE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Décret-loi nº 131/2019</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du 30 août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Résumé: Approbation du règlement sur l'installation et l'exploitation des récipients à pression simples et des équipements sous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présent décret-loi porte approbation du règlement sur l’installation et l’exploitation des récipients à pression simples et des équipements sous pression (ci-après le règlement). Il met en œuvre la mesure du programme SIMPLEX + nommée «IPQ.net», qui simplifie les régimes de licences pour ces équipements, notamment en dématérialisant les procédures respectives, à concrétiser par leur traitement via une plateforme électronique accessible par le portail ePortugal.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Le champ d’application du règlement approuvé en annexe au présent décret-loi, duquel il fait partie intégrante, comprend les récipients à pression simples (ci-après RSPS) destinés à contenir de l’air ou de l’azote, les équipements sous pression (ci-après ESP) et les ensembles soumis à une pression maximale admissible supérieure à 0,5 bar, les règles applicables à la mise sur le marché ayant été établies respectivement par le </w:t>
      </w:r>
      <w:hyperlink r:id="rId11" w:tgtFrame="_blank" w:tooltip="Décret-loi nº 37/2017" w:history="1">
        <w:r w:rsidRPr="009A7005">
          <w:rPr>
            <w:rFonts w:ascii="Times New Roman" w:hAnsi="Times New Roman" w:cs="Times New Roman"/>
            <w:color w:val="006633"/>
            <w:sz w:val="24"/>
            <w:szCs w:val="24"/>
            <w:u w:val="single"/>
          </w:rPr>
          <w:t>décret-loi nº 37/2017</w:t>
        </w:r>
      </w:hyperlink>
      <w:r w:rsidRPr="009A7005">
        <w:rPr>
          <w:rFonts w:ascii="Times New Roman" w:hAnsi="Times New Roman" w:cs="Times New Roman"/>
          <w:sz w:val="24"/>
          <w:szCs w:val="24"/>
        </w:rPr>
        <w:t xml:space="preserve"> du 29 mars 2017 qui transpose la </w:t>
      </w:r>
      <w:hyperlink r:id="rId12" w:tgtFrame="_blank" w:tooltip="Lien vers la directive de l’Union européenne" w:history="1">
        <w:r w:rsidRPr="009A7005">
          <w:rPr>
            <w:rFonts w:ascii="Times New Roman" w:hAnsi="Times New Roman" w:cs="Times New Roman"/>
            <w:color w:val="006633"/>
            <w:sz w:val="24"/>
            <w:szCs w:val="24"/>
            <w:u w:val="single"/>
          </w:rPr>
          <w:t>directive nº 2014/29/UE</w:t>
        </w:r>
      </w:hyperlink>
      <w:r w:rsidRPr="009A7005">
        <w:rPr>
          <w:rFonts w:ascii="Times New Roman" w:hAnsi="Times New Roman" w:cs="Times New Roman"/>
          <w:sz w:val="24"/>
          <w:szCs w:val="24"/>
        </w:rPr>
        <w:t xml:space="preserve"> du Parlement européen et du Conseil du 26 février 2014 en droit national et par le </w:t>
      </w:r>
      <w:hyperlink r:id="rId13" w:tgtFrame="_blank" w:tooltip="Décret-loi nº 111-D/2017" w:history="1">
        <w:r w:rsidRPr="009A7005">
          <w:rPr>
            <w:rFonts w:ascii="Times New Roman" w:hAnsi="Times New Roman" w:cs="Times New Roman"/>
            <w:color w:val="006633"/>
            <w:sz w:val="24"/>
            <w:szCs w:val="24"/>
            <w:u w:val="single"/>
          </w:rPr>
          <w:t>décret-loi nº 111-D/2017</w:t>
        </w:r>
      </w:hyperlink>
      <w:r w:rsidRPr="009A7005">
        <w:rPr>
          <w:rFonts w:ascii="Times New Roman" w:hAnsi="Times New Roman" w:cs="Times New Roman"/>
          <w:sz w:val="24"/>
          <w:szCs w:val="24"/>
        </w:rPr>
        <w:t xml:space="preserve"> du 31 août 2017 qui transpose la </w:t>
      </w:r>
      <w:hyperlink r:id="rId14" w:tgtFrame="_blank" w:tooltip="Lien vers la directive de l’Union européenne" w:history="1">
        <w:r w:rsidRPr="009A7005">
          <w:rPr>
            <w:rFonts w:ascii="Times New Roman" w:hAnsi="Times New Roman" w:cs="Times New Roman"/>
            <w:color w:val="006633"/>
            <w:sz w:val="24"/>
            <w:szCs w:val="24"/>
            <w:u w:val="single"/>
          </w:rPr>
          <w:t>directive nº 2014/68/UE</w:t>
        </w:r>
      </w:hyperlink>
      <w:r w:rsidRPr="009A7005">
        <w:rPr>
          <w:rFonts w:ascii="Times New Roman" w:hAnsi="Times New Roman" w:cs="Times New Roman"/>
          <w:sz w:val="24"/>
          <w:szCs w:val="24"/>
        </w:rPr>
        <w:t xml:space="preserve"> du Parlement européen et du Conseil du 15 mai 2014 en droit national.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 xml:space="preserve">La discipline normative désormais approuvée prévoit un ensemble de mesures de simplification qui, en adaptant les procédures d’octroi de licences de ces équipements aux </w:t>
      </w:r>
      <w:r w:rsidRPr="009A7005">
        <w:rPr>
          <w:rFonts w:ascii="Times New Roman" w:hAnsi="Times New Roman" w:cs="Times New Roman"/>
          <w:color w:val="333333"/>
          <w:sz w:val="24"/>
          <w:szCs w:val="24"/>
        </w:rPr>
        <w:lastRenderedPageBreak/>
        <w:t>règles contenues dans les documents susvisés, vise à assurer une gestion plus efficace et une immatriculation plus rapide auprès de l’Instituto Português da Qualidade, I.P. (ci-après IPQ, I.P.), en réduisant les frais administratifs associés.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La publication de ce règlement abroge le </w:t>
      </w:r>
      <w:hyperlink r:id="rId15" w:tgtFrame="_blank" w:tooltip="Décret-loi nº 90/2010" w:history="1">
        <w:r w:rsidRPr="009A7005">
          <w:rPr>
            <w:rFonts w:ascii="Times New Roman" w:hAnsi="Times New Roman" w:cs="Times New Roman"/>
            <w:color w:val="006633"/>
            <w:sz w:val="24"/>
            <w:szCs w:val="24"/>
            <w:u w:val="single"/>
          </w:rPr>
          <w:t>décret-loi n° 90/2010</w:t>
        </w:r>
      </w:hyperlink>
      <w:r w:rsidRPr="009A7005">
        <w:rPr>
          <w:rFonts w:ascii="Times New Roman" w:hAnsi="Times New Roman" w:cs="Times New Roman"/>
          <w:sz w:val="24"/>
          <w:szCs w:val="24"/>
        </w:rPr>
        <w:t xml:space="preserve"> du 22 juillet 2010 pour l’adapter aux dispositions du </w:t>
      </w:r>
      <w:hyperlink r:id="rId16"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L’essai de pression effectué sur le site de fabrication doit notamment être accepté pour la mise en service s’il a été effectué dans les deux ans, correspondant à la période de garantie commerciale actuelle retenue.</w:t>
      </w:r>
      <w:r w:rsidRPr="009A7005">
        <w:rPr>
          <w:rFonts w:ascii="Times New Roman" w:hAnsi="Times New Roman" w:cs="Times New Roman"/>
          <w:color w:val="333333"/>
          <w:sz w:val="24"/>
          <w:szCs w:val="24"/>
        </w:rPr>
        <w:t xml:space="preserve"> Le règlement prévoit l’adoption des mesures suivantes pour favoriser la rapidité de la procédure d’obtention de licence et en réduire les coûts: i) l’élimination de la loi sur l’enregistrement autonome; (ii) la notification préalable d’exploitation des RSPS; (iii) la réduction des délais de décision et d’émission des déclarations et des certificats par l’IPQ, I.P. de 45 à 30 jours; iv) l’allongement de la durée de validité générale des certificats de 5 à 6 ans, sans préjudice des délais fixés pour des équipements spécifiques; (v) l’émission d’un avis sur les projets d’installation par un organisme d’inspection (OI); et (vi) une exemption de présentation du projet d’installation pour approbation par IPQ, I.P. pour les récipients de gaz de pétrole liquéfié (GPL) eu égard aux compétences d'autres entités.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Enfin, dans un souci d'assouplir la procédure d'autorisation, l'obligation pour les OI de communiquer les inspections programmées à l'IPQ, I.P. est supprimée.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Le présent décret-loi a été notifié à la Commission européenne en phase de projet, conformément à la </w:t>
      </w:r>
      <w:hyperlink r:id="rId17" w:tgtFrame="_blank" w:tooltip="Lien vers la directive de l’Union européenne" w:history="1">
        <w:r w:rsidRPr="009A7005">
          <w:rPr>
            <w:rFonts w:ascii="Times New Roman" w:hAnsi="Times New Roman" w:cs="Times New Roman"/>
            <w:color w:val="006633"/>
            <w:sz w:val="24"/>
            <w:szCs w:val="24"/>
            <w:u w:val="single"/>
          </w:rPr>
          <w:t>directive (UE) nº 2015/1535</w:t>
        </w:r>
      </w:hyperlink>
      <w:r w:rsidRPr="009A7005">
        <w:rPr>
          <w:rFonts w:ascii="Times New Roman" w:hAnsi="Times New Roman" w:cs="Times New Roman"/>
          <w:sz w:val="24"/>
          <w:szCs w:val="24"/>
        </w:rPr>
        <w:t xml:space="preserve"> du Parlement européen et du Conseil, du 9 septembre 2015, prévoyant une procédure d'information dans le domaine des réglementations techniques et des règles relatives aux services de la société de l'information.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La Commission nationale de protection des données a été entendue.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Les organes de gouvernance des régions autonomes ont été invités à s’exprimer dans le cadre d’une audition.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Ainsi: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Selon les termes de l’article 198, paragraphe 1, point a), de la Constitution, le gouvernement décrète:</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premier</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Objet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règlement sur l'installation et l'exploitation des récipients à pression simples et des équipements sous pression, ci-après dénommé le règlement, est approuvé en annexe du présent décret-loi, dont elle fait partie intégrante.</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Norme transitoire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 xml:space="preserve">1 - Le régime prévu par le </w:t>
      </w:r>
      <w:hyperlink r:id="rId18" w:tgtFrame="_blank" w:tooltip="Décret-loi nº 90/2010" w:history="1">
        <w:r w:rsidRPr="009A7005">
          <w:rPr>
            <w:rFonts w:ascii="Times New Roman" w:hAnsi="Times New Roman" w:cs="Times New Roman"/>
            <w:color w:val="006633"/>
            <w:sz w:val="24"/>
            <w:szCs w:val="24"/>
            <w:u w:val="single"/>
          </w:rPr>
          <w:t>décret-loi nº 90/2010</w:t>
        </w:r>
      </w:hyperlink>
      <w:r w:rsidRPr="009A7005">
        <w:rPr>
          <w:rFonts w:ascii="Times New Roman" w:hAnsi="Times New Roman" w:cs="Times New Roman"/>
          <w:color w:val="333333"/>
          <w:sz w:val="24"/>
          <w:szCs w:val="24"/>
        </w:rPr>
        <w:t xml:space="preserve"> du 22 juillet 2010 s’applique, jusqu’à sa conclusion, aux procédures d’octroi de licence en cours à la date d’entrée en vigueur du présent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instructions techniques complémentaires (ITC) approuvées par les ordonnances suivantes restent en vigueur jusqu'à révocation: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Ordonnance nº 22332/2001 du 12 octobre 2001 du ministère de l’économie, publiée au Journal de la République, 2e série, n.º 252, du 30 octobre 2001;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Ordonnance nº 22333/2001 du 12 octobre 2001 du ministère de l’économie, publiée au Journal de la République, 2e série, nº 252, du 30 octobre 2001;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Ordonnance nº 1859/2003 du 13 décembre 2003 de la secrétaire d’État de l’industrie, du commerce et des services, publiée au Journal de la République, 2e série, nº 25, du 30 janvier 2003;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Ordonnance nº 11551/2007 du 21 mai 2007 du ministère de l’économie et de l’innovation, publiée au Journal de la République, 2e série, nº 112, du 12 juin 2007;</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Ordonnance nº 24260/2007 du 10 octobre 2007 du ministère de l’économie et de l’innovation, publiée au Journal de la République, 2e série, nº 204, du 23 octobre 2007;</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Ordonnance nº 24261/2007 du 10 octobre 2007 du ministère de l’économie et de l’innovation, publiée au Journal de la République, 2e série, nº 268, du 23 octobre 2007.</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3</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Norme abrogatoire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Le </w:t>
      </w:r>
      <w:hyperlink r:id="rId19" w:tgtFrame="_blank" w:tooltip="Décret-loi nº 90/2010" w:history="1">
        <w:r w:rsidRPr="009A7005">
          <w:rPr>
            <w:rFonts w:ascii="Times New Roman" w:hAnsi="Times New Roman" w:cs="Times New Roman"/>
            <w:color w:val="006633"/>
            <w:sz w:val="24"/>
            <w:szCs w:val="24"/>
            <w:u w:val="single"/>
          </w:rPr>
          <w:t>décret-loi nº 90/2010</w:t>
        </w:r>
      </w:hyperlink>
      <w:r w:rsidRPr="009A7005">
        <w:rPr>
          <w:rFonts w:ascii="Times New Roman" w:hAnsi="Times New Roman" w:cs="Times New Roman"/>
          <w:sz w:val="24"/>
          <w:szCs w:val="24"/>
        </w:rPr>
        <w:t xml:space="preserve"> du 22 juillet 2010 est abrogé.</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4</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Entrée en vigueur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présent décret-loi entre en vigueur 90 jours après sa publication.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lang w:val="pt-PT"/>
        </w:rPr>
      </w:pPr>
      <w:r w:rsidRPr="009A7005">
        <w:rPr>
          <w:rFonts w:ascii="Times New Roman" w:hAnsi="Times New Roman" w:cs="Times New Roman"/>
          <w:color w:val="333333"/>
          <w:sz w:val="24"/>
          <w:szCs w:val="24"/>
          <w:lang w:val="pt-PT"/>
        </w:rPr>
        <w:t>Lu et approuvé en Conseil des ministres du 18 juillet 2019. - António Luís Santos da Costa - Eurico Jorge Nogueira Leite Brilhante Dias - Maria de Fátima de Jesus Fonseca - João Jorge Arede Correia Neves.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Promulgué le 26 juillet 2019.</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Publié.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président de la République, Marcelo Rebelo de Sousa.</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Contresigné le 30 juillet 2019.</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Par le premier ministre, Augusto Ernesto Santos Silva, ministre des affaires étrangères.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ANNEXE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(auxquelles se réfère l’article 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RÈGLEMENT POUR L'INSTALLATION ET L'EXPLOITATION DES RÉCIPIENTS À PRESSION SIMPLES ET DES ÉQUIPEMENTS SOUS PRESSION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Objet, champ d'application et définitions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premier</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Objet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L’installation et l’exploitation des récipients sous pression simples (RSPS ou récipients) et des équipements sous pression (ESP ou équipements) sont soumises aux procédures prévues dans le présent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Champ d’application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 présent règlement s'applique: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a) à tous les RSPS destinés à contenir de l’air ou de l’azote à une pression maximale admissible (ci-après PS) supérieure à 0,5 bar, conçus et construits conformément au</w:t>
      </w:r>
      <w:r w:rsidRPr="009A7005">
        <w:rPr>
          <w:rFonts w:ascii="Times New Roman" w:hAnsi="Times New Roman" w:cs="Times New Roman"/>
          <w:color w:val="333333"/>
          <w:sz w:val="24"/>
          <w:szCs w:val="24"/>
        </w:rPr>
        <w:t> </w:t>
      </w:r>
      <w:hyperlink r:id="rId20" w:tgtFrame="_blank" w:tooltip="Décret-loi nº 37/2017" w:history="1">
        <w:r w:rsidRPr="009A7005">
          <w:rPr>
            <w:rFonts w:ascii="Times New Roman" w:hAnsi="Times New Roman" w:cs="Times New Roman"/>
            <w:color w:val="006633"/>
            <w:sz w:val="24"/>
            <w:szCs w:val="24"/>
            <w:u w:val="single"/>
          </w:rPr>
          <w:t>décret-loi nº 37/2017</w:t>
        </w:r>
      </w:hyperlink>
      <w:r w:rsidRPr="009A7005">
        <w:rPr>
          <w:rFonts w:ascii="Times New Roman" w:hAnsi="Times New Roman" w:cs="Times New Roman"/>
          <w:sz w:val="24"/>
          <w:szCs w:val="24"/>
        </w:rPr>
        <w:t xml:space="preserve"> du 29 mars 2017, ou à la législation en vigueur lors de sa construction;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b) à tous les ESP destinés à contenir un fluide - à l’état liquide, gazeux ou vaporeux, à une pression différentielle supérieure à 0,5 bar, conçus et construits conformément au</w:t>
      </w:r>
      <w:r w:rsidRPr="009A7005">
        <w:rPr>
          <w:rFonts w:ascii="Times New Roman" w:hAnsi="Times New Roman" w:cs="Times New Roman"/>
          <w:color w:val="333333"/>
          <w:sz w:val="24"/>
          <w:szCs w:val="24"/>
        </w:rPr>
        <w:t> </w:t>
      </w:r>
      <w:hyperlink r:id="rId21"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ou à la législation en vigueur lors de sa construction;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2 - Le champ d’application du règlement exclut les RSPS non couvert par le </w:t>
      </w:r>
      <w:hyperlink r:id="rId22" w:tgtFrame="_blank" w:tooltip="Décret-loi nº 37/2017" w:history="1">
        <w:r w:rsidRPr="009A7005">
          <w:rPr>
            <w:rFonts w:ascii="Times New Roman" w:hAnsi="Times New Roman" w:cs="Times New Roman"/>
            <w:color w:val="006633"/>
            <w:sz w:val="24"/>
            <w:szCs w:val="24"/>
            <w:u w:val="single"/>
          </w:rPr>
          <w:t>décret-loi n° 37/2017</w:t>
        </w:r>
      </w:hyperlink>
      <w:r w:rsidRPr="009A7005">
        <w:rPr>
          <w:rFonts w:ascii="Times New Roman" w:hAnsi="Times New Roman" w:cs="Times New Roman"/>
          <w:sz w:val="24"/>
          <w:szCs w:val="24"/>
        </w:rPr>
        <w:t xml:space="preserve"> du 29 mars 2017, les ESP non couverts par le </w:t>
      </w:r>
      <w:hyperlink r:id="rId23"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du 31 août 2017, ainsi que les récipients et équipements vérifiant l’une des conditions suivantes: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Les récipients et équipements destinés à:</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contenir des gaz, des gaz liquéfiés et des vapeurs de groupe 1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2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1000 bar 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contenir des liquides de groupe 1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4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10 000 bar 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iii) contenir des gaz, des gaz liquéfiés et des vapeurs de groupe 2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4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3000 bar 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contenir des liquides de groupe 2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10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20 000 bar 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température maximale admissible (TSmax) (égale ou inférieure à) 80°C;</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Les générateurs de vapeur et d'eau surchauffée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0,5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200 bar 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TSmax (inférieure ou égale à) 110ºC;</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Les générateurs d'eau chaude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une puissance de sortie nominale (inférieure ou égale à) 400 kW;</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10 000 bar L;</w:t>
      </w:r>
    </w:p>
    <w:p w:rsidR="00B42FB5" w:rsidRPr="009A7005" w:rsidRDefault="00B42FB5" w:rsidP="00F17942">
      <w:pPr>
        <w:keepNext/>
        <w:keepLines/>
        <w:tabs>
          <w:tab w:val="center" w:pos="4252"/>
        </w:tab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Les chaudières à huile thermique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2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V (inférieure ou égale à) 500 bar 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TSmax (inférieure ou égale à) 125ºC;</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tuyauteries pour: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gaz, gaz liquéfiés et vapeurs de groupe 1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4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Diamètre nominal (DM) (inférieure ou égale à) 2000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DN (inférieur ou égal à) 32;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ii) liquides de groupe 1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4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DN (inférieure ou égale à) 2000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DN (inférieur ou égal à) 50;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gaz, gaz liquéfiés et vapeurs de groupe 2 avec: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PS (inférieure ou égale à) 4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PS x DN (inférieure ou égale à) 5000 bar;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DN (inférieur ou égal à) 100;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liquides de groupe 2.</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Définitions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Aux fins du présent règlement, les définitions suivantes, figurant à l’article 3 du</w:t>
      </w:r>
      <w:r w:rsidR="009A7005" w:rsidRPr="009A7005">
        <w:rPr>
          <w:rFonts w:ascii="Times New Roman" w:hAnsi="Times New Roman" w:cs="Times New Roman"/>
          <w:sz w:val="24"/>
          <w:szCs w:val="24"/>
        </w:rPr>
        <w:t xml:space="preserve"> </w:t>
      </w:r>
      <w:hyperlink r:id="rId24" w:tgtFrame="_blank" w:tooltip="Décret-loi nº 37/2017" w:history="1">
        <w:r w:rsidRPr="009A7005">
          <w:rPr>
            <w:rFonts w:ascii="Times New Roman" w:hAnsi="Times New Roman" w:cs="Times New Roman"/>
            <w:color w:val="006633"/>
            <w:sz w:val="24"/>
            <w:szCs w:val="24"/>
            <w:u w:val="single"/>
          </w:rPr>
          <w:t>décret-loi n° 37/2017</w:t>
        </w:r>
      </w:hyperlink>
      <w:r w:rsidRPr="009A7005">
        <w:rPr>
          <w:rFonts w:ascii="Times New Roman" w:hAnsi="Times New Roman" w:cs="Times New Roman"/>
          <w:sz w:val="24"/>
          <w:szCs w:val="24"/>
        </w:rPr>
        <w:t xml:space="preserve"> du 29 mars 2017 et du </w:t>
      </w:r>
      <w:hyperlink r:id="rId25"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du 31 août 2017 s’appliquent, auxquelles s’ajoutent les suivantes: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«Accident»: tout événement susceptible de causer des dommages à des personnes ou à des biens résultant d'un acte criminel ou d'un dysfonctionnement, d'une destruction, d'une mauvaise installation, d'un mauvais emballage ou d'une mauvaise utilisation du récipient, de l'équipement, ou de leurs accessoires;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«Modification»: toute modification apportée à un récipient ou à un équipement dans le but d'en modifier les conditions d'exploitation, d'installation ou ses performances;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«Chaudière à huile thermique»: générateur de chaleur dans lequel le milieu de transport est un liquide autre que l'eau ayant une pression de vapeur, à la température maximale «pellicule», inférieure à la pression atmosphérique;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«Assemblage»: un certain nombre d'ESP assemblés par un fabricant de manière à former un ensemble intégré et fonctionnel;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e) «Assemblage en processus»: ensemble d’ESP et leurs tuyaux d’interconnexion, isolés ou non, destinés à contenir le même fluide ou des fluides séparés, dont les exigences applicables sont définies dans des instructions techniques complémentaires (ITC) distinctes;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«Famille d'équipements»: ESP contenant le même fluide ou des fluides ayant des caractéristiques similaires, des conditions d'installation techniques similaires ou ensembles d'ESP qui, par leur conception, sont interconnectés en permanence;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«Fluides»: ensemble des gaz, liquides ou vapeurs propres et leurs mélanges, qui peuvent contenir des solides en suspension, classés conformément aux points g) et h);</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h) «Fluides du groupe 1» couvre les substances ou mélanges tels que définis à l’article 2, points 7) et 8), du </w:t>
      </w:r>
      <w:hyperlink r:id="rId26" w:tgtFrame="_blank" w:tooltip="Lien vers le règlement (CE) de l’Union européenne" w:history="1">
        <w:r w:rsidRPr="009A7005">
          <w:rPr>
            <w:rFonts w:ascii="Times New Roman" w:hAnsi="Times New Roman" w:cs="Times New Roman"/>
            <w:color w:val="006633"/>
            <w:sz w:val="24"/>
            <w:szCs w:val="24"/>
            <w:u w:val="single"/>
          </w:rPr>
          <w:t>règlement (CE) nº 1272/2008</w:t>
        </w:r>
      </w:hyperlink>
      <w:r w:rsidRPr="009A7005">
        <w:rPr>
          <w:rFonts w:ascii="Times New Roman" w:hAnsi="Times New Roman" w:cs="Times New Roman"/>
          <w:sz w:val="24"/>
          <w:szCs w:val="24"/>
        </w:rPr>
        <w:t xml:space="preserve"> du Parlement européen et du Conseil du 16 décembre 2008 relatif à la classification, à l'étiquetage et à l'emballage des substances et des mélanges, classés comme dangereux selon les classes de danger physique ou sanitaire suivantes, prévues à l'annexe I, parties 2 et 3, dudit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explosifs instables ou explosifs des divisions 1.1, 1.2, 1.3, 1.4 et 1.5;</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gaz inflammables, catégories 1 et 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gaz de combustion, catégorie 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liquides inflammables, catégories 1 et 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 liquides inflammables, catégorie 3, lorsque la température maximale autorisée est supérieure au point d'éclair;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vi) matières solides inflammables, catégories 1 et 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vii) matières et mélanges autoréactifs, types A à F;</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viii) liquides pyrophoriques, catégorie 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ix) solides pyrophoriques, catégorie 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 matières et mélanges qui, au contact de l'eau, dégagent des gaz inflammables, catégories 1, 2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xi) liquides de combustion, catégories 1, 2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xii) solides oxydants, catégories 1, 2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xiii) peroxydes organiques, types A à F;</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xiv) toxicité orale aiguë, catégories 1 et 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xv) toxicité cutanée aiguë, catégories 1 et 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xvi) toxicité aiguë par inhalation, catégories 1, 2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xvii) toxicité spécifique pour un organe cible - catégorie d'exposition unique 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Les liquides de groupe 1 comprennent également les substances et mélanges contenus dans un ESP dont la température maximale admissible dépasse le point d’éclair du fluide.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«Fluides du groupe 2» inclut toutes les substances et mélanges non visés au point g);</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«Générateur d'eau chaude»: ESP chauffé à la flamme ou autrement exposé au risque de surchauffe, lorsque la température de l'eau n'y dépasse pas 110 °C;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«Générateur d'eau surchauffée»: ESP chauffé à la flamme ou exposé au risque de surchauffe, lorsque la température de l'eau y est supérieure à 110 °C, situation qui peut se produire dans les économiseurs de générateurs de vapeur;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 «Générateur de vapeur (ci-après GV))»: ESP chauffé à la flamme ou exposé au risque de surchauffe, destiné à la production de vapeur;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m) «Inspection fondée sur le risque (ci-après IBR)»: inspection réalisée sur un assemblage en processus, dont la méthode (fréquence, niveau de détail et essais complémentaires) repose sur un procédé d'évaluation et de gestion des risques tenant compte des documents normatifs reconnus (par exemple l'API RP 580) et adapté au type d'industrie (industrie chimique et pétrochimique);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n) «Organisme d’inspection (ci-après OI)»: entité agréée en vertu de l’article 19 à exécuter les actes d’inspection visés à l’article 20;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bookmarkStart w:id="0" w:name="_GoBack"/>
      <w:bookmarkEnd w:id="0"/>
      <w:r w:rsidRPr="009A7005">
        <w:rPr>
          <w:rFonts w:ascii="Times New Roman" w:hAnsi="Times New Roman" w:cs="Times New Roman"/>
          <w:color w:val="333333"/>
          <w:sz w:val="24"/>
          <w:szCs w:val="24"/>
        </w:rPr>
        <w:t>o) «Plaque d’identification», anciennement appelée plaque d’immatriculation, identifie le récipient ou l’équipement par un numéro d’identification unique, indiquant le volume, le numéro de fabrication et la pression maximale admissible. Les essais de pression ou les essais équivalents auxquels ils sont soumis y sont également consignés;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p) «Puissance de sortie nominale» désigne la puissance indiquée par le fabricant, sans tenir compte de l'énergie du fluide caloporteur lors de son entrée dans l'équipement et pouvant être alimentée en continu, exprimée en kW;</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q) «Pression maximale admissible (PS)» désigne la pression maximale exprimée en bar par rapport à la pression atmosphérique, indiquée sur la déclaration de conformité de l’équipement, sur le certificat d'approbation de la construction, ou telle que spécifiée par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 «Réparation»: tout travail impliquant le soudage ou d'autres techniques de construction sur des pièces sous pression ou des composants affectant la sécurité d'un récipient ou d'un équipement et ne modifiant pas les conditions d'exploitation, d'installation ou de fonctionnement;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s) «Récipient ou équipement importé»: récipient ou équipement originaire d'un pays tiers, dont la fabrication est approuvée par l'organisme notifié en vertu des dispositions du</w:t>
      </w:r>
      <w:r w:rsidRPr="009A7005">
        <w:rPr>
          <w:rFonts w:ascii="Times New Roman" w:hAnsi="Times New Roman" w:cs="Times New Roman"/>
          <w:color w:val="333333"/>
          <w:sz w:val="24"/>
          <w:szCs w:val="24"/>
        </w:rPr>
        <w:t> </w:t>
      </w:r>
      <w:hyperlink r:id="rId27" w:tgtFrame="_blank" w:tooltip="Décret-loi nº 37/2017" w:history="1">
        <w:r w:rsidRPr="009A7005">
          <w:rPr>
            <w:rFonts w:ascii="Times New Roman" w:hAnsi="Times New Roman" w:cs="Times New Roman"/>
            <w:color w:val="006633"/>
            <w:sz w:val="24"/>
            <w:szCs w:val="24"/>
            <w:u w:val="single"/>
          </w:rPr>
          <w:t>décret-loi n° 37/2017</w:t>
        </w:r>
      </w:hyperlink>
      <w:r w:rsidRPr="009A7005">
        <w:rPr>
          <w:rFonts w:ascii="Times New Roman" w:hAnsi="Times New Roman" w:cs="Times New Roman"/>
          <w:sz w:val="24"/>
          <w:szCs w:val="24"/>
        </w:rPr>
        <w:t xml:space="preserve"> du 29 mars 2017 ou du </w:t>
      </w:r>
      <w:hyperlink r:id="rId28"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respectivement;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t) «Récipient ou équipement non fixe»: récipient ou équipement qui, par la nature de son utilisation, n'est pas installé de façon permanente et peut se déplacer au sein de l'installation ou d'une installation à l'autre;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u) «Récipient ou équipement utilisé»: récipient ou équipement qui a déjà été mis en service ou qui, n'étant pas en service, a été fabriqué il y a plus de six ans;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 «Température minimale/maximale admissible (TSmin, TSmax)» désigne les températures minimale et maximale de fonctionnement, en degrés Celsius (°C), indiquées par le fabricant dans la déclaration de conformité, figurant sur le certificat d'approbation de la construction, ou telles que spécifiées par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w) «Utilisateur légalement autorisé»: désigne une personne morale ou physique qui, n’en étant pas le propriétaire, utilise, avec l’autorisation écrite de ce dernier, le récipient ou l’équipement, et assume les responsabilités légales associées à des fins d'octroi de licence;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x) «Inspection»: désigne la vérification par IPQ, I.P. de la conformité du récipient ou de l’équipement, de l’installation et des conditions d’exploitation aux dispositions du présent règlement et aux ITC associées.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y) «Volume (V)» désigne le volume total en litres de tous les compartiments de l’ESP indiqué par le fabricant dans la déclaration de conformité, figurant sur le certificat d’approbation de la construction, ou telles que spécifié par l’IPQ, I.P.</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Réévaluation de la conformité</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4</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Réévaluation de la conformité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La réévaluation de la conformité vise à déterminer la viabilité d’un récipient ou d’un équipement utilisé, qu’il soit national ou importé, ou encore d'origine incertaine, en tenant compte d'une PS, d'un volume et de conditions d'exploitation spécifiques.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nouveaux récipients ou équipements modifiés après la mise sur le marché sont également soumis à une réévaluation de la conformité au sens du présent article.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3 - Aux fins de la réévaluation de la conformité, une inspection doit être effectuée par un OI conformément à l’article 20, en tenant compte des caractéristiques de performance du récipient ou de l’équipement, tenant compte de la fabrication, de l’historique et du niveau de sécurité défini dans le </w:t>
      </w:r>
      <w:hyperlink r:id="rId29" w:tgtFrame="_blank" w:tooltip="Décret-loi nº 37/2017" w:history="1">
        <w:r w:rsidRPr="009A7005">
          <w:rPr>
            <w:rFonts w:ascii="Times New Roman" w:hAnsi="Times New Roman" w:cs="Times New Roman"/>
            <w:color w:val="006633"/>
            <w:sz w:val="24"/>
            <w:szCs w:val="24"/>
            <w:u w:val="single"/>
          </w:rPr>
          <w:t>décret-loi n° 37/2017</w:t>
        </w:r>
      </w:hyperlink>
      <w:r w:rsidRPr="009A7005">
        <w:rPr>
          <w:rFonts w:ascii="Times New Roman" w:hAnsi="Times New Roman" w:cs="Times New Roman"/>
          <w:sz w:val="24"/>
          <w:szCs w:val="24"/>
        </w:rPr>
        <w:t xml:space="preserve"> du 29 mars 2017 ou dans le </w:t>
      </w:r>
      <w:hyperlink r:id="rId30"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respectivement.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Après l’inspection, le propriétaire demande à l’IPQ, I.P. de procéder à une réévaluation de la conformité du récipient ou de l’équipement, avec les informations et les documents visés à l’annexe I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En l’absence d’éléments d’instruction permettant d’attester des dimensions, de la configuration et des performances du récipient ou de l’équipement, un dessin technique validé par l’OI doit être présenté, adapté au nouveau calcul et à l'analyse des risques futurs.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6 - La décision de réévaluation de la conformité du récipient ou de l’équipement est communiquée au propriétaire dans un délai de 15 jours, donnant lieu, si la décision est favorable, à la délivrance d’un document d’approbation de conformité contenant les informations visées à l’annexe II du présent règlement et à l’émission d’un certificat d’autorisation d’exploitation à jour, tenant compte des nouvelles conditions,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7 - Après le processus de réévaluation de la conformité, sur émission de l’agrément respectif de la conformité du récipient ou de l’équipement, un processus d’octroi de licence peut être engagé conformément au chapitre suivant, le cas échéant.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III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Octroi de licences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SECTION 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Dispositions communes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5</w:t>
      </w:r>
    </w:p>
    <w:p w:rsidR="00B42FB5" w:rsidRPr="009A7005" w:rsidRDefault="00B42FB5" w:rsidP="00F17942">
      <w:pPr>
        <w:keepNext/>
        <w:keepLines/>
        <w:tabs>
          <w:tab w:val="left" w:pos="3390"/>
        </w:tab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Règles d'application générale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La demande d’octroi de licence est présentée par le propriétaire du récipient ou de l’équipement, ou par son représentant légalement autorisé.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Aux fins de l’octroi de licence, une inspection doit être effectuée par un OI conformément à l’article 20 du présent règlement, sur demande du propriétaire ou de l’utilisateur du récipient ou de l’équipement, sans préjudice de la compétence exclusive de l'IPQ, I.P., conformément au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En cas de vente ou de cession d’un récipient ou d’un équipement, le propriétaire est tenu de remettre toute la documentation de l’équipement au nouveau propriétaire et d’en informer l’IPQ, I.P., conformément à l’article 15, paragraphe 1, point a).</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L’IPQ, I.P. peut effectuer une inspection de l’installation pendant le processus d’octroi de licence, afin de faciliter la prise de décision, et en cas de craintes, de réclamations ou de plaintes justifiées concernant les conditions de fonctionnement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Les délais de communication de la décision au demandeur prévus par le présent règlement courent à compter du paiement de la taxe applicable, et à condition que la procédure ait été correctement instruite, avec tous les documents spécifiés dans l’annexe pertinente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6 - En cas de problèmes lors de l’installation ou de l’exploitation du récipient ou de l’équipement, l’IPQ, I.P. peut conditionner les paramètres de fonctionnement et d’installation, et réduire la PS ou la validité des agréments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7 - La date de réalisation de l’essai de pression ou d’un essai équivalent détermine le début du délai de validité, de validation ou d’agrément de l’exploitation.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8 - L'IPQ, I.P. est en droit de déclarer l'expiration des validations ou des agréments d'exploitation s'il est vérifié que les conditions du récipient, de l'équipement, ou de leur installation respective ne sont pas conformes aux hypothèses ayant servi de base à leur validation ou agrément.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6</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Exigences liées à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L'installation du récipient ou de l'équipement doit être conçue de manière à garantir la sécurité des personnes et des biens, notamment dans les lieux habités ou publics confinés et dans les installations de travail du propriétaire ou de tiers.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récipient ou l'équipement doit être installé dans des conditions adaptées à la nature du fluide contenu et aux caractéristiques de son exploitation, de préférence dans un endroit abrité, large et aéré, avec un éclairage adéquat, facile d'accès et dont les éventuelles portes s'ouvrent vers l'extérieur.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Un espace doit être réservé autour du récipient ou de l’équipement pour garantir la tenue des opérations d’inspection et de maintenance dans des conditions appropriées.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Les tuyaux, les câbles électriques ou tout autre composant de l'installation ne doivent pas entraver l'accès libre au récipient ou à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Nonobstant les dispositions des ITC, la distance de référence à la limite de la propriété, aux lieux habités et aux tiers est de 5 mètres. Elle peut être augmentée, en tenant compte du niveau de risque associé au type de fluide, ou réduite à 2 mètres, sous réserve de la présence de barrières de protection adaptées à l’entrée, comme indiqué au point suivant.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6 - Les barrières de protection doivent être conçues par un ingénieur ou un ingénieur technicien légalement qualifié pour l’élaboration et la souscription de projets, ce dernier émettant un terme de responsabilité.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7 - Les récipients et les équipements mobiles doivent bénéficier de conditions de levage adéquates et d’une protection contre les chocs en service et pendant le transport.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7</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Accessoires de sécurité et de contrôle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Tous les récipients ou équipements doivent être équipés d'accessoires de sécurité et de contrôle pour garantir que les paramètres de fonctionnement établis lors de la conception sont respectés.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soupapes de sécurité, ou équipements équivalents, ainsi que les accessoires de commande essentiels, les manomètres ou autres indicateurs de pression équivalents doivent être considérés comme des accessoires de sécurité essentiels.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3 - Sans préjudice de la conformité, le cas échéant, aux exigences essentielles de sécurité énoncées dans le </w:t>
      </w:r>
      <w:hyperlink r:id="rId31"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la soupape de sécurité doit également: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s’ouvrir à une pression inférieure à la valeur de 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être adaptée au fluide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être scellée;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avoir un débit adapté à la source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être correctement installée conformément aux instructions du fabricant avec un tuyau de sortie orienté vers un endroit sûr.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Les indicateurs de pression doivent être vérifiés, au moyen d’un contrôle métrologique légal en vertu du droit applicable, ou, s’ils ne sont pas couverts par cette législation, au moyen d'un étalonnage effectué par un laboratoire accrédité à cet effet.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Les manomètres doivent se conformer à la norme EN 837-1 ou à la norme EN 837-3, selon le cas, avec une classe de précision de référence de 1,6 et une portée maximale sensiblement égale au double de la PS, et toujours supérieure ou égale à 1,5 fois la PS. Lorsque l’équipement le permet, la PS doit être marquée en rouge sur l'écran.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6 - Les autres accessoires de sécurité et de contrôle doivent être conformes aux dispositions de la norme ou du code de construction en vigueur, ainsi qu’à la législation spécifique,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7 - Lorsque des conditions particulières le justifient, l'IPQ, I.P. peut renoncer à certains accessoires de sécurité et de contrôle ou autoriser leur remplacement par d'autres, en tenant compte de la conclusion de l'OI dans le rapport d'inspection.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8</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Plaque d'identification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La plaque d’identification, émise par l’IPQ, I.P., doit être apposée de manière permanente, sans soudure ni dommage au corps sous pression, sur le récipient ou l’équipement ou, si cela s’avère impossible, sur une structure solidaire ou interconnectée à ce dernier, sans préjudice de toute autre solution soumise à l’approbation de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La date de l’essai de pression retenu doit être marquée par l'IPQ, I.P. à des fins de première validation ou d'agrément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Il est interdit de placer toute autre plaque sur le récipient ou l’équipement à l’exception de la plaque liée aux caractéristiques de l’équipement, émise par le fabricant, sans préjudice d'autres législations spécifiques.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SECTION 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Octroi de licence pour les RSPS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9</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Validation d’exploitation et renouvellement de la validation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RSPS sont soumis à une notification préalable d’exploitation autorisant le démarrage de leur exploitation sous réserve d’une inspection effectuée par un OI avec un résultat favorable, conformément aux dispositions de l’article 20.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demandeur dispose de 60 jours, à compter du début de l’exploitation du RSPS, pour demander la validation d’exploitation auprès de l’IPQ, I.P., en y joignant les informations et documents visés à l'annexe III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3 - Si la décision de l’IPQ, I.P. est favorable, la déclaration d’agrément d’exploitation est délivrée dans les 15 jours, conformément à l’annexe IV du présent règlement, tout comme la plaque d'identification du RSPS, si elle n'a pas été précédemment fournie.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La déclaration de validation d’exploitation est valable six ans, conformément aux dispositions de l’article 5, paragraphes 6 et 7.</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Pour renouveler la validation d’exploitation, et à chaque modification du local d’installation du RSPS, il est nécessaire de procéder à une inspection de l’OI débouchant sur une conclusion favorable. La communication doit s’accompagner des informations et des documents visés à l’annexe III du présent règlement. Si la décision est favorable, l’IPQ, I.P. émet une déclaration de renouvellement de validation d’exploitation, conformément à l'annexe IV du présent règlement, dans un délai de 15 jours.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6 - Les conditions d'installation des RSPS sont définies dans l'ITC applicable aux récipients destinés à contenir de l'air ou des gaz inerte comprimés (RAC).</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SECTION III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Octroi de licence pour les ESP</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10</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Classification de l’ESP et principaux actes de licence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Pour la classification d’un ESP composé de plusieurs compartiments, il convient de retenir la plus grande PS comme la somme des volumes des compartiments et des fluides, et l'ESP doit être classé dans la classe de risque la plus élevée dans laquelle chaque compartiment est inclus.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Si l’un des compartiments de l’ESP contient plusieurs fluides, la classification dépend du fluide présentant la classe de risque la plus élevée. En cas de doute, l’IPQ, I.P. peut considérer chaque compartiment comme un ESP.</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Les licences des ESP couverts par le présent règlement incluent les actes principaux ci-dessous: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l'agrément d'installation,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c) le renouvellement de l'agrément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Les demandes d’agrément d’installation et d’exploitation, le cas échéant, peuvent être soumises simultanément.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Le demandeur dispose d'un délai de 60 jours après l'inspection pour demander l'agrément d'exploitation ou son renouvellement à l'IPQ, I.P.</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11</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Agrément d'installation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Il convient d’adresser la demande d’agrément d’installation, accompagnée des informations et documents visés à l’annexe V du présent règlement, à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projet pour la demande d’agrément d’installation doit être préparé par un ingénieur ou un ingénieur technicien, juridiquement agréé pour l’élaboration et la souscription de projets. Sa conformité doit être vérifiée par un OI débouchant sur un résultat favorable, conformément à l’article 20.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Si la décision de l’IPQ, I.P. est favorable, une déclaration d’agrément est émise dans un délai de 30 jours.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Tout changement du lieu d’installation d’un ESP ou toute modification de son emplacement dans la même installation doit faire l’objet d’une nouvelle demande d’agrément en vertu du présent article.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Les ESP décrits à l’annexe VI du présent règlement sont soumis ou exemptés d'agrément d'installation.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12</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Il convient d’adresser la demande d’agrément d’exploitation, accompagnée des informations et documents visés à l’annexe VII du présent règlement, à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Une inspection réalisée par un OI, examinant la viabilité de l’installation et de l’ESP et dont les conclusions sont favorables, est requise pour obtenir son agrément d’exploitation, conformément aux termes de l’article 20.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3 - Si la décision de l’IPQ, I.P. est favorable, une déclaration d’agrément d’exploitation est délivrée dans les 30 jours, conformément à l’annexe VIII du présent règlement, avec la plaque d'identification de l'ESP, si elle n'a pas été précédemment fournie.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Un renouvellement d’agrément d’exploitation est requis, conformément aux dispositions énoncées dans le présent article, à la suite de toute modification du lieu d’installation de l’ESP, sans préjudice des dispositions de l’article 4.</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Les agréments d’exploitation sont valables pour les périodes indiquées à l’annexe IX du présent règlement, sous réserve des dispositions de l’article 5, paragraphes 6 et 7.</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13</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Renouvellement de l'agrément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Tout renouvellement d’agrément d’exploitation d’un ESP doit être demandé à l’IPQ, I.P. jusqu’à 60 jours avant la fin du terme de l’agrément précédent. Les dispositions de l’article 12 s'appliquent, en y appliquant les adaptations nécessaires.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Une inspection réalisée par un OI, examinant la viabilité de l’installation et de l’ESP et dont les conclusions sont favorables, est requise pour obtenir le renouvellement de son agrément d’exploitation, conformément aux termes de l’article 20.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Si la décision de l’IPQ, I.P. est favorable, un certificat de renouvellement d’agrément d’exploitation est délivré dans les 30 jours, conformément à l’annexe VIII du présent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SECTION IV</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Actes de licence complémentaires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14</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Actes complémentaires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Les actes suivants sont qualifiés d’actes de licence complémentaires: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vérifications;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réparations et modifications;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modalités d'installation et de fonctionnement en conditions provisoires;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15</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Vérifications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situations suivantes font l'objet d'une vérification: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changement du nom commercial du propriétaire ou modification de la propriété du récipient ou de l'équipement, accompagnée de la pièce justificative correspondante;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modification de l’utilisateur du récipient ou de l’équipement, accompagnée du justificatif correspondant;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suspension temporaire de l’utilisation du récipient ou de l’équipement, auquel cas il convient de vérifier qu'il est déconnecté du réseau de distribution de fluide et dépressurisé;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mise hors service définitive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Aux fins du paragraphe précédent, il convient de communiquer toute situation qui y est mentionnée à l'IPQ, I.P. dans les 60 jours à compter de leur survenance.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Aux fins du paragraphe 1, point c), il convient de communiquer la remise en service d’un récipient ou d’un équipement à l’IPQ, I.P. dans un délai de 30 jours. Cette dernière est soumise à une actualisation ou à un renouvellement d’agrément d’exploitation, conformément respectivement aux articles 9 et 13, s’il s’est écoulé plus d’une année depuis la mise en suspension temporaire dudit récipient ou 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Au sens du paragraphe 1, point d), une mise hors service définitive entraîne l’annulation du processus. La plaque d’identification doit être envoyée à l’IPQ, I.P., et toute utilisation future du récipient ou de l’équipement est conditionnée à un nouveau processus d’octroi de licence, précédé d’une évaluation de sa conformité en vertu des dispositions de l’article 4.</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16</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Réparations et modifications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 xml:space="preserve">1 - Les entités qui effectuent des réparations et des modifications sur les récipients ou les équipements doivent disposer des moyens techniques appropriés, ainsi que du personnel qualifié pour effectuer les interventions prévues dans le présent règlement, et notamment </w:t>
      </w:r>
      <w:r w:rsidRPr="009A7005">
        <w:rPr>
          <w:rFonts w:ascii="Times New Roman" w:hAnsi="Times New Roman" w:cs="Times New Roman"/>
          <w:color w:val="333333"/>
          <w:sz w:val="24"/>
          <w:szCs w:val="24"/>
        </w:rPr>
        <w:lastRenderedPageBreak/>
        <w:t>de soudeurs agréés par un organisme de certification de personnes agréé par l’Institut portugais d’accréditation, I.P. (IPAC, I.P.) ou par une entité reconnue par ce dernier.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réparations et les modifications doivent faire l’objet d’un projet approuvé par l’OI en vertu de l’article 20, sous (i).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Le projet doit être conçu dans le respect des normes harmonisées applicables des codes de construction, ou des normes et codes équivalents applicables, conformément au paragraphe 1 de l’annexe X du présent règlement, par un professionnel formé à l’ingénierie mécanique et légalement habilité à l’élaboration et à la souscription de projets.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Si le projet est conforme, l’OI communique son approbation au propriétaire ou à l’utilisateur dans un délai de 30 jours, accompagnée des documents visés au point 2 de l’annexe X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Après l’approbation du projet par l’OI, les réparations et modifications à effectuer sont également soumises à l’approbation de l’OI, conformément à l’article 20, point f), qui surveille et vérifie les activités et l'exécution du projet respectif, exécute ou valide les essais non destructifs (ci-après END) effectués et effectue un essai de pression une fois la réparation ou la modification terminée.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6 - À la lumière de l’analyse effectuée sur les éléments visés au paragraphe précédent, l’OI publie le rapport définitif et dûment motivé sur la conformité de la réparation ou de la modification, conformément au paragraphe 3 de l’annexe X du présent règlement, et le remet au propriétaire ou à l’utilisateur dans un délai de 15 jours, en envoyant une copie à l’IPQ, I.P. Ce dernier informe le propriétaire ou l’utilisateur de tout effet éventuel sur la validité de la licence.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7 - Les modifications ayant des implications sur les caractéristiques et les performances du récipient ou de l’équipement, telles que l’augmentation de la PS, du volume, de la surface de chauffe ou l’utilisation d’un fluide plus dangereux, nécessitent une réévaluation de la conformité du récipient ou de l’équipement conformément à l’article 4.</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8 - La modification de la source d’énergie de l’ESP, notamment si elle entraîne un changement d’état du carburant, détermine que le processus de modification respectif implique le propre ESP et l’installation respective.</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17</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Petite réparation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réparations suivantes sont qualifiées de petites réparations: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l’élimination des petites fissures dans le corps sous pression, sans remplacement des composants;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remplacement de l’épaisseur du bâtiment pour corriger des états de dégradation, à condition: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que les matériaux de remplissage soient de qualité identique à ceux utilisés dans la construction;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qu’aucun traitement thermique ne soit requis;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l’élimination de fissures dans les tubes et leurs raccords;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 remplacement de tubes et de leurs raccords par des matériaux du même diamètre et de la même épaisseur, à condition: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que le DN des tubes soit inférieur ou égal à 100;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que les tubes n’aient pas de plaque de renforcement dans le corps sous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qu’aucun traitement thermique ne soit requis;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 remplacement d'au plus 10% des tubes de transfert de chaleur;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le scellement dans des tubes de forage ou équivalents.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réparations mineures ne doivent pas faire l’objet d’un projet préalable, et ne s’appliquent pas aux ESP conçus pour contenir des gaz liquéfiés, eu égard aux caractéristiques de construction des équipements et du type de fluide utilisé.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Conformément à l’article 20, point g), les réparations mineures doivent être approuvées par un OI, qui accompagne et vérifie les activités, effectue les END et publie les conclusions respectives sur la conformité des réparations, conformément à l’annexe XI du présent règlement. Il est tenu de les remettre au propriétaire ou à l’utilisateur dans un délai de 15 jours et d’en envoyer une copie à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4 - Les dispositions du paragraphe 1 de l'article précédent s'appliquent aux petites réparations.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18</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Installation et fonctionnement en conditions provisoires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Aux fins d’entretien, de réparation ou de renforcement de la consommation émergente, le propriétaire ou l’utilisateur peut demander à l’IPQ, I.P., conformément à l’annexe XII du présent règlement, une autorisation d’installation et d’exploitation d’un ESP en conditions provisoires pour une période maximale de 60 jours. Cette autorisation est soumise à une inspection extraordinaire réalisée par l’OI, conformément à l’article 20, point e), et présentant des conclusions favorables.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Si la décision de l’IPQ, I.P. est favorable, une déclaration d’agrément d’installation et d’exploitation en conditions provisoires est émise dans un délai de 10 jours.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IV</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Inspection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SECTION 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Activité d'inspection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19</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Conditions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L’exercice de l’activité d’inspection au titre du présent règlement est subordonné à l’autorisation préalable de l’IPQ, I.P., sous réserve de l’accréditation des OI, conformément à la norme NP EN ISO/IEC 17020, par l’IPAC, I.P. ou par une entité reconnue par ce dernier.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L’IPQ, I.P. peut décider de révoquer ou de suspendre l’autorisation d’un OI, par décision dûment motivée, en cas de suspension ou de révocation de son accréditation, ou de non-respect de la loi ou de la réglementation applicable à l’exercice de l’activité qui entraîne des anomalies graves d’installation et d’exploitation des récipients et des équipements.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3 - Aux fins des paragraphes 1 et 2 du présent article, l’IPAC, I.P. notifiera immédiatement l’IPQ, I.P. de l’octroi, du prolongement, de la suspension ou de l’annulation de l’accréditation des 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4 - Sans préjudice du paragraphe 1 du présent article, afin de procéder à une réévaluation de la conformité, le personnel technique de l'OI doit en outre disposer des connaissances et d'une expérience des modules d'évaluation de la conformité nécessaires pour procéder à une évaluation de la conception et de la fabrication d'un récipient ou d'un équipement, conformément au </w:t>
      </w:r>
      <w:hyperlink r:id="rId32" w:tgtFrame="_blank" w:tooltip="Décret-loi nº 37/2017" w:history="1">
        <w:r w:rsidRPr="009A7005">
          <w:rPr>
            <w:rFonts w:ascii="Times New Roman" w:hAnsi="Times New Roman" w:cs="Times New Roman"/>
            <w:color w:val="006633"/>
            <w:sz w:val="24"/>
            <w:szCs w:val="24"/>
            <w:u w:val="single"/>
          </w:rPr>
          <w:t>décret-loi n° 37/2017</w:t>
        </w:r>
      </w:hyperlink>
      <w:r w:rsidRPr="009A7005">
        <w:rPr>
          <w:rFonts w:ascii="Times New Roman" w:hAnsi="Times New Roman" w:cs="Times New Roman"/>
          <w:sz w:val="24"/>
          <w:szCs w:val="24"/>
        </w:rPr>
        <w:t xml:space="preserve"> du 29 mars 2017 et au </w:t>
      </w:r>
      <w:hyperlink r:id="rId33"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respectivement.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L’OI doit s’acquitter des tâches d’inspection comme des activités de tiers, conformément aux exigences de type A définies dans la norme NP EN ISO/ IEC 17020.</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6 - Les rapports des inspections initiales, périodiques, intérimaires et extraordinaires sont délivrés par l’OI conformément à l’annexe XIII du présent règlement et remis au demandeur dans un délai de 30 jours à compter de la date de l’inspection. Dans le cas d'une inspection extraordinaire, ce délai est réduit à cinq jours.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7 - Les rapports des inspections intérimaires doivent également être soumis à l’IPQ, I.P. par l’OI, par voie électronique, dans un délai de 30 jours à compter de la date de l'inspection.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8 - Si les inspections détectent des non-conformités, les rapports correspondants doivent les indiquer, ainsi que les mesures prises par le propriétaire ou l'utilisateur pour les résoudre.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9 - Si le rapport d’inspection, à l’exception de l’inspection initiale, présente une conclusion défavorable, mettant en cause la sécurité de l’exploitation du récipient ou de l’équipement, l’OI doit soumettre le rapport respectif par voie électronique à l’IPQ, I.P. dans les 3 jours à compter de la date de l'inspection.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10 - L’OI est tenu de conserver les rapports d’inspection délivrés et leurs annexes pendant une période au moins égale à celle établie pour la tenue des inspections périodiques.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20</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Actes d'inspection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Dans le cadre du présent règlement, l'OI exécute les actes d'inspection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inspection à des fins de réévaluation de la conformité, qui doit inclure les essais de pression, les essais non destructifs et les éventuelles actualisations de calculs, visant à évaluer la viabilité du récipient ou de l’équipement et de leurs accessoires respectifs, conformément à l’article 4;</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inspection initiale, visant à vérifier la viabilité du récipient ou de l’équipement et des conditions de l’installation, à des fins de validation ou d’agrément d’exploitation ou de modification de l’installation, aux conditions et aux fins des articles 9 et 12;</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inspection intérimaire, visant à vérifier les conditions d’installation et d’exploitation du récipient ou de l’équipement, ainsi que des accessoires de sécurité et de commande, effectuée selon les intervalles définis à l’annexe IX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inspection périodique, visant à vérifier la viabilité du récipient ou de l’équipement et le maintien des conditions de l’installation, conformément aux articles 9 et 13, en respectant la périodicité définie à l'annexe IX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inspection extraordinaire, visant à vérifier la viabilité du récipient ou de l’équipement et les conditions de sécurité de l’installation en dehors des inspections régulières, telles que visées aux points b), c) et d) du présent article, à effectuer sur demande du propriétaire, de l’utilisateur ou de l'IPQ I.P.;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inspection des réparations ou des modifications, visant à vérifier la pertinence du projet et la conformité de la réparation ou de la modification à ce dernier, ainsi qu’à évaluer la viabilité du récipient ou de l’équipement et de ses accessoires respectifs en service, conformément à l’article 16;</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inspection des réparations mineures, visant à vérifier leur conformité aux exigences de réparations applicables, ainsi qu’à évaluer la viabilité du récipient ou de l’équipement et de ses accessoires respectifs en service, conformément à l’article 17;</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 xml:space="preserve">h) inspection basée sur les risques (ci-après IBR), visant à assurer un suivi permanent des conditions de sécurité et de fonctionnement des ESP intégrés dans des assemblages de </w:t>
      </w:r>
      <w:r w:rsidRPr="009A7005">
        <w:rPr>
          <w:rFonts w:ascii="Times New Roman" w:hAnsi="Times New Roman" w:cs="Times New Roman"/>
          <w:color w:val="333333"/>
          <w:sz w:val="24"/>
          <w:szCs w:val="24"/>
        </w:rPr>
        <w:lastRenderedPageBreak/>
        <w:t>processus, conformément au plan d’inspection et d’essai (ci-après PIE) à réaliser par les mêmes 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vérification de la conformité du projet d’installation et du projet de réparation ou de modification, conformément aux termes et aux effets des articles 11 et 16, respectivement.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SECTION 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Essais et vérifications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21</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Viabilité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L’évaluation de la viabilité se compose de l'ensemble des activités visant à prouver que le récipient ou l'équipement et ses accessoires remplissent les conditions nécessaires pour leur mise en service et 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L’évaluation de la viabilité du récipient ou de l’équipement doit comprendre un essai de pression, éventuellement complété par un END, un essai d’étanchéité, ainsi que des essais et des vérifications des accessoires de sécurité et de contrôle.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Les essais visés au paragraphe précédent doivent être effectués dans le cadre de l’inspection, à l’exception de la vérification de l’indicateur de pression, conformément à l’article 7, paragraphe 4.</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Les essais et vérifications mentionnés dans le présent règlement doivent se conformer aux codes de construction respectifs, ou aux normes européennes et internationales applicables.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Le présent règlement englobe les vérifications et essais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l'essai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l'essai d'étanchéité;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l'essai et la vérification des accessoires de sécurité et de contrôle;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les END.</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6 - En raison des caractéristiques du récipient ou de l'équipement et des conditions d'installation, des études ou des essais supplémentaires liés à la stabilité et aux risques sismiques et associés aux rejets atmosphériques peuvent être requis.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7 - Lorsque l’état de conservation et l’âge du récipient ou de l’équipement l’exigent, l’OI est tenu d’effectuer un calcul actualisé intégré à l’acte d’inspection.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22</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Essai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L'essai de pression doit être hydraulique et effectué à une pression égale à 1,25 fois la PS, et les dispositions de l'ITC doivent être prises en compte,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L’essai de pression peut être pneumatique lorsque l’ESP, par sa conception ou ses conditions de service, n’admet aucune trace de liquide et que le gaz n’est pas de groupe 1, sauf si sa viabilité et sécurité techniques ont été confirmés par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Au sens du paragraphe précédent, la valeur de la pression d'essai doit être égale à 1,1 fois la valeur PS, sans préjudice des éventuels essais supplémentaires effectués conformément aux codes ou aux normes applicables.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La température du fluide à l’intérieur du récipient ou de l’équipement lors de l’essai de pression doit être comprise entre 10°C et 40°C, afin d'éviter toute rupture fragile du matériau ou tout accident dû à une température élevée.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À l’exception des générateurs de vapeur et analogues, l’OI est habilité, eu égard aux limites de conception ou des conditions de fonctionnement du récipient ou de l’équipement, à remplacer l’essai de pression par un PIE alternatif conçu par ce dernier, si cela est techniquement justifié et approuvé. Un tel essai doit intégrer les END adaptés et un essai d’étanchéité, joint au rapport d'inspection.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6 - L’essai de pression réalisé dans l’année dans le cadre du renouvellement de l’évaluation de conformité du récipient ou de l’équipement est valable aux fins de l’inspection initiale de l’installation, sous réserve de l’accord de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7 - L’essai de pression effectué lors de la fabrication du récipient ou de l’équipement, au sens du </w:t>
      </w:r>
      <w:hyperlink r:id="rId34" w:tgtFrame="_blank" w:tooltip="Décret-loi nº 37/2017" w:history="1">
        <w:r w:rsidRPr="009A7005">
          <w:rPr>
            <w:rFonts w:ascii="Times New Roman" w:hAnsi="Times New Roman" w:cs="Times New Roman"/>
            <w:color w:val="006633"/>
            <w:sz w:val="24"/>
            <w:szCs w:val="24"/>
            <w:u w:val="single"/>
          </w:rPr>
          <w:t>décret-loi n° 37/2017</w:t>
        </w:r>
      </w:hyperlink>
      <w:r w:rsidRPr="009A7005">
        <w:rPr>
          <w:rFonts w:ascii="Times New Roman" w:hAnsi="Times New Roman" w:cs="Times New Roman"/>
          <w:sz w:val="24"/>
          <w:szCs w:val="24"/>
        </w:rPr>
        <w:t xml:space="preserve"> du 29 mars 2017 ou du </w:t>
      </w:r>
      <w:hyperlink r:id="rId35"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respectivement, est valable pour l’inspection initiale de l’installation s’il a été </w:t>
      </w:r>
      <w:r w:rsidRPr="009A7005">
        <w:rPr>
          <w:rFonts w:ascii="Times New Roman" w:hAnsi="Times New Roman" w:cs="Times New Roman"/>
          <w:sz w:val="24"/>
          <w:szCs w:val="24"/>
        </w:rPr>
        <w:lastRenderedPageBreak/>
        <w:t>effectué dans les deux ans, sauf pour des raisons de sécurité clairement justifiées, et sous réserve de l’appréciation favorable de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8 - L’essai de pression effectué en dehors du site d’installation dans le cadre de la réparation ou de la modification du récipient ou de l’équipement est valable pour l’inspection de l’installation s’il a été réalisé dans l’année, sous réserve de l’accord de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9 - Aux fins des paragraphes 6, 7 et 8 du présent article, il convient de présenter un engagement de prise en charge garantissant un transport et une manipulation appropriés du récipient ou de l'équipement jusqu'à son 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10 - Les essais de pression ou les essais équivalents effectués dans le cadre des inspections périodiques doivent être marqués par l’OI sur la plaque d’identification.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23</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Essai d'étanchéité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L’essai d’étanchéité a pour but de vérifier l’étanchéité des connexions, dans les vannes et dans les organes d’accès à l’intérieur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L’essai mentionné au paragraphe précédent doit être effectué à la pression de service maximale majorée de 10%, tout en n’excédant pas la valeur PS, et le fluide contenu dans le récipient ou l’équipement peut être utilisé.</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24</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Essai et vérification des accessoires de sécurité et de contrôle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L’essai et la vérification des accessoires de sécurité et de contrôle doivent être effectués en tenant compte de leur importance, de leur fiabilité et de leur efficacité, non seulement pour le récipient ou l’équipement, mais également pour le processus auquel ils sont intégrés.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L’essai et la vérification des accessoires de sécurité et de commande doivent être tels qu’ils ne dépassent pas les limites d’utilisation pour lesquelles le récipient ou l’équipement est conçu.</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25</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Essais non destructifs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END s’appliquent à la caractérisation des matériaux et à la détection des défauts. Les techniques suivantes sont privilégiées: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ultrasons;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particules magnétiques;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liquides pénétrants;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champs électriques;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radiographie;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test de dureté;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émission acoustique.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Seuls les END établis par des entités accréditées par l'IAPC, I.P. ou reconnues par cet institut sont valables aux fins de la délivrance des licences pour les techniques visées au paragraphe précédent, sans préjudice des autres techniques pouvant résulter des nouveautés technologiques.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V</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Accidents et sécurité</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26</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Accidents et autres événements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 propriétaire ou l’utilisateur n’est pas habilité à modifier l’état de l’installation, ni de son récipient ou de son équipement respectif après un accident. Il doit notifier l’IPQ, I.P. si la situation, sans préjudice de l’obligation d’informer les autres autorités compétentes, comme requis par la loi applicable.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Dès sa connaissance de la survenue d’un accident, l’IPQ, I.P. entame une procédure d’enquête, en auditionnant notamment les parties impliquées. Il peut également demander toute la documentation jugée appropriée et procéder à une inspection de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3 - S’il est prouvé que l’accident est dû à un acte criminel et sans préjudice des pouvoirs attribués à d’autres entités, l’accident doit être signalé au ministère public.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Le propriétaire ou l’utilisateur du récipient ou de l'équipement doit déposer la documentation relative à tous les événements vérifiés afin que cette dernière puisse être consultée par l'IPQ, I.P. et par d'autres autorités compétentes.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27</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Sécurité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 propriétaire ou l'utilisateur du récipient ou de l'équipement doit veiller à ce que les dispositions légales complémentaires au présent règlement soient prises en compte lors de l'installation et de l'exploitation.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Lorsque l'IPQ, I.P. détecte une situation de danger grave pour la santé publique, la sécurité des personnes et des biens, la sécurité des locaux ou l'environnement, il est tenu d'en alerter les autorités de surveillance compétentes, afin que les mesures adéquates puissent être adoptées.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Les entités référencées dans le paragraphe précédent doivent informer l’IPQ, I.P. de toutes les actions prises.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VI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Surveillance et infractions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28</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Surveillance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Sans préjudice des pouvoirs conférés par la loi à d’autres entités, la surveillance de la conformité au présent règlement incombe à l'autorité de sécurité alimentaire et économique (ASAE).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propriétaire ou l'utilisateur est tenu de faciliter la documentation relative au récipient ou à l'équipement et à ses licences sur demande de l'IPQ, I.P. ou de l'organisme de surveillance, et de leur permettre l'accès à l'installation concernée.</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Article 29</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Infractions et amendes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manquements suivants constituent une infraction: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exploitation du récipient ou de l’équipement usagé sans procéder à une réévaluation de la conformité, en violation des dispositions de l’article 4, paragraphe 4;</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élimination ou falsification de la soupape de sécurité ou du dispositif équivalent dûment autorisé, en violation des dispositions de l’article 7, paragraphes 1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altération ou mauvaise utilisation de la plaque signalétique, en violation des dispositions de l’article 8, paragraphes 1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exploitation du RSPS sans disposer d’un document de validation ou de revalidation d’exploitation, en violation des dispositions de l’article 9, paragraphes 2 et 5;</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exploitation d’un ESP sans certificat d’exploitation valide, en violation des dispositions de l’article 12, paragraphe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exploitation d’un ESP sans certificat valide de renouvellement d’agrément d’exploitation, en violation des dispositions de l’article 13, paragraphes 1 et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manquement aux dispositions des points 2, 3 et 4 de l'article 15;</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exploitation d’un récipient ou d’un équipement après une réparation ou une modification non approuvée par un OI, en violation de l’article 16, paragraphe 5;</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exploitation d’un récipient ou d’un équipement après une petite réparation non approuvée par un OI, en violation de l’article 17, paragraphe 3;</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modification de l’installation et du récipient ou de l’équipement après l’accident et avant l’intervention de l’IPQ, I.P., et absence d’archivage de la documentation relative à tous les événements survenus, en violation, respectivement, des paragraphes 1 et 4 de l’article 26;</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absence d’inspections intérimaires, en violation des dispositions du point 1 de l’annexe IX du présent règlement, ou si les délais sont dépassés de plus de trois mois.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2 - Les infractions visées aux points c) et g) du paragraphe précédent sont passibles des amendes suivantes: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de 250 euros à 1 000 euros lorsqu'elles sont commises par des personnes physiques;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de 1 500 euros à 2 500 euros lorsqu'elles sont commises par des personnes morales.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Les infractions visées au paragraphe 1, points a), b), d), e), f), h), i), j) et k) du présent article sont passibles des peines suivantes: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de 500 euros à 3 740,98 euros lorsqu'elles sont commises par des personnes physiques;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de 5 000 euros à 10 000 euros lorsqu'elles sont commises par des personnes morales.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4 – La négligence est punissable, à hauteur de la moitié des amendes visées aux paragraphes précédents.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5 – La tentative est punissable d'une amende applicable à l'infraction consommée, notablement atténuée.</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30</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Instruction des procédures et pouvoir décisionnaire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L’instruction des procédures d’infraction revient à l’ASAE, à laquelle doivent être remis les procès-verbaux dressés par d’autres entités.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L’inspecteur général de l’ASAE a la charge d’appliquer les amendes et les sanctions accessoires.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31</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Sanctions supplémentaires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sanctions supplémentaires suivantes peuvent être infligées simultanément avec l'amende, en fonction de la gravité de l'infraction et de la faute de l'agent: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privation des droits aux subventions ou aux bénéfices accordés par des entités ou des services publics;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fermeture des installations.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2 - Les sanctions accessoires prévues au paragraphe précédent ont une durée maximale de deux ans à compter de la décision de justice définitive.</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32</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Produit des amendes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produit des amendes infligées pour violation du présent règlement revient à:</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60 % pour l'État;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20 % pour l'ASAE;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10 % pour l’entité qui a dressé le procès-verbal;</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10 % pour l’IPQ, I.P.</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33</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Droit subsidiaire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Les infractions prévues dans le présent règlement sont régies à titre subsidiaire par le régime juridique de la simple infraction pénale, approuvé par le </w:t>
      </w:r>
      <w:hyperlink r:id="rId36" w:tgtFrame="_blank" w:tooltip="Décret-loi nº 433/82" w:history="1">
        <w:r w:rsidRPr="009A7005">
          <w:rPr>
            <w:rFonts w:ascii="Times New Roman" w:hAnsi="Times New Roman" w:cs="Times New Roman"/>
            <w:color w:val="006633"/>
            <w:sz w:val="24"/>
            <w:szCs w:val="24"/>
            <w:u w:val="single"/>
          </w:rPr>
          <w:t>décret-loi n° 433/82</w:t>
        </w:r>
      </w:hyperlink>
      <w:r w:rsidRPr="009A7005">
        <w:rPr>
          <w:rFonts w:ascii="Times New Roman" w:hAnsi="Times New Roman" w:cs="Times New Roman"/>
          <w:sz w:val="24"/>
          <w:szCs w:val="24"/>
        </w:rPr>
        <w:t xml:space="preserve"> du 27 octobre 1982, tel que modifié.</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VII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Taxes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34</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Taxes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membres du gouvernement responsables des domaines de la finance et de l’économie ont fixé par arrêté les taxes dues pour: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la réévaluation de la conformité;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la réalisation des visites prévues à l'article 4, paragraphe 5;</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l'émission de la plaque d'identification, à l'exception de la plaque initiale;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la validation de l'exploitation d'un RSPS;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e) l'actualisation de la validation de l'exploitation d'un RSPS;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l'agrément d'installation d'un 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l'agrément d'exploitation d'un 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 renouvellement de l'agrément d'exploitation de l'ESP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la vérification d'un changement de désignation sociale, de propriétaire ou utilisateur;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la validation de l'installation et de l'exploitation provisoires d'un 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services visés au paragraphe précédent commencent après le paiement des taxes respectives, sous réserve des dispositions du point b).</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CHAPITRE VIII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Dispositions finales et transitoires</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35</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Suivi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L’IPQ, I.P. est l'autorité nationale compétente pour contrôler l'application du présent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36</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Dématérialisation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Les procédures prévues dans le présent règlement sont effectuées de manière dématérialisée via le portail électronique. Ce dernier offre les services suivants de manière intégrée: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la soumission électronique de toutes les demandes associées aux différents actes de licence;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la consultation et la gestion en ligne par les parties intéressées de l'état de leurs processus, à savoir l'octroi de licence, la propriété et la validité des déclarations et des certificats;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l'envoi et la réception électroniques des décisions et des déclarations et des certificats délivrés;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d) la fourniture d’informations à différentes entités compétentes pour surveiller et contrôler l'application du présent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 criblage spécifique, à travers l'introduction de données en simulateur, concernant notamment le type de récipient ou d'équipement, le fluide, la valeur PS, le volume, ou encore la température.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f) Le paiement des taxes liées aux procédures via la plate-forme de paiement des administrations publiques, conformément aux dispositions de l’article 30, paragraphe 4, du </w:t>
      </w:r>
      <w:hyperlink r:id="rId37" w:tgtFrame="_blank" w:tooltip="Décret-loi nº 135/99" w:history="1">
        <w:r w:rsidRPr="009A7005">
          <w:rPr>
            <w:rFonts w:ascii="Times New Roman" w:hAnsi="Times New Roman" w:cs="Times New Roman"/>
            <w:color w:val="006633"/>
            <w:sz w:val="24"/>
            <w:szCs w:val="24"/>
            <w:u w:val="single"/>
          </w:rPr>
          <w:t>décret-loi n° 135/99</w:t>
        </w:r>
      </w:hyperlink>
      <w:r w:rsidRPr="009A7005">
        <w:rPr>
          <w:rFonts w:ascii="Times New Roman" w:hAnsi="Times New Roman" w:cs="Times New Roman"/>
          <w:sz w:val="24"/>
          <w:szCs w:val="24"/>
        </w:rPr>
        <w:t xml:space="preserve"> du 22 avril 1999, dans son libellé actuel.</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37</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Instructions techniques supplémentaires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règles techniques d’installation et d’exploitation à appliquer aux équipements de la même famille sont fixées par les ITC approuvées par ordonnance du président du conseil de l’IPQ, I.P., et publiées dans la 2e série du Journal de la République.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En l’absence d’ITC applicables à une famille particulière d’équipements, les dispositions du présent règlement s’appliquent, à l'exception des ESP utilisés pour le stockage de gaz naturel à l'état gazeux et des ESP accumulateurs d'hydrogène ou d'oxygène à l'état gazeux, auxquels s'appliquent respectivement l'ITC du GPL et l'ITC des RAC.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Dans le but d’améliorer le niveau de sécurité, étant donné la grande variété des ESP, des fluides et des fonctionnalités, l’IPQ, I.P. peut associer un ESP spécifique à une ITC existante, sur ordonnance du président du conseil.</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Article 38</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Régions autonomes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actes et procédures nécessaires à l’exécution du présent règlement dans les régions autonomes des Açores et de Madère relèvent de la responsabilité des entités des administrations régionales respectives qui ont les attributions et les compétences pour les sujets concernés.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produit des amendes infligées respectivement par les régions autonomes est intégré à leurs recettes.</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4, paragraphe 4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Réévaluation de la conformité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La requête d'examen de la demande de réévaluation de la conformité doit contenir les informations et documents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nom de la société, le numéro d’identification fiscale, le numéro de téléphone et l’adresse électronique du propriétaire ou de l’utilisateur;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l’adresse du propriétaire ou de l’utilisateur et l'emplacement de l'équipement, y compris le code postal, la ville, le département, la région et l'emplacement GPS;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code de la principale activité économique du propriétaire;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 numéro d'identification (numéro d'enregistrement) du récipient ou de l'équipement,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une preuve de possession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le document d'approbation de la construction ou la déclaration de conformité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des photographies visibles de la plaque signalétique et de la plaque d’identification du récipient ou de l'équipement,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rapport descriptif indiquant les caractéristiques et le type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un certificat valide de contrôle métrologique de l'indicateur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le rapport d’inspection de l’OI sur l’aptitude du récipient ou de l’équipement au service, y compris tout résultat d’END et tout éventuel calcul actualisé;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un croquis détaillé du récipient ou de l'équipement, le cas échéant.</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II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4, paragraphe 6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Document d'approbation de la conformité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document d’agrément d’exploitation est émis par l'IPQ, I.P. et doit contenir les informations suivantes: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numéro d'identification (numéro d'enregistrement) du récipient ou de l'équipement,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l'identification du propriétaire (nom commercial et code d'activité économique principale);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l'identification de l'utilisateur (nom et code d'activité économique principale,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 type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caractéristiques du récipient ou de l’équipement (nom de la société du fabricant, pays, numéro de fabrication, modèle, nombre de chambres, valeur PS volume, fluide, températures maximale et minimale admissibles,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 date de réalisation de l’essai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le numéro du rapport d'inspection, sa date d'exécution et l'identification de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la date de l'inspection IPQ, I.P.,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les éventuelles conditions relatives au récipient, à l'équipement ou à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la date et la signature.</w:t>
      </w:r>
    </w:p>
    <w:p w:rsidR="00B42FB5" w:rsidRPr="009A7005" w:rsidRDefault="00B42FB5" w:rsidP="00B56BBA">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III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9, paragraphes 2 et 5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Notification préalable d'exploitation des RSPS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La notification préalable d'exploitation des RSPS doit contenir les informations et documents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nom de la société, le numéro d’identification fiscale, le numéro de téléphone et l’adresse électronique du propriétaire ou de l’utilisateur;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nom de l'utilisateur et l'emplacement du local d'installation, y compris le code postal, la ville, le département, la région et l'emplacement GPS;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code de la principale activité économique du propriétaire;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 numéro d'identification (numéro d'enregistrement) du RSPS,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caractéristiques du RSPS: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nom commercial du fabricant, avec indication du pays;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modèle;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numéro d'identification et année de fabrication;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valeur PS, volume, fluide et températures maximale et minimale admissibles;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 déclaration de conformité, le certificat d'approbation de la construction, ou le document de réévaluation de la conformité, s'il n'a pas déjà été soumis;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la photographie de la plaque signalétique du RSPS;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 rapport d'inspection de l'OI avec une conclusion favorable.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Aux fins de l'actualisation de la validation d'exploitation et à chaque changement de lieu d'installation du RSPS, le demandeur est dispensé de présenter les documents prévus aux points f) et g) de la présente annexe.</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IV</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9, paragraphes 3 et 5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Document de validation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document validant l'exploitation d'un RSPS est émis par l'IPQ, I.P. et doit contenir les informations suivantes: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numéro d’identification du récipient;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l'identification du propriétaire (nom commercial et code d'activité économique principale);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l'identification de l'utilisateur (nom et code d'activité économique principale,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l'identification du lieu de l'installation,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 type de récipient;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les caractéristiques du récipient (nom de la société du fabricant, pays, numéro de fabrication, modèle, PS, volume, fluide et températures maximales et minimales admissibles);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la date de réalisation de l’essai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 numéro du rapport d'inspection, sa date d'exécution et l'identification de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la date de l'inspection IPQ, I.P.,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les éventuelles conditions relatives au récipient, à l'équipement ou à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le délai de validité.</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V</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11, paragraphe 1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Agrément d'installation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La requête d'examen de la demande d'agrément d'installation de l'ESP doit contenir les informations et documents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nom de la société, le numéro d’identification fiscale, le numéro de téléphone et l’adresse électronique du propriétaire ou de l’utilisateur;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nom de l'utilisateur et l'emplacement du local d'installation, y compris le code postal, la ville, le département, la région et l'emplacement GPS;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code de la principale activité économique du propriétaire;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 numéro d'identification de l'ESP,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caractéristiques de l'ESP: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nom commercial du fabricant, avec indication du pays;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modèle;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numéro d'identification et année de fabrication;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nombre de chambres, le cas échéant, et PS respective, volume, fluide, températures maximale et minimale admissibles,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 déclaration de conformité, le certificat d'approbation de la construction, ou le document de réévaluation de la conformité, si l'une de ces attestation n'a pas déjà été soumise;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des photographies de l'emplacement prévu pour l'installation et de la plaque signalétique de l'ESP;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un projet d'installation comprenant: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i) un rapport descriptif justifiant notamment la localisation de l'installation de l'ESP, le type de construction du bâtiment ou de la zone scellée et les distances de sécurité, conformément au règlement et aux ITC applicables;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un plan de situation à l'échelle convenable (1:500 ou 1:1 000), couvrant un cercle de 30 mètres de rayon (centré sur l'équipement), illustrant clairement les limites de la propriété et la distance aux tiers;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un plan de l'installation, avec élévations et coupes (avec une échelle de référence de 1:100), indiquant le local ou le bâtiment où l'ESP sera installé, les distances de sécurité, les accès, les hauteurs, les ouvertures de ventilation et l'éclairage;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un croquis général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l'engagement de prise en charge souscrit par le concepteur;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la vérification de la conformité du projet délivrée par l'OI avec une conclusion favorable.</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VI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11, paragraphe 5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ESP soumis à l’agrément d’installation sont les suivants:</w:t>
      </w:r>
    </w:p>
    <w:p w:rsidR="00B42FB5" w:rsidRPr="009A7005" w:rsidRDefault="00150669" w:rsidP="00F17942">
      <w:pPr>
        <w:spacing w:after="225" w:line="390" w:lineRule="atLeast"/>
        <w:jc w:val="both"/>
        <w:rPr>
          <w:rFonts w:ascii="Times New Roman" w:eastAsia="Times New Roman" w:hAnsi="Times New Roman" w:cs="Times New Roman"/>
          <w:color w:val="333333"/>
          <w:sz w:val="24"/>
          <w:szCs w:val="24"/>
        </w:rPr>
      </w:pPr>
      <w:hyperlink r:id="rId38" w:tooltip="Document au format PDF" w:history="1">
        <w:r w:rsidR="00D55954" w:rsidRPr="009A7005">
          <w:rPr>
            <w:rFonts w:ascii="Times New Roman" w:hAnsi="Times New Roman" w:cs="Times New Roman"/>
            <w:color w:val="006633"/>
            <w:sz w:val="24"/>
            <w:szCs w:val="24"/>
            <w:u w:val="single"/>
          </w:rPr>
          <w:t>(voir le document original)</w:t>
        </w:r>
      </w:hyperlink>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Les ESP sont exemptés de l'agrément d'installation dans les cas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ESP non fixes;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réservoirs de GPL d’une capacité supérieure à 7 500 L et inférieure ou égale à 200 000 L, si le projet d’installation a été approuvé par la Câmara Municipal ou par la Direção-Geral de Energia e Geologia;</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canalisations.</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VII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12, paragraphe 1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La requête d'examen de la demande d'agrément d'exploitation d'un ESP doit contenir les informations et documents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nom de la société, le numéro d’identification fiscale, le numéro de téléphone et l’adresse électronique du propriétaire ou de l’utilisateur;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nom de l'utilisateur et l'emplacement du local d'installation, y compris le code postal, la ville, le département, la région et l'emplacement GPS;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code de la principale activité économique du propriétaire;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 numéro d'identification de l'ESP,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caractéristiques de l'ESP: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nom commercial du fabricant, avec indication du pays;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modèle;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numéro d'identification et année de fabrication;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nombre de chambres, le cas échéant, et PS respective, volume, fluide, températures maximale et minimale admissibles,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 déclaration de conformité, le certificat d'approbation de la construction, ou le document de réévaluation de la conformité, si l'une de ces attestation n'a pas déjà été soumise;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la photographie de la plaque signalétique de l'ESP;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 rapport d'inspection de l'OI avec une conclusion favorable;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la déclaration ou la permission d'installer un ESP appartenant à une entité autre que le propriétaire de l'installation,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isométrique ou équivalent, pour les tuyaux.</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2 - Dans le cas d'un ESP non fixé, la demande doit être accompagnée des documents visés ci-dessus avec les adaptations appropriées.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Dans le cadre d'une demande de renouvellement de l'agrément d'exploitation d'un ESP, le demandeur est exempté de présenter les documents visés au paragraphe 1, points f) et g), de la présente annexe.</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VIII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réfèrent l’article 12, paragraphe 3 et l’article 13, paragraphe 3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Certificat d'agrément d'exploitation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Le certificat d'agrément d'exploitation d'un ESP est émis par l'IPQ, I.P. et doit contenir les informations suivantes: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numéro d’identification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l’identification du propriétaire (nom ou nom de société);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l’identification de l’utilisateur (nom ou nom de société);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l'identification du lieu de l'installation,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 type d'équipement;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les caractéristiques de l’équipement (nom de la société du fabricant, pays, numéro de fabrication, modèle, nombre de chambres, valeur PS volume, fluide, températures maximale et minimale admissibles,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la date de réalisation de l’essai de pression;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 numéro du rapport d'inspection, sa date d'exécution et l'identification de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la date de l'inspection IPQ, I.P.,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les éventuelles conditions relatives à l'équipement ou à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le délai de validité.</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IX</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réfèrent l’article 12, paragraphe 5 et l’article 20, points c) et d) du règlement)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La validité des déclarations et des certificats d’agrément d’exploitation et la périodicité des inspections intermédiaires sont les suivantes:</w:t>
      </w:r>
    </w:p>
    <w:p w:rsidR="00B42FB5" w:rsidRPr="009A7005" w:rsidRDefault="00150669" w:rsidP="00F17942">
      <w:pPr>
        <w:spacing w:after="225" w:line="390" w:lineRule="atLeast"/>
        <w:jc w:val="both"/>
        <w:rPr>
          <w:rFonts w:ascii="Times New Roman" w:eastAsia="Times New Roman" w:hAnsi="Times New Roman" w:cs="Times New Roman"/>
          <w:color w:val="333333"/>
          <w:sz w:val="24"/>
          <w:szCs w:val="24"/>
        </w:rPr>
      </w:pPr>
      <w:hyperlink r:id="rId39" w:tooltip="Document au format PDF" w:history="1">
        <w:r w:rsidR="00D55954" w:rsidRPr="009A7005">
          <w:rPr>
            <w:rFonts w:ascii="Times New Roman" w:hAnsi="Times New Roman" w:cs="Times New Roman"/>
            <w:color w:val="006633"/>
            <w:sz w:val="24"/>
            <w:szCs w:val="24"/>
            <w:u w:val="single"/>
          </w:rPr>
          <w:t>(voir le document original)</w:t>
        </w:r>
      </w:hyperlink>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Aux fins du paragraphe 1 de la présente annexe, les ensembles de procédures sont classés comme suit: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a) Classe de danger 1 - comprend les fluides du groupe 1 suivants, définis à l’article 14, paragraphe 1, point a), du </w:t>
      </w:r>
      <w:hyperlink r:id="rId40"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dès lors qu’ils contiennent des impuretés corrosives: fluor, fluorure de bore, fluorure d’hydrogène, trichlorure de bore, chlorure d’hydrogène, bromure d’hydrogène, dioxyde d’azote, chlorure de carbonyle (ou phosgène), sulfure d’hydrogène, chlore et autres substances ayant un impact similaire .</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b) Classe de danger 2 - comprend les fluides du groupe 1 tels que définis à l’article 14, paragraphe 1, point a) du </w:t>
      </w:r>
      <w:hyperlink r:id="rId41"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 à l’exception de ceux mentionnés dans la classe de danger 1;</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sz w:val="24"/>
          <w:szCs w:val="24"/>
        </w:rPr>
        <w:t xml:space="preserve">c) Classe de danger 3 - comprend les fluides du groupe 2 tels que définis à l’article 14, paragraphe 1, point a) du </w:t>
      </w:r>
      <w:hyperlink r:id="rId42" w:tgtFrame="_blank" w:tooltip="Décret-loi nº 111-D/2017" w:history="1">
        <w:r w:rsidRPr="009A7005">
          <w:rPr>
            <w:rFonts w:ascii="Times New Roman" w:hAnsi="Times New Roman" w:cs="Times New Roman"/>
            <w:color w:val="006633"/>
            <w:sz w:val="24"/>
            <w:szCs w:val="24"/>
            <w:u w:val="single"/>
          </w:rPr>
          <w:t>décret-loi n° 111-D/2017</w:t>
        </w:r>
      </w:hyperlink>
      <w:r w:rsidRPr="009A7005">
        <w:rPr>
          <w:rFonts w:ascii="Times New Roman" w:hAnsi="Times New Roman" w:cs="Times New Roman"/>
          <w:sz w:val="24"/>
          <w:szCs w:val="24"/>
        </w:rPr>
        <w:t xml:space="preserve"> du 31 août 2017.</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X</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16, paragraphes 3, 4 et 6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Réparation et modification</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Tout projet de réparation ou de modification doit inclure: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un rapport descriptif de l'intervention à effectuer, précisant les codes ou les normes à adopter et les caractéristiques initiales et finales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la note de calcul,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un plan d'inspection et les essais à effectuer pendant l'intervention;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des croquis globaux et détaillés;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procédures de soudage;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l'engagement de prise en charge souscrit par le concepteur;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document de vérification de la conformité du projet de réparation ou de modification avec une conclusion favorable est émis par l'OI et doit contenir les informations et documents visés ci-dessous: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l'identification de l'utilisateur et du propriétaire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numéro d'identification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Caractéristiques du récipient ou de l’équipement (fabricant, modèle, numéro de fabrication et année de fabrication, nombre de chambres, le cas échéant, et PS respective, volume, fluide, températures maximale et minimale admissibles,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l'identification du lieu de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références pertinentes aux normes ou au code du bâtiment;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l'original du projet, dûment validé et authentifié par l'OI.</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 xml:space="preserve">3 - Le rapport de conformité de réparation ou de modification doit indiquer le numéro d’identification du récipient ou de l’équipement, l’identification de l’utilisateur, du </w:t>
      </w:r>
      <w:r w:rsidRPr="009A7005">
        <w:rPr>
          <w:rFonts w:ascii="Times New Roman" w:hAnsi="Times New Roman" w:cs="Times New Roman"/>
          <w:color w:val="333333"/>
          <w:sz w:val="24"/>
          <w:szCs w:val="24"/>
        </w:rPr>
        <w:lastRenderedPageBreak/>
        <w:t>propriétaire et du réparateur, ainsi qu’une référence aux contrôles et aux essais effectués, accompagnés au moins des éléments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document d'agrément du projet de réparation ou de modification, selon les termes du paragraphe précédent;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l’engagement de prise en charge souscrit par l’entreprise réalisant la réparation ou la modification;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preuve de conformité au plan d'inspection et de la réalisation des essais;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les certificats de qualification des soudeurs, délivrés ou accrédités par un organisme de certification de personnes agréé par l’IPAC, I.P., ou par une entité reconnue par ce dernier;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certificats des matériaux utilisés;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une conclusion fondée sur la conformité de la réparation ou de la modification.</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XI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17, paragraphe 3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Petite réparation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La procédure pour une petite réparation comprend un rapport de l'OI, avec une conclusion favorable, décrivant les vérifications et les essais effectués, accompagné des éléments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un rapport descriptif validé par l'OI illustré d'un croquis simplifié;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l’engagement de prise en charge souscrit par l’entreprise réalisant la réparation;</w:t>
      </w:r>
    </w:p>
    <w:p w:rsidR="00B42FB5" w:rsidRPr="009A7005" w:rsidRDefault="00E96447"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c</w:t>
      </w:r>
      <w:r w:rsidR="00B42FB5" w:rsidRPr="009A7005">
        <w:rPr>
          <w:rFonts w:ascii="Times New Roman" w:hAnsi="Times New Roman" w:cs="Times New Roman"/>
          <w:color w:val="333333"/>
          <w:sz w:val="24"/>
          <w:szCs w:val="24"/>
        </w:rPr>
        <w:t>) les certificats de qualification des soudeurs, délivrés ou accrédités par un organisme de certification de personnes agréé par l’IPAC, I.P., ou par une entité reconnue par ce dernier;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les certificats des matériaux utilisés.</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XII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18, paragraphe 1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Installation et fonctionnement en conditions provisoires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La requête d’examen de la demande de validation de l’installation et de l’exploitation de l’ESP dans des conditions provisoires doit s’instruire avec les informations et les documents suivants: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nom de la société, le numéro d’identification fiscale, le numéro de téléphone et l’adresse électronique du propriétaire ou de l’utilisateur;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nom de l'utilisateur et l'emplacement du local d'installation, y compris le code postal, la ville, le département, la région et l'emplacement GPS;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numéro d'identification (numéro d'enregistrement) de l'ESP,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caractéristiques de l'ESP:</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nom commercial du fabricant, avec indication du pays;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modèle;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numéro d'identification et année de fabrication;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nombre de chambres, le cas échéant, et PS respective, volume, fluide, températures maximale et minimale admissibles,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un rapport d'inspection extraordinaire de l'OI, avec une conclusion favorable, couvrant l'installation, l'ESP et les organes de sécurité et de contrôle;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le rapport d'inspection de la dernière réévaluation de la conformité,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un rapport descriptif justifiant notamment la localisation de l'installation de l'ESP, le type de construction du bâtiment ou de la zone scellée et les distances de sécurité, conformément au règlement et aux ITC applicables;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croquis simplifié de l'installation.</w:t>
      </w:r>
    </w:p>
    <w:p w:rsidR="00B42FB5" w:rsidRPr="009A700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ANNEXE XIII</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(à laquelle se réfère l’article 19, paragraphe 6 du règlement)</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Rapport d'inspection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1 - Les rapports des inspections initiales, périodiques et extraordinaires émis par l'OI, sans préjudice de l'incorporation d'informations supplémentaires, contiennent: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type d'inspection;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numéro d'identification du récipient ou de l'équipement,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type de récipient ou d'équipement et les ITC éventuellement applicables;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les caractéristiques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nom commercial du fabricant, avec indication du pays;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modèle;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numéro d'identification et année de fabrication;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iv) nombre de chambres, PS, volume, fluide, températures maximale et minimale,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résultats des essais des soupapes de sécurité, ou des équipements équivalents, et des autres accessoires supplémentaires;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 vérification du contrôle métrologique ou de l'étalonnage, le cas échéant, effectués sur le ou les indicateurs de pression et leur adéquation au récipient ou à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l'état général du récipient ou de l'équipement, des supports, et des éventuels recouvrements de protection;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les résultats de l'essai de pression ou des essais alternatifs équivalents,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PIE alternative à l’essai de pression,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les résultats de l’essai d’étanchéité;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les résultats des END complémentaires et des nouveaux calculs,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l) la vérification du système de chauffe,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m) la catégorisation du lieu de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n) la caractérisation de l’enveloppe du bâtiment, des accès, de la ventilation, des autres récipients ou équipements ou des équipements complémentaires;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o) les distances de sécurité et leur conformité;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p) les carburants utilisés ou stockés;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q) un engagement de prise en charge garantissant un transport et une manipulation appropriés du récipient ou de l’équipement,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r) toutes les autres informations relevant de l'ITC applicable;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s) les conclusions: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non-conformités détectées,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les mesures prises par le propriétaire ou l'utilisateur pour résoudre les non-conformités,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conclusion sur la conformité de l'installation et l'aptitude du récipient ou de l'équipement à fonctionner.</w:t>
      </w:r>
    </w:p>
    <w:p w:rsidR="00B42FB5" w:rsidRPr="009A700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2 - Le rapport d'inspection intérimaire émis par l'OI, sans préjudice de l'incorporation d'informations supplémentaires, doit préciser: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a) le type d'inspection;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b) le numéro d'identification du récipient ou de l'équipement,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c) le type de récipient ou d'équipement et les ITC éventuellement applicables;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d) les caractéristiques du récipient ou de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nom commercial du fabricant, avec indication du pays;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modèle;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numéro d'identification et année de fabrication;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lastRenderedPageBreak/>
        <w:t>iv) nombre de chambres, PS, volume, fluide, températures maximale et minimale, vaporisation, surface de chauffe, puissance et carburant,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e) Les résultats des essais des soupapes de sécurité et des autres accessoires supplémentaires;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f) la vérification du contrôle métrologique effectué sur le ou les indicateurs de pression et leur adéquation au récipient ou à l'équipement;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g) l'état général du récipient ou de l'équipement, des supports, et des éventuels recouvrements de protection;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h) les résultats de l’essai d’étanchéité;</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les résultats des END, le cas échéant, et chaque fois que cela est prévu dans l'ITC;</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j) la vérification du système de chauffe,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k) la catégorisation du lieu de l'installation;</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l) les carburants utilisés ou stockés;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m) toutes les autres informations relevant de l'ITC applicable;</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n) les conclusions:</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 non-conformités détectées,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 les mesures prises par le propriétaire ou l'utilisateur pour résoudre les non-conformités, le cas échéant;</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iii) conclusion sur la conformité de l'installation et l'aptitude du récipient ou de l'équipement à fonctionner.</w:t>
      </w:r>
    </w:p>
    <w:p w:rsidR="00B42FB5" w:rsidRPr="009A7005" w:rsidRDefault="00B42FB5" w:rsidP="00F17942">
      <w:pPr>
        <w:spacing w:after="225" w:line="390" w:lineRule="atLeast"/>
        <w:jc w:val="both"/>
        <w:rPr>
          <w:rFonts w:ascii="Times New Roman" w:eastAsia="Times New Roman" w:hAnsi="Times New Roman" w:cs="Times New Roman"/>
          <w:color w:val="333333"/>
          <w:sz w:val="24"/>
          <w:szCs w:val="24"/>
        </w:rPr>
      </w:pPr>
      <w:r w:rsidRPr="009A7005">
        <w:rPr>
          <w:rFonts w:ascii="Times New Roman" w:hAnsi="Times New Roman" w:cs="Times New Roman"/>
          <w:color w:val="333333"/>
          <w:sz w:val="24"/>
          <w:szCs w:val="24"/>
        </w:rPr>
        <w:t>3 - Il convient de joindre au rapport d'inspection le ou les certificats de contrôle métrologique du ou des indicateurs de pression du récipient ou de l'équipement.</w:t>
      </w:r>
    </w:p>
    <w:sectPr w:rsidR="00B42FB5" w:rsidRPr="009A70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BCC" w:rsidRDefault="00651BCC" w:rsidP="00F17942">
      <w:pPr>
        <w:spacing w:after="0" w:line="240" w:lineRule="auto"/>
      </w:pPr>
      <w:r>
        <w:separator/>
      </w:r>
    </w:p>
  </w:endnote>
  <w:endnote w:type="continuationSeparator" w:id="0">
    <w:p w:rsidR="00651BCC" w:rsidRDefault="00651BCC" w:rsidP="00F1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BCC" w:rsidRDefault="00651BCC" w:rsidP="00F17942">
      <w:pPr>
        <w:spacing w:after="0" w:line="240" w:lineRule="auto"/>
      </w:pPr>
      <w:r>
        <w:separator/>
      </w:r>
    </w:p>
  </w:footnote>
  <w:footnote w:type="continuationSeparator" w:id="0">
    <w:p w:rsidR="00651BCC" w:rsidRDefault="00651BCC" w:rsidP="00F17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B6DE0"/>
    <w:multiLevelType w:val="multilevel"/>
    <w:tmpl w:val="0A9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75355"/>
    <w:multiLevelType w:val="multilevel"/>
    <w:tmpl w:val="5702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E2005"/>
    <w:multiLevelType w:val="multilevel"/>
    <w:tmpl w:val="43C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F1615"/>
    <w:multiLevelType w:val="multilevel"/>
    <w:tmpl w:val="8F2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B5"/>
    <w:rsid w:val="000C7DFF"/>
    <w:rsid w:val="00150669"/>
    <w:rsid w:val="005A5AE9"/>
    <w:rsid w:val="00651BCC"/>
    <w:rsid w:val="009A7005"/>
    <w:rsid w:val="00B42FB5"/>
    <w:rsid w:val="00B56BBA"/>
    <w:rsid w:val="00D55954"/>
    <w:rsid w:val="00D66042"/>
    <w:rsid w:val="00DD73D8"/>
    <w:rsid w:val="00E96447"/>
    <w:rsid w:val="00F1794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DEE73D0-590D-4EBD-8E96-A6552C95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FB5"/>
    <w:rPr>
      <w:rFonts w:ascii="Times New Roman" w:eastAsia="Times New Roman" w:hAnsi="Times New Roman" w:cs="Times New Roman"/>
      <w:b/>
      <w:bCs/>
      <w:kern w:val="36"/>
      <w:sz w:val="48"/>
      <w:szCs w:val="48"/>
      <w:lang w:eastAsia="pt-PT"/>
    </w:rPr>
  </w:style>
  <w:style w:type="numbering" w:customStyle="1" w:styleId="Semlista1">
    <w:name w:val="Sem lista1"/>
    <w:next w:val="NoList"/>
    <w:uiPriority w:val="99"/>
    <w:semiHidden/>
    <w:unhideWhenUsed/>
    <w:rsid w:val="00B42FB5"/>
  </w:style>
  <w:style w:type="paragraph" w:customStyle="1" w:styleId="msonormal0">
    <w:name w:val="msonormal"/>
    <w:basedOn w:val="Normal"/>
    <w:rsid w:val="00B42FB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Strong">
    <w:name w:val="Strong"/>
    <w:basedOn w:val="DefaultParagraphFont"/>
    <w:uiPriority w:val="22"/>
    <w:qFormat/>
    <w:rsid w:val="00B42FB5"/>
    <w:rPr>
      <w:b/>
      <w:bCs/>
    </w:rPr>
  </w:style>
  <w:style w:type="character" w:styleId="Hyperlink">
    <w:name w:val="Hyperlink"/>
    <w:basedOn w:val="DefaultParagraphFont"/>
    <w:uiPriority w:val="99"/>
    <w:semiHidden/>
    <w:unhideWhenUsed/>
    <w:rsid w:val="00B42FB5"/>
    <w:rPr>
      <w:color w:val="0000FF"/>
      <w:u w:val="single"/>
    </w:rPr>
  </w:style>
  <w:style w:type="character" w:styleId="FollowedHyperlink">
    <w:name w:val="FollowedHyperlink"/>
    <w:basedOn w:val="DefaultParagraphFont"/>
    <w:uiPriority w:val="99"/>
    <w:semiHidden/>
    <w:unhideWhenUsed/>
    <w:rsid w:val="00B42FB5"/>
    <w:rPr>
      <w:color w:val="800080"/>
      <w:u w:val="single"/>
    </w:rPr>
  </w:style>
  <w:style w:type="paragraph" w:styleId="NormalWeb">
    <w:name w:val="Normal (Web)"/>
    <w:basedOn w:val="Normal"/>
    <w:uiPriority w:val="99"/>
    <w:semiHidden/>
    <w:unhideWhenUsed/>
    <w:rsid w:val="00B42FB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Header">
    <w:name w:val="header"/>
    <w:basedOn w:val="Normal"/>
    <w:link w:val="HeaderChar"/>
    <w:uiPriority w:val="99"/>
    <w:unhideWhenUsed/>
    <w:rsid w:val="00F17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7942"/>
  </w:style>
  <w:style w:type="paragraph" w:styleId="Footer">
    <w:name w:val="footer"/>
    <w:basedOn w:val="Normal"/>
    <w:link w:val="FooterChar"/>
    <w:uiPriority w:val="99"/>
    <w:unhideWhenUsed/>
    <w:rsid w:val="00F17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7942"/>
  </w:style>
  <w:style w:type="paragraph" w:styleId="PlainText">
    <w:name w:val="Plain Text"/>
    <w:basedOn w:val="Normal"/>
    <w:link w:val="PlainTextChar"/>
    <w:uiPriority w:val="99"/>
    <w:unhideWhenUsed/>
    <w:rsid w:val="00D55954"/>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D55954"/>
    <w:rPr>
      <w:rFonts w:ascii="Consolas" w:eastAsia="Times New Roman"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32095">
      <w:bodyDiv w:val="1"/>
      <w:marLeft w:val="0"/>
      <w:marRight w:val="0"/>
      <w:marTop w:val="0"/>
      <w:marBottom w:val="0"/>
      <w:divBdr>
        <w:top w:val="none" w:sz="0" w:space="0" w:color="auto"/>
        <w:left w:val="none" w:sz="0" w:space="0" w:color="auto"/>
        <w:bottom w:val="none" w:sz="0" w:space="0" w:color="auto"/>
        <w:right w:val="none" w:sz="0" w:space="0" w:color="auto"/>
      </w:divBdr>
      <w:divsChild>
        <w:div w:id="2014408432">
          <w:marLeft w:val="0"/>
          <w:marRight w:val="0"/>
          <w:marTop w:val="0"/>
          <w:marBottom w:val="0"/>
          <w:divBdr>
            <w:top w:val="single" w:sz="18" w:space="4" w:color="F2F2F2"/>
            <w:left w:val="none" w:sz="0" w:space="0" w:color="auto"/>
            <w:bottom w:val="none" w:sz="0" w:space="0" w:color="auto"/>
            <w:right w:val="none" w:sz="0" w:space="0" w:color="auto"/>
          </w:divBdr>
          <w:divsChild>
            <w:div w:id="159853536">
              <w:marLeft w:val="0"/>
              <w:marRight w:val="0"/>
              <w:marTop w:val="0"/>
              <w:marBottom w:val="0"/>
              <w:divBdr>
                <w:top w:val="none" w:sz="0" w:space="0" w:color="auto"/>
                <w:left w:val="none" w:sz="0" w:space="0" w:color="auto"/>
                <w:bottom w:val="none" w:sz="0" w:space="0" w:color="auto"/>
                <w:right w:val="none" w:sz="0" w:space="0" w:color="auto"/>
              </w:divBdr>
            </w:div>
            <w:div w:id="1446079701">
              <w:marLeft w:val="0"/>
              <w:marRight w:val="0"/>
              <w:marTop w:val="0"/>
              <w:marBottom w:val="0"/>
              <w:divBdr>
                <w:top w:val="none" w:sz="0" w:space="0" w:color="auto"/>
                <w:left w:val="none" w:sz="0" w:space="0" w:color="auto"/>
                <w:bottom w:val="none" w:sz="0" w:space="0" w:color="auto"/>
                <w:right w:val="none" w:sz="0" w:space="0" w:color="auto"/>
              </w:divBdr>
            </w:div>
            <w:div w:id="841816787">
              <w:marLeft w:val="0"/>
              <w:marRight w:val="0"/>
              <w:marTop w:val="0"/>
              <w:marBottom w:val="0"/>
              <w:divBdr>
                <w:top w:val="none" w:sz="0" w:space="0" w:color="auto"/>
                <w:left w:val="none" w:sz="0" w:space="0" w:color="auto"/>
                <w:bottom w:val="none" w:sz="0" w:space="0" w:color="auto"/>
                <w:right w:val="none" w:sz="0" w:space="0" w:color="auto"/>
              </w:divBdr>
            </w:div>
            <w:div w:id="839855136">
              <w:marLeft w:val="0"/>
              <w:marRight w:val="0"/>
              <w:marTop w:val="0"/>
              <w:marBottom w:val="0"/>
              <w:divBdr>
                <w:top w:val="none" w:sz="0" w:space="0" w:color="auto"/>
                <w:left w:val="none" w:sz="0" w:space="0" w:color="auto"/>
                <w:bottom w:val="none" w:sz="0" w:space="0" w:color="auto"/>
                <w:right w:val="none" w:sz="0" w:space="0" w:color="auto"/>
              </w:divBdr>
            </w:div>
            <w:div w:id="319041944">
              <w:marLeft w:val="0"/>
              <w:marRight w:val="0"/>
              <w:marTop w:val="0"/>
              <w:marBottom w:val="0"/>
              <w:divBdr>
                <w:top w:val="none" w:sz="0" w:space="0" w:color="auto"/>
                <w:left w:val="none" w:sz="0" w:space="0" w:color="auto"/>
                <w:bottom w:val="none" w:sz="0" w:space="0" w:color="auto"/>
                <w:right w:val="none" w:sz="0" w:space="0" w:color="auto"/>
              </w:divBdr>
            </w:div>
            <w:div w:id="11115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e.pt/web/guest/pesquisa/-/search/108086623/details/normal?l=1" TargetMode="External"/><Relationship Id="rId18" Type="http://schemas.openxmlformats.org/officeDocument/2006/relationships/hyperlink" Target="https://dre.pt/web/guest/pesquisa/-/search/334116/details/normal?l=1" TargetMode="External"/><Relationship Id="rId26" Type="http://schemas.openxmlformats.org/officeDocument/2006/relationships/hyperlink" Target="https://dre.pt/application/external/eurolex?08R1272" TargetMode="External"/><Relationship Id="rId39" Type="http://schemas.openxmlformats.org/officeDocument/2006/relationships/hyperlink" Target="https://dre.pt/application/conteudo/124324703" TargetMode="External"/><Relationship Id="rId3" Type="http://schemas.openxmlformats.org/officeDocument/2006/relationships/customXml" Target="../customXml/item3.xml"/><Relationship Id="rId21" Type="http://schemas.openxmlformats.org/officeDocument/2006/relationships/hyperlink" Target="https://dre.pt/web/guest/pesquisa/-/search/108086623/details/normal?l=1" TargetMode="External"/><Relationship Id="rId34" Type="http://schemas.openxmlformats.org/officeDocument/2006/relationships/hyperlink" Target="https://dre.pt/web/guest/pesquisa/-/search/106663844/details/normal?l=1" TargetMode="External"/><Relationship Id="rId42" Type="http://schemas.openxmlformats.org/officeDocument/2006/relationships/hyperlink" Target="https://dre.pt/web/guest/pesquisa/-/search/108086623/details/normal?l=1" TargetMode="External"/><Relationship Id="rId7" Type="http://schemas.openxmlformats.org/officeDocument/2006/relationships/settings" Target="settings.xml"/><Relationship Id="rId12" Type="http://schemas.openxmlformats.org/officeDocument/2006/relationships/hyperlink" Target="https://dre.pt/application/external/eurolex?14L0029" TargetMode="External"/><Relationship Id="rId17" Type="http://schemas.openxmlformats.org/officeDocument/2006/relationships/hyperlink" Target="https://dre.pt/application/external/eurolex?15L1535" TargetMode="External"/><Relationship Id="rId25" Type="http://schemas.openxmlformats.org/officeDocument/2006/relationships/hyperlink" Target="https://dre.pt/web/guest/pesquisa/-/search/108086623/details/normal?l=1" TargetMode="External"/><Relationship Id="rId33" Type="http://schemas.openxmlformats.org/officeDocument/2006/relationships/hyperlink" Target="https://dre.pt/web/guest/pesquisa/-/search/108086623/details/normal?l=1" TargetMode="External"/><Relationship Id="rId38" Type="http://schemas.openxmlformats.org/officeDocument/2006/relationships/hyperlink" Target="https://dre.pt/application/conteudo/124324703" TargetMode="External"/><Relationship Id="rId2" Type="http://schemas.openxmlformats.org/officeDocument/2006/relationships/customXml" Target="../customXml/item2.xml"/><Relationship Id="rId16" Type="http://schemas.openxmlformats.org/officeDocument/2006/relationships/hyperlink" Target="https://dre.pt/web/guest/pesquisa/-/search/108086623/details/normal?l=1" TargetMode="External"/><Relationship Id="rId20" Type="http://schemas.openxmlformats.org/officeDocument/2006/relationships/hyperlink" Target="https://dre.pt/web/guest/pesquisa/-/search/106663844/details/normal?l=1" TargetMode="External"/><Relationship Id="rId29" Type="http://schemas.openxmlformats.org/officeDocument/2006/relationships/hyperlink" Target="https://dre.pt/web/guest/pesquisa/-/search/106663844/details/normal?l=1" TargetMode="External"/><Relationship Id="rId41" Type="http://schemas.openxmlformats.org/officeDocument/2006/relationships/hyperlink" Target="https://dre.pt/web/guest/pesquisa/-/search/108086623/details/normal?l=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e.pt/web/guest/pesquisa/-/search/106663844/details/normal?l=1" TargetMode="External"/><Relationship Id="rId24" Type="http://schemas.openxmlformats.org/officeDocument/2006/relationships/hyperlink" Target="https://dre.pt/web/guest/pesquisa/-/search/106663844/details/normal?l=1" TargetMode="External"/><Relationship Id="rId32" Type="http://schemas.openxmlformats.org/officeDocument/2006/relationships/hyperlink" Target="https://dre.pt/web/guest/pesquisa/-/search/106663844/details/normal?l=1" TargetMode="External"/><Relationship Id="rId37" Type="http://schemas.openxmlformats.org/officeDocument/2006/relationships/hyperlink" Target="https://dre.pt/web/guest/pesquisa/-/search/534640/details/normal?l=1" TargetMode="External"/><Relationship Id="rId40" Type="http://schemas.openxmlformats.org/officeDocument/2006/relationships/hyperlink" Target="https://dre.pt/web/guest/pesquisa/-/search/108086623/details/normal?l=1" TargetMode="External"/><Relationship Id="rId5" Type="http://schemas.openxmlformats.org/officeDocument/2006/relationships/numbering" Target="numbering.xml"/><Relationship Id="rId15" Type="http://schemas.openxmlformats.org/officeDocument/2006/relationships/hyperlink" Target="https://dre.pt/web/guest/pesquisa/-/search/334116/details/normal?l=1" TargetMode="External"/><Relationship Id="rId23" Type="http://schemas.openxmlformats.org/officeDocument/2006/relationships/hyperlink" Target="https://dre.pt/web/guest/pesquisa/-/search/108086623/details/normal?l=1" TargetMode="External"/><Relationship Id="rId28" Type="http://schemas.openxmlformats.org/officeDocument/2006/relationships/hyperlink" Target="https://dre.pt/web/guest/pesquisa/-/search/108086623/details/normal?l=1" TargetMode="External"/><Relationship Id="rId36" Type="http://schemas.openxmlformats.org/officeDocument/2006/relationships/hyperlink" Target="https://dre.pt/web/guest/pesquisa/-/search/376273/details/normal?l=1" TargetMode="External"/><Relationship Id="rId10" Type="http://schemas.openxmlformats.org/officeDocument/2006/relationships/endnotes" Target="endnotes.xml"/><Relationship Id="rId19" Type="http://schemas.openxmlformats.org/officeDocument/2006/relationships/hyperlink" Target="https://dre.pt/web/guest/pesquisa/-/search/334116/details/normal?l=1" TargetMode="External"/><Relationship Id="rId31" Type="http://schemas.openxmlformats.org/officeDocument/2006/relationships/hyperlink" Target="https://dre.pt/web/guest/pesquisa/-/search/108086623/details/normal?l=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e.pt/application/external/eurolex?14L0068" TargetMode="External"/><Relationship Id="rId22" Type="http://schemas.openxmlformats.org/officeDocument/2006/relationships/hyperlink" Target="https://dre.pt/web/guest/pesquisa/-/search/106663844/details/normal?l=1" TargetMode="External"/><Relationship Id="rId27" Type="http://schemas.openxmlformats.org/officeDocument/2006/relationships/hyperlink" Target="https://dre.pt/web/guest/pesquisa/-/search/106663844/details/normal?l=1" TargetMode="External"/><Relationship Id="rId30" Type="http://schemas.openxmlformats.org/officeDocument/2006/relationships/hyperlink" Target="https://dre.pt/web/guest/pesquisa/-/search/108086623/details/normal?l=1" TargetMode="External"/><Relationship Id="rId35" Type="http://schemas.openxmlformats.org/officeDocument/2006/relationships/hyperlink" Target="https://dre.pt/web/guest/pesquisa/-/search/108086623/details/normal?l=1"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IPQDOC-510-64142</_dlc_DocId>
    <_dlc_DocIdUrl xmlns="716b16a7-de2f-47cc-9eaa-991bdb9199e1">
      <Url>http://intranet.ipq.local:9999/DAESPQ/_layouts/DocIdRedir.aspx?ID=IPQDOC-510-64142</Url>
      <Description>IPQDOC-510-64142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9BD0D1E242BD84DAD06714739C3A1A0" ma:contentTypeVersion="4" ma:contentTypeDescription="Create a new document." ma:contentTypeScope="" ma:versionID="055346d4cc01b5ef665334b30b81b799">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3AB68-AD2A-415F-9C23-634C4D46A9EF}">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ABF58C5B-2D7E-43B4-99F4-BE38AE3F97E4}">
  <ds:schemaRefs>
    <ds:schemaRef ds:uri="http://schemas.microsoft.com/sharepoint/v3/contenttype/forms"/>
  </ds:schemaRefs>
</ds:datastoreItem>
</file>

<file path=customXml/itemProps3.xml><?xml version="1.0" encoding="utf-8"?>
<ds:datastoreItem xmlns:ds="http://schemas.openxmlformats.org/officeDocument/2006/customXml" ds:itemID="{DFCFBCA8-3E1F-4248-AFB1-477877819AA5}">
  <ds:schemaRefs>
    <ds:schemaRef ds:uri="http://schemas.microsoft.com/sharepoint/events"/>
  </ds:schemaRefs>
</ds:datastoreItem>
</file>

<file path=customXml/itemProps4.xml><?xml version="1.0" encoding="utf-8"?>
<ds:datastoreItem xmlns:ds="http://schemas.openxmlformats.org/officeDocument/2006/customXml" ds:itemID="{AB8B6997-F2B4-4609-A927-4F95BD44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12427</Words>
  <Characters>70834</Characters>
  <Application>Microsoft Office Word</Application>
  <DocSecurity>0</DocSecurity>
  <Lines>590</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Lídia Jacob</dc:creator>
  <cp:keywords/>
  <dc:description/>
  <cp:lastModifiedBy>Liu, Lei</cp:lastModifiedBy>
  <cp:revision>6</cp:revision>
  <dcterms:created xsi:type="dcterms:W3CDTF">2019-09-02T08:33:00Z</dcterms:created>
  <dcterms:modified xsi:type="dcterms:W3CDTF">2019-11-25T05:37:00Z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cb65833c-bb6d-4ec3-9308-0ee31ca36e07</vt:lpwstr>
  </property>
  <property fmtid="{D5CDD505-2E9C-101B-9397-08002B2CF9AE}" pid="3" name="ContentTypeId">
    <vt:lpwstr>0x01010029BD0D1E242BD84DAD06714739C3A1A0</vt:lpwstr>
  </property>
</Properties>
</file>