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836" w14:textId="77777777" w:rsidR="001D6E66" w:rsidRPr="00A87CD2" w:rsidRDefault="001D6E66" w:rsidP="001D6E66">
      <w:pPr>
        <w:spacing w:after="0" w:line="240" w:lineRule="auto"/>
        <w:jc w:val="center"/>
        <w:rPr>
          <w:b/>
          <w:sz w:val="28"/>
          <w:szCs w:val="28"/>
          <w:rFonts w:ascii="Times New Roman" w:eastAsia="Times New Roman" w:hAnsi="Times New Roman" w:cs="Times New Roman"/>
        </w:rPr>
      </w:pPr>
      <w:r>
        <w:rPr>
          <w:b/>
          <w:sz w:val="28"/>
          <w:rFonts w:ascii="Times New Roman" w:hAnsi="Times New Roman"/>
        </w:rPr>
        <w:t xml:space="preserve">Nariadenie č. …/2022 z ...</w:t>
      </w:r>
      <w:r>
        <w:rPr>
          <w:b/>
          <w:sz w:val="28"/>
          <w:rFonts w:ascii="Times New Roman" w:hAnsi="Times New Roman"/>
        </w:rPr>
        <w:t xml:space="preserve"> </w:t>
      </w:r>
      <w:r>
        <w:rPr>
          <w:b/>
          <w:sz w:val="28"/>
          <w:rFonts w:ascii="Times New Roman" w:hAnsi="Times New Roman"/>
        </w:rPr>
        <w:t xml:space="preserve">... o</w:t>
      </w:r>
    </w:p>
    <w:p w14:paraId="779AB31D" w14:textId="77777777" w:rsidR="00776125" w:rsidRPr="00776125" w:rsidRDefault="00776125" w:rsidP="00776125">
      <w:pPr>
        <w:spacing w:after="0" w:line="240" w:lineRule="auto"/>
        <w:jc w:val="center"/>
        <w:rPr>
          <w:b/>
          <w:sz w:val="28"/>
          <w:szCs w:val="28"/>
          <w:rFonts w:ascii="Times New Roman" w:eastAsia="Times New Roman" w:hAnsi="Times New Roman" w:cs="Times New Roman"/>
        </w:rPr>
      </w:pPr>
      <w:r>
        <w:rPr>
          <w:b/>
          <w:sz w:val="28"/>
          <w:rFonts w:ascii="Times New Roman" w:hAnsi="Times New Roman"/>
        </w:rPr>
        <w:t xml:space="preserve">dani z mimoriadneho zisku</w:t>
      </w:r>
      <w:r>
        <w:rPr>
          <w:b/>
          <w:sz w:val="28"/>
          <w:rFonts w:ascii="Times New Roman" w:hAnsi="Times New Roman"/>
        </w:rPr>
        <w:t xml:space="preserve"> </w:t>
      </w:r>
    </w:p>
    <w:p w14:paraId="04D65759" w14:textId="77777777" w:rsidR="000450C1" w:rsidRDefault="000450C1"/>
    <w:p w14:paraId="2DE1B5E5" w14:textId="77777777" w:rsidR="001D6E66" w:rsidRDefault="001D6E66"/>
    <w:p w14:paraId="470BCD62" w14:textId="77777777" w:rsidR="001D6E66" w:rsidRDefault="001D6E66" w:rsidP="001D6E66">
      <w:pPr>
        <w:pStyle w:val="ListParagraph"/>
        <w:keepNext/>
        <w:numPr>
          <w:ilvl w:val="0"/>
          <w:numId w:val="4"/>
        </w:numPr>
        <w:spacing w:before="240" w:after="0" w:line="240" w:lineRule="auto"/>
        <w:jc w:val="center"/>
        <w:rPr>
          <w:b/>
          <w:bCs/>
          <w:sz w:val="24"/>
          <w:szCs w:val="24"/>
          <w:rFonts w:ascii="Times New Roman" w:hAnsi="Times New Roman" w:cs="Times New Roman"/>
        </w:rPr>
      </w:pPr>
      <w:r>
        <w:rPr>
          <w:b/>
          <w:sz w:val="24"/>
          <w:rFonts w:ascii="Times New Roman" w:hAnsi="Times New Roman"/>
        </w:rPr>
        <w:t xml:space="preserve">Výnimka z pravidiel zákona CIII z roku 2011 o dani z výrobkov v oblasti verejného zdravia</w:t>
      </w:r>
      <w:r>
        <w:rPr>
          <w:b/>
          <w:sz w:val="24"/>
          <w:rFonts w:ascii="Times New Roman" w:hAnsi="Times New Roman"/>
        </w:rPr>
        <w:t xml:space="preserve"> </w:t>
      </w:r>
    </w:p>
    <w:p w14:paraId="2AD31579" w14:textId="77777777" w:rsidR="001D6E66" w:rsidRDefault="001D6E66" w:rsidP="001D6E66">
      <w:pPr>
        <w:keepNext/>
        <w:spacing w:before="240" w:after="0" w:line="240" w:lineRule="auto"/>
        <w:ind w:left="142"/>
        <w:rPr>
          <w:rFonts w:ascii="Times New Roman" w:hAnsi="Times New Roman" w:cs="Times New Roman"/>
          <w:sz w:val="24"/>
          <w:szCs w:val="24"/>
        </w:rPr>
      </w:pPr>
    </w:p>
    <w:p w14:paraId="7EEB99DF" w14:textId="77777777" w:rsidR="001D6E66" w:rsidRPr="001D6E66" w:rsidRDefault="001D6E66" w:rsidP="001D6E66">
      <w:pPr>
        <w:keepNext/>
        <w:spacing w:before="240" w:after="0" w:line="240" w:lineRule="auto"/>
        <w:ind w:left="142"/>
        <w:jc w:val="center"/>
        <w:rPr>
          <w:b/>
          <w:bCs/>
          <w:sz w:val="24"/>
          <w:szCs w:val="24"/>
          <w:rFonts w:ascii="Times New Roman" w:hAnsi="Times New Roman" w:cs="Times New Roman"/>
        </w:rPr>
      </w:pPr>
      <w:r>
        <w:rPr>
          <w:b/>
          <w:sz w:val="24"/>
          <w:rFonts w:ascii="Times New Roman" w:hAnsi="Times New Roman"/>
        </w:rPr>
        <w:t xml:space="preserve">Oddiel 12</w:t>
      </w:r>
    </w:p>
    <w:p w14:paraId="2F7AF4D4" w14:textId="77777777" w:rsidR="001D6E66" w:rsidRDefault="001D6E66" w:rsidP="001D6E66">
      <w:pPr>
        <w:keepNext/>
        <w:autoSpaceDE w:val="0"/>
        <w:autoSpaceDN w:val="0"/>
        <w:spacing w:before="120" w:after="0" w:line="240" w:lineRule="auto"/>
        <w:ind w:firstLine="426"/>
        <w:jc w:val="both"/>
        <w:rPr>
          <w:rFonts w:ascii="Times New Roman" w:hAnsi="Times New Roman" w:cs="Times New Roman"/>
          <w:sz w:val="24"/>
          <w:szCs w:val="24"/>
        </w:rPr>
      </w:pPr>
    </w:p>
    <w:p w14:paraId="1B0F2363" w14:textId="77777777" w:rsidR="00776125" w:rsidRDefault="00776125" w:rsidP="00776125">
      <w:pPr>
        <w:keepNext/>
        <w:autoSpaceDE w:val="0"/>
        <w:autoSpaceDN w:val="0"/>
        <w:spacing w:before="120" w:after="0" w:line="240" w:lineRule="auto"/>
        <w:ind w:firstLine="426"/>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Odchylne od oddielu 1 zákona CIII z roku 2011 o dani z výrobkov v oblasti verejného zdravia (ďalej len</w:t>
      </w:r>
      <w:r>
        <w:rPr>
          <w:sz w:val="24"/>
          <w:rFonts w:ascii="Times New Roman" w:hAnsi="Times New Roman"/>
        </w:rPr>
        <w:t xml:space="preserve"> </w:t>
      </w:r>
      <w:r>
        <w:rPr>
          <w:sz w:val="24"/>
          <w:rFonts w:ascii="Times New Roman" w:hAnsi="Times New Roman"/>
        </w:rPr>
        <w:t xml:space="preserve">„zákon Neta“), na účely zákona Neta, sa uplatňuje toto vymedzenie pojmov:</w:t>
      </w:r>
    </w:p>
    <w:p w14:paraId="2ECD538C" w14:textId="77777777" w:rsidR="00776125"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sz w:val="24"/>
          <w:szCs w:val="24"/>
          <w:rFonts w:ascii="Times New Roman" w:hAnsi="Times New Roman" w:cs="Times New Roman"/>
        </w:rPr>
      </w:pPr>
      <w:r>
        <w:rPr>
          <w:sz w:val="24"/>
          <w:i/>
          <w:rFonts w:ascii="Times New Roman" w:hAnsi="Times New Roman"/>
        </w:rPr>
        <w:t xml:space="preserve">číslo VTSZ</w:t>
      </w:r>
      <w:r>
        <w:rPr>
          <w:sz w:val="24"/>
          <w:rFonts w:ascii="Times New Roman" w:hAnsi="Times New Roman"/>
        </w:rPr>
        <w:t xml:space="preserve">: položka colného sadzobníka podľa kombinovanej nomenklatúry uvedenej v prílohe I k nariadeniu Rady (EHS) č. 2658/87 z 23. júla 1987 o colnej a štatistickej nomenklatúre a o Spoločnom colnom sadzobníku, v znení platnom k 15. máju 2022;</w:t>
      </w:r>
    </w:p>
    <w:p w14:paraId="160AFFBF" w14:textId="77777777" w:rsidR="00776125" w:rsidRPr="003858EF"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sz w:val="24"/>
          <w:szCs w:val="24"/>
          <w:rFonts w:ascii="Times New Roman" w:hAnsi="Times New Roman" w:cs="Times New Roman"/>
        </w:rPr>
      </w:pPr>
      <w:r>
        <w:rPr>
          <w:sz w:val="24"/>
          <w:i/>
          <w:iCs/>
          <w:rFonts w:ascii="Times New Roman" w:hAnsi="Times New Roman"/>
        </w:rPr>
        <w:t xml:space="preserve">sirup:</w:t>
      </w:r>
      <w:r>
        <w:rPr>
          <w:sz w:val="24"/>
          <w:rFonts w:ascii="Times New Roman" w:hAnsi="Times New Roman"/>
        </w:rPr>
        <w:t xml:space="preserve"> ovocný sirup podľa Codex Alimentarius Hungaricus, sirup na báze vody a extraktu podľa Codex Alimentarius Hungaricus a prípravok spadajúci pod číslo VTSZ 2106, ktorý sa používa na prípravu nápoja s chuťou a vôňou typickou pre jeho názov, vyrobený z cukru, cukrového sirupu alebo sladidiel, s pridanými arómami, prídavnými látkami alebo ich kombináciou.</w:t>
      </w:r>
    </w:p>
    <w:p w14:paraId="3F020CB7" w14:textId="77777777" w:rsidR="00776125" w:rsidRPr="000659B4" w:rsidRDefault="00776125" w:rsidP="00776125">
      <w:pPr>
        <w:tabs>
          <w:tab w:val="left" w:pos="1418"/>
        </w:tabs>
        <w:spacing w:before="120" w:after="0" w:line="240" w:lineRule="auto"/>
        <w:ind w:firstLine="426"/>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Odchylne od oddielu 2 zákona Neta podlieha spotrebiteľsky balený výrobok uvedený v </w:t>
      </w:r>
      <w:r>
        <w:rPr>
          <w:sz w:val="24"/>
          <w:i/>
          <w:rFonts w:ascii="Times New Roman" w:hAnsi="Times New Roman"/>
        </w:rPr>
        <w:t xml:space="preserve">prílohe 2 </w:t>
      </w:r>
      <w:r>
        <w:rPr>
          <w:sz w:val="24"/>
          <w:rFonts w:ascii="Times New Roman" w:hAnsi="Times New Roman"/>
        </w:rPr>
        <w:t xml:space="preserve">dani z výrobkov v oblasti verejného zdravia.</w:t>
      </w:r>
      <w:r>
        <w:rPr>
          <w:sz w:val="24"/>
          <w:rFonts w:ascii="Times New Roman" w:hAnsi="Times New Roman"/>
        </w:rPr>
        <w:t xml:space="preserve"> </w:t>
      </w:r>
    </w:p>
    <w:p w14:paraId="4CAEA983" w14:textId="77777777" w:rsidR="00776125" w:rsidRPr="00BF0126" w:rsidRDefault="00776125" w:rsidP="00776125">
      <w:pPr>
        <w:pStyle w:val="ListParagraph"/>
        <w:tabs>
          <w:tab w:val="left" w:pos="1418"/>
        </w:tabs>
        <w:spacing w:before="120" w:after="0" w:line="240" w:lineRule="auto"/>
        <w:ind w:left="0" w:firstLine="426"/>
        <w:contextualSpacing w:val="0"/>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Odchylne od oddielu 6 zákona Neta sa výška dane určí uplatnením sadzby uvedenej v tabuľke v </w:t>
      </w:r>
      <w:r>
        <w:rPr>
          <w:sz w:val="24"/>
          <w:i/>
          <w:rFonts w:ascii="Times New Roman" w:hAnsi="Times New Roman"/>
        </w:rPr>
        <w:t xml:space="preserve">prílohe 2</w:t>
      </w:r>
      <w:r>
        <w:rPr>
          <w:sz w:val="24"/>
          <w:rFonts w:ascii="Times New Roman" w:hAnsi="Times New Roman"/>
        </w:rPr>
        <w:t xml:space="preserve">.</w:t>
      </w:r>
    </w:p>
    <w:p w14:paraId="63A9E90B" w14:textId="77777777" w:rsidR="00776125" w:rsidRDefault="00776125" w:rsidP="00776125">
      <w:pPr>
        <w:shd w:val="clear" w:color="auto" w:fill="FFFFFF" w:themeFill="background1"/>
        <w:spacing w:before="240" w:after="0" w:line="240" w:lineRule="auto"/>
        <w:ind w:firstLine="426"/>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Oddiel 10/A ods. 5 až 6 zákona Neta sa neuplatňujú.</w:t>
      </w:r>
      <w:r>
        <w:rPr>
          <w:sz w:val="24"/>
          <w:rFonts w:ascii="Times New Roman" w:hAnsi="Times New Roman"/>
        </w:rPr>
        <w:t xml:space="preserve"> </w:t>
      </w:r>
    </w:p>
    <w:p w14:paraId="085E3EC4" w14:textId="77777777" w:rsidR="001D6E66" w:rsidRDefault="00776125" w:rsidP="00776125">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Návrh tohto oddielu bol vopred oznámený, ako sa stanovuje v článkoch 5 – 7 smernice Európskeho parlamentu a Rady (EÚ) 2015/1535 z 9. septembra 2015, ktorou sa stanovuje postup pri poskytovaní informácií v oblasti technických predpisov a pravidiel vzťahujúcich sa na služby informačnej spoločnosti.</w:t>
      </w:r>
      <w:r>
        <w:rPr>
          <w:sz w:val="24"/>
          <w:rFonts w:ascii="Times New Roman" w:hAnsi="Times New Roman"/>
        </w:rPr>
        <w:t xml:space="preserve"> </w:t>
      </w:r>
    </w:p>
    <w:p w14:paraId="229A8AAB" w14:textId="77777777" w:rsidR="001D6E66" w:rsidRDefault="001D6E66"/>
    <w:p w14:paraId="1DC69512" w14:textId="77777777" w:rsidR="001D6E66" w:rsidRPr="00041338" w:rsidRDefault="001D6E66" w:rsidP="001D6E66">
      <w:pPr>
        <w:pStyle w:val="ListParagraph"/>
        <w:keepNext/>
        <w:spacing w:before="240" w:after="240" w:line="240" w:lineRule="auto"/>
        <w:ind w:left="0"/>
        <w:contextualSpacing w:val="0"/>
        <w:jc w:val="center"/>
        <w:rPr>
          <w:b/>
          <w:bCs/>
          <w:sz w:val="24"/>
          <w:szCs w:val="24"/>
          <w:rFonts w:ascii="Times New Roman" w:hAnsi="Times New Roman" w:cs="Times New Roman"/>
        </w:rPr>
      </w:pPr>
      <w:r>
        <w:rPr>
          <w:b/>
          <w:sz w:val="24"/>
          <w:rFonts w:ascii="Times New Roman" w:hAnsi="Times New Roman"/>
        </w:rPr>
        <w:t xml:space="preserve">13.</w:t>
      </w:r>
      <w:r>
        <w:rPr>
          <w:b/>
          <w:sz w:val="24"/>
          <w:rFonts w:ascii="Times New Roman" w:hAnsi="Times New Roman"/>
        </w:rPr>
        <w:t xml:space="preserve"> </w:t>
      </w:r>
      <w:r>
        <w:rPr>
          <w:b/>
          <w:sz w:val="24"/>
          <w:rFonts w:ascii="Times New Roman" w:hAnsi="Times New Roman"/>
        </w:rPr>
        <w:t xml:space="preserve">Uzákonenie ustanovení</w:t>
      </w:r>
    </w:p>
    <w:p w14:paraId="665189EF" w14:textId="77777777" w:rsidR="001D6E66" w:rsidRDefault="001D6E66" w:rsidP="001D6E66">
      <w:pPr>
        <w:keepNext/>
        <w:spacing w:before="120" w:after="0" w:line="240" w:lineRule="auto"/>
        <w:rPr>
          <w:rFonts w:ascii="Times New Roman" w:hAnsi="Times New Roman" w:cs="Times New Roman"/>
          <w:caps/>
          <w:sz w:val="24"/>
          <w:szCs w:val="24"/>
        </w:rPr>
      </w:pPr>
    </w:p>
    <w:p w14:paraId="61259114" w14:textId="4995FF7B" w:rsidR="001D6E66" w:rsidRPr="001D6E66" w:rsidRDefault="002375C8" w:rsidP="001D6E66">
      <w:pPr>
        <w:keepNext/>
        <w:spacing w:before="120" w:after="0" w:line="240" w:lineRule="auto"/>
        <w:jc w:val="center"/>
        <w:rPr>
          <w:b/>
          <w:caps/>
          <w:sz w:val="24"/>
          <w:szCs w:val="24"/>
          <w:rFonts w:ascii="Times New Roman" w:hAnsi="Times New Roman" w:cs="Times New Roman"/>
        </w:rPr>
      </w:pPr>
      <w:r>
        <w:rPr>
          <w:b/>
          <w:sz w:val="24"/>
          <w:rFonts w:ascii="Times New Roman" w:hAnsi="Times New Roman"/>
        </w:rPr>
        <w:t xml:space="preserve">Oddiel </w:t>
      </w:r>
      <w:r>
        <w:rPr>
          <w:b/>
          <w:sz w:val="24"/>
          <w:caps/>
          <w:rFonts w:ascii="Times New Roman" w:hAnsi="Times New Roman"/>
        </w:rPr>
        <w:t xml:space="preserve">21</w:t>
      </w:r>
    </w:p>
    <w:p w14:paraId="793BA4BF" w14:textId="77777777" w:rsidR="001D6E66" w:rsidRDefault="001D6E66" w:rsidP="001D6E66">
      <w:pPr>
        <w:rPr>
          <w:rFonts w:ascii="Times New Roman" w:hAnsi="Times New Roman" w:cs="Times New Roman"/>
          <w:sz w:val="24"/>
          <w:szCs w:val="24"/>
          <w:lang w:eastAsia="hu-HU"/>
        </w:rPr>
      </w:pPr>
    </w:p>
    <w:p w14:paraId="002C3697" w14:textId="77777777" w:rsidR="001D6E66" w:rsidRDefault="001D6E66" w:rsidP="001D6E66">
      <w:pPr>
        <w:rPr>
          <w:sz w:val="24"/>
          <w:szCs w:val="24"/>
          <w:rFonts w:ascii="Times New Roman" w:hAnsi="Times New Roman" w:cs="Times New Roman"/>
        </w:rPr>
      </w:pPr>
      <w:r>
        <w:rPr>
          <w:sz w:val="24"/>
          <w:rFonts w:ascii="Times New Roman" w:hAnsi="Times New Roman"/>
        </w:rPr>
        <w:t xml:space="preserve">Toto nariadenie nadobúda účinnosť 1. júla 2022.</w:t>
      </w:r>
    </w:p>
    <w:p w14:paraId="3B36F46E" w14:textId="77777777" w:rsidR="001D6E66" w:rsidRDefault="001D6E66" w:rsidP="001D6E66">
      <w:pPr>
        <w:rPr>
          <w:rFonts w:ascii="Times New Roman" w:hAnsi="Times New Roman" w:cs="Times New Roman"/>
          <w:sz w:val="24"/>
          <w:szCs w:val="24"/>
          <w:lang w:eastAsia="hu-HU"/>
        </w:rPr>
      </w:pPr>
    </w:p>
    <w:p w14:paraId="464BF4EE" w14:textId="77777777" w:rsidR="001D6E66" w:rsidRDefault="001D6E66" w:rsidP="001D6E66">
      <w:pPr>
        <w:spacing w:after="0" w:line="240" w:lineRule="auto"/>
        <w:jc w:val="right"/>
        <w:rPr>
          <w:rFonts w:ascii="Times New Roman" w:hAnsi="Times New Roman" w:cs="Times New Roman"/>
          <w:i/>
          <w:sz w:val="24"/>
          <w:szCs w:val="24"/>
          <w:lang w:eastAsia="hu-HU"/>
        </w:rPr>
      </w:pPr>
    </w:p>
    <w:p w14:paraId="6B0035EF" w14:textId="77777777" w:rsidR="001D6E66" w:rsidRDefault="001D6E66" w:rsidP="001D6E66">
      <w:pPr>
        <w:spacing w:after="0" w:line="240" w:lineRule="auto"/>
        <w:jc w:val="right"/>
        <w:rPr>
          <w:rFonts w:ascii="Times New Roman" w:hAnsi="Times New Roman" w:cs="Times New Roman"/>
          <w:i/>
          <w:sz w:val="24"/>
          <w:szCs w:val="24"/>
          <w:lang w:eastAsia="hu-HU"/>
        </w:rPr>
      </w:pPr>
    </w:p>
    <w:p w14:paraId="02220C1C" w14:textId="77777777" w:rsidR="00776125" w:rsidRPr="00776125" w:rsidRDefault="00776125" w:rsidP="00776125">
      <w:pPr>
        <w:pageBreakBefore/>
        <w:spacing w:after="0" w:line="240" w:lineRule="auto"/>
        <w:jc w:val="right"/>
        <w:rPr>
          <w:i/>
          <w:sz w:val="24"/>
          <w:szCs w:val="24"/>
          <w:rFonts w:ascii="Times New Roman" w:eastAsia="Times New Roman" w:hAnsi="Times New Roman" w:cs="Times New Roman"/>
        </w:rPr>
      </w:pPr>
      <w:r>
        <w:rPr>
          <w:i/>
          <w:sz w:val="24"/>
          <w:rFonts w:ascii="Times New Roman" w:hAnsi="Times New Roman"/>
        </w:rPr>
        <w:t xml:space="preserve">Príloha 2 nariadenia vlády č. .../2022 z ...</w:t>
      </w:r>
      <w:r>
        <w:rPr>
          <w:i/>
          <w:sz w:val="24"/>
          <w:rFonts w:ascii="Times New Roman" w:hAnsi="Times New Roman"/>
        </w:rPr>
        <w:t xml:space="preserve"> </w:t>
      </w:r>
    </w:p>
    <w:p w14:paraId="6F37526E" w14:textId="77777777" w:rsidR="00776125" w:rsidRPr="00776125" w:rsidRDefault="00776125" w:rsidP="00776125">
      <w:pPr>
        <w:pStyle w:val="ListParagraph"/>
        <w:tabs>
          <w:tab w:val="left" w:pos="1418"/>
        </w:tabs>
        <w:ind w:firstLine="425"/>
        <w:jc w:val="center"/>
        <w:rPr>
          <w:rFonts w:ascii="Times New Roman" w:hAnsi="Times New Roman" w:cs="Times New Roman"/>
          <w:b/>
          <w:sz w:val="24"/>
          <w:szCs w:val="24"/>
        </w:rPr>
      </w:pPr>
    </w:p>
    <w:p w14:paraId="38623203" w14:textId="77777777" w:rsidR="00776125" w:rsidRPr="00776125" w:rsidRDefault="00776125" w:rsidP="00776125">
      <w:pPr>
        <w:pStyle w:val="ListParagraph"/>
        <w:tabs>
          <w:tab w:val="left" w:pos="1418"/>
        </w:tabs>
        <w:jc w:val="center"/>
        <w:rPr>
          <w:b/>
          <w:sz w:val="24"/>
          <w:szCs w:val="24"/>
          <w:rFonts w:ascii="Times New Roman" w:hAnsi="Times New Roman" w:cs="Times New Roman"/>
        </w:rPr>
      </w:pPr>
      <w:r>
        <w:rPr>
          <w:b/>
          <w:sz w:val="24"/>
          <w:rFonts w:ascii="Times New Roman" w:hAnsi="Times New Roman"/>
        </w:rPr>
        <w:t xml:space="preserve">Výrobky podliehajúce dani z výrobkov v oblasti verejného zdravia</w:t>
      </w:r>
    </w:p>
    <w:p w14:paraId="2A2564CC" w14:textId="77777777" w:rsidR="00776125" w:rsidRPr="00776125" w:rsidRDefault="00776125" w:rsidP="00776125">
      <w:pPr>
        <w:pStyle w:val="ListParagraph"/>
        <w:tabs>
          <w:tab w:val="left" w:pos="1418"/>
        </w:tabs>
        <w:ind w:firstLine="42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9"/>
        <w:gridCol w:w="1032"/>
        <w:gridCol w:w="5173"/>
        <w:gridCol w:w="1886"/>
      </w:tblGrid>
      <w:tr w:rsidR="00776125" w:rsidRPr="00776125" w14:paraId="26C10206" w14:textId="77777777" w:rsidTr="00B040D6">
        <w:tc>
          <w:tcPr>
            <w:tcW w:w="969" w:type="dxa"/>
          </w:tcPr>
          <w:p w14:paraId="7798B96D"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1032" w:type="dxa"/>
          </w:tcPr>
          <w:p w14:paraId="390E8A3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w:t>
            </w:r>
          </w:p>
        </w:tc>
        <w:tc>
          <w:tcPr>
            <w:tcW w:w="5173" w:type="dxa"/>
          </w:tcPr>
          <w:p w14:paraId="7DD8AD4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B</w:t>
            </w:r>
          </w:p>
        </w:tc>
        <w:tc>
          <w:tcPr>
            <w:tcW w:w="1886" w:type="dxa"/>
          </w:tcPr>
          <w:p w14:paraId="7C7B719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w:t>
            </w:r>
          </w:p>
        </w:tc>
      </w:tr>
      <w:tr w:rsidR="00776125" w:rsidRPr="00776125" w14:paraId="4927E312" w14:textId="77777777" w:rsidTr="00B040D6">
        <w:tc>
          <w:tcPr>
            <w:tcW w:w="969" w:type="dxa"/>
          </w:tcPr>
          <w:p w14:paraId="557770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w:t>
            </w:r>
          </w:p>
        </w:tc>
        <w:tc>
          <w:tcPr>
            <w:tcW w:w="1032" w:type="dxa"/>
          </w:tcPr>
          <w:p w14:paraId="6215748F"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C2572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Zdaniteľný tovar</w:t>
            </w:r>
          </w:p>
        </w:tc>
        <w:tc>
          <w:tcPr>
            <w:tcW w:w="1886" w:type="dxa"/>
          </w:tcPr>
          <w:p w14:paraId="739C2AE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Sadzba dane</w:t>
            </w:r>
          </w:p>
        </w:tc>
      </w:tr>
      <w:tr w:rsidR="00776125" w:rsidRPr="00776125" w14:paraId="422A5532" w14:textId="77777777" w:rsidTr="00B040D6">
        <w:tc>
          <w:tcPr>
            <w:tcW w:w="969" w:type="dxa"/>
          </w:tcPr>
          <w:p w14:paraId="1A3F181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w:t>
            </w:r>
          </w:p>
        </w:tc>
        <w:tc>
          <w:tcPr>
            <w:tcW w:w="1032" w:type="dxa"/>
          </w:tcPr>
          <w:p w14:paraId="018ACE3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w:t>
            </w:r>
          </w:p>
        </w:tc>
        <w:tc>
          <w:tcPr>
            <w:tcW w:w="5173" w:type="dxa"/>
            <w:vAlign w:val="center"/>
          </w:tcPr>
          <w:p w14:paraId="4515FADB" w14:textId="77777777" w:rsidR="00776125" w:rsidRPr="00776125" w:rsidRDefault="00776125" w:rsidP="00B040D6">
            <w:pPr>
              <w:pStyle w:val="ListParagraph"/>
              <w:tabs>
                <w:tab w:val="left" w:pos="1418"/>
              </w:tabs>
              <w:spacing w:before="120" w:after="120" w:line="240" w:lineRule="auto"/>
              <w:ind w:left="0"/>
              <w:contextualSpacing w:val="0"/>
              <w:rPr>
                <w:sz w:val="24"/>
                <w:szCs w:val="24"/>
              </w:rPr>
            </w:pPr>
            <w:r>
              <w:rPr>
                <w:sz w:val="24"/>
              </w:rPr>
              <w:t xml:space="preserve">Nealkoholické nápoje</w:t>
            </w:r>
          </w:p>
        </w:tc>
        <w:tc>
          <w:tcPr>
            <w:tcW w:w="1886" w:type="dxa"/>
            <w:shd w:val="clear" w:color="auto" w:fill="E7E6E6" w:themeFill="background2"/>
          </w:tcPr>
          <w:p w14:paraId="77458C75"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1B4887EC" w14:textId="77777777" w:rsidTr="00B040D6">
        <w:tc>
          <w:tcPr>
            <w:tcW w:w="969" w:type="dxa"/>
          </w:tcPr>
          <w:p w14:paraId="6D1340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w:t>
            </w:r>
          </w:p>
        </w:tc>
        <w:tc>
          <w:tcPr>
            <w:tcW w:w="1032" w:type="dxa"/>
          </w:tcPr>
          <w:p w14:paraId="1692A09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aa)</w:t>
            </w:r>
          </w:p>
        </w:tc>
        <w:tc>
          <w:tcPr>
            <w:tcW w:w="5173" w:type="dxa"/>
          </w:tcPr>
          <w:p w14:paraId="1228C151" w14:textId="77777777" w:rsidR="00776125" w:rsidRPr="00776125" w:rsidRDefault="00776125" w:rsidP="00B040D6">
            <w:pPr>
              <w:pStyle w:val="ListParagraph"/>
              <w:tabs>
                <w:tab w:val="left" w:pos="1418"/>
              </w:tabs>
              <w:spacing w:before="120" w:after="120" w:line="240" w:lineRule="auto"/>
              <w:ind w:left="0"/>
              <w:contextualSpacing w:val="0"/>
              <w:jc w:val="both"/>
              <w:rPr>
                <w:sz w:val="24"/>
                <w:szCs w:val="24"/>
              </w:rPr>
            </w:pPr>
            <w:r>
              <w:rPr>
                <w:sz w:val="24"/>
              </w:rPr>
              <w:t xml:space="preserve">výrobky spadajúce pod čísla VTSZ 2009 a 2202, ktoré nie sú energetickými nápojmi ani sirupmi, obsahujúce pridaný cukor, s obsahom cukru presahujúcim 8 gramov na 100 ml, alebo obsahujúce pridaný cukor aj sladidlá,</w:t>
            </w:r>
            <w:r>
              <w:rPr>
                <w:sz w:val="24"/>
              </w:rPr>
              <w:t xml:space="preserve"> </w:t>
            </w:r>
          </w:p>
          <w:p w14:paraId="408CF3D4"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s výnimkou nektárov, ovocných štiav a zeleninových štiav s obsahom ovocia alebo zeleniny aspoň 50 % a</w:t>
            </w:r>
            <w:r>
              <w:rPr>
                <w:sz w:val="24"/>
              </w:rPr>
              <w:t xml:space="preserve"> </w:t>
            </w:r>
          </w:p>
          <w:p w14:paraId="7A72D6B7"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s výnimkou výrobkov obsahujúcich aspoň 50 % mliečnych surovín</w:t>
            </w:r>
            <w:r>
              <w:rPr>
                <w:sz w:val="24"/>
              </w:rPr>
              <w:t xml:space="preserve"> </w:t>
            </w:r>
          </w:p>
          <w:p w14:paraId="22A42E5B" w14:textId="77777777" w:rsidR="00776125" w:rsidRPr="00776125" w:rsidRDefault="00776125" w:rsidP="00B040D6">
            <w:pPr>
              <w:tabs>
                <w:tab w:val="left" w:pos="1418"/>
              </w:tabs>
              <w:spacing w:before="120" w:line="240" w:lineRule="auto"/>
              <w:jc w:val="both"/>
              <w:rPr>
                <w:sz w:val="24"/>
                <w:szCs w:val="24"/>
              </w:rPr>
            </w:pPr>
          </w:p>
        </w:tc>
        <w:tc>
          <w:tcPr>
            <w:tcW w:w="1886" w:type="dxa"/>
          </w:tcPr>
          <w:p w14:paraId="0F9326E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23 HUF/liter</w:t>
            </w:r>
          </w:p>
        </w:tc>
      </w:tr>
      <w:tr w:rsidR="00776125" w:rsidRPr="00776125" w14:paraId="1BCEBC10" w14:textId="77777777" w:rsidTr="00B040D6">
        <w:tc>
          <w:tcPr>
            <w:tcW w:w="969" w:type="dxa"/>
          </w:tcPr>
          <w:p w14:paraId="489322F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4</w:t>
            </w:r>
          </w:p>
        </w:tc>
        <w:tc>
          <w:tcPr>
            <w:tcW w:w="1032" w:type="dxa"/>
          </w:tcPr>
          <w:p w14:paraId="4FB0C9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ab)</w:t>
            </w:r>
          </w:p>
        </w:tc>
        <w:tc>
          <w:tcPr>
            <w:tcW w:w="5173" w:type="dxa"/>
          </w:tcPr>
          <w:p w14:paraId="4C34CB6E" w14:textId="77777777" w:rsidR="00776125" w:rsidRPr="00776125" w:rsidRDefault="00776125" w:rsidP="00B040D6">
            <w:pPr>
              <w:spacing w:before="120" w:after="120" w:line="240" w:lineRule="auto"/>
              <w:jc w:val="both"/>
              <w:rPr>
                <w:sz w:val="24"/>
                <w:szCs w:val="24"/>
              </w:rPr>
            </w:pPr>
            <w:r>
              <w:rPr>
                <w:sz w:val="24"/>
              </w:rPr>
              <w:t xml:space="preserve">výrobky spadajúce pod čísla VTSZ 2009 a 2202, ktoré nie sú energetickými nápojmi ani sirupmi, ktoré neobsahujú pridaný cukor ale obsahujú sladidlá, alebo neobsahujú sladidlá ale obsahujú pridaný cukor, s obsahom cukru nepresahujúcim 8 gramov na 100 ml,</w:t>
            </w:r>
          </w:p>
          <w:p w14:paraId="206D2AE8"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nektárov, ovocných štiav a zeleninových štiav s obsahom ovocia alebo zeleniny aspoň 50 % a</w:t>
            </w:r>
            <w:r>
              <w:rPr>
                <w:sz w:val="24"/>
              </w:rPr>
              <w:t xml:space="preserve"> </w:t>
            </w:r>
          </w:p>
          <w:p w14:paraId="1713C7FF"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výrobkov obsahujúcich aspoň 50 % mliečnych surovín</w:t>
            </w:r>
            <w:r>
              <w:rPr>
                <w:sz w:val="24"/>
              </w:rPr>
              <w:t xml:space="preserve"> </w:t>
            </w:r>
          </w:p>
          <w:p w14:paraId="6CEC4093" w14:textId="77777777" w:rsidR="00776125" w:rsidRPr="00776125" w:rsidRDefault="00776125" w:rsidP="00B040D6">
            <w:pPr>
              <w:spacing w:before="120" w:after="120" w:line="240" w:lineRule="auto"/>
              <w:jc w:val="both"/>
              <w:rPr>
                <w:sz w:val="24"/>
                <w:szCs w:val="24"/>
              </w:rPr>
            </w:pPr>
          </w:p>
        </w:tc>
        <w:tc>
          <w:tcPr>
            <w:tcW w:w="1886" w:type="dxa"/>
          </w:tcPr>
          <w:p w14:paraId="3E76376C" w14:textId="77777777" w:rsidR="00776125" w:rsidRPr="00776125" w:rsidRDefault="00776125" w:rsidP="00B040D6">
            <w:pPr>
              <w:autoSpaceDE w:val="0"/>
              <w:autoSpaceDN w:val="0"/>
              <w:adjustRightInd w:val="0"/>
              <w:spacing w:line="240" w:lineRule="auto"/>
              <w:ind w:firstLine="204"/>
              <w:jc w:val="both"/>
              <w:rPr>
                <w:sz w:val="24"/>
                <w:szCs w:val="24"/>
              </w:rPr>
            </w:pPr>
          </w:p>
          <w:p w14:paraId="5838F2FD" w14:textId="77777777" w:rsidR="00776125" w:rsidRPr="00776125" w:rsidRDefault="00776125" w:rsidP="00B040D6">
            <w:pPr>
              <w:autoSpaceDE w:val="0"/>
              <w:autoSpaceDN w:val="0"/>
              <w:adjustRightInd w:val="0"/>
              <w:spacing w:line="240" w:lineRule="auto"/>
              <w:ind w:firstLine="204"/>
              <w:jc w:val="both"/>
              <w:rPr>
                <w:sz w:val="24"/>
                <w:szCs w:val="24"/>
              </w:rPr>
            </w:pPr>
            <w:r>
              <w:rPr>
                <w:sz w:val="24"/>
              </w:rPr>
              <w:t xml:space="preserve">8 HUF/liter</w:t>
            </w:r>
          </w:p>
        </w:tc>
      </w:tr>
      <w:tr w:rsidR="00776125" w:rsidRPr="00776125" w14:paraId="22AF7D90" w14:textId="77777777" w:rsidTr="00B040D6">
        <w:tc>
          <w:tcPr>
            <w:tcW w:w="969" w:type="dxa"/>
          </w:tcPr>
          <w:p w14:paraId="651177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5</w:t>
            </w:r>
          </w:p>
        </w:tc>
        <w:tc>
          <w:tcPr>
            <w:tcW w:w="1032" w:type="dxa"/>
          </w:tcPr>
          <w:p w14:paraId="6A2AB9B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ac)</w:t>
            </w:r>
          </w:p>
        </w:tc>
        <w:tc>
          <w:tcPr>
            <w:tcW w:w="5173" w:type="dxa"/>
          </w:tcPr>
          <w:p w14:paraId="04247715"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 xml:space="preserve">sirupy obsahujúce pridaný cukor, s obsahom cukru presahujúcim 8 gramov na 100 mililitrov, alebo obsahujúce pridaný cukor aj sladidlá,</w:t>
            </w:r>
          </w:p>
          <w:p w14:paraId="05F917EE"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sirupov na báze extraktu podľa Codex Alimentarius Hungaricus a</w:t>
            </w:r>
          </w:p>
          <w:p w14:paraId="4017BAE3"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sirupov s obsahom ovocia alebo zeleniny aspoň 50 %</w:t>
            </w:r>
          </w:p>
          <w:p w14:paraId="69695D7F"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A34B27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310 HUF/liter</w:t>
            </w:r>
          </w:p>
        </w:tc>
      </w:tr>
      <w:tr w:rsidR="00776125" w:rsidRPr="00776125" w14:paraId="1DBA8A2E" w14:textId="77777777" w:rsidTr="00B040D6">
        <w:tc>
          <w:tcPr>
            <w:tcW w:w="969" w:type="dxa"/>
          </w:tcPr>
          <w:p w14:paraId="4170BA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w:t>
            </w:r>
          </w:p>
        </w:tc>
        <w:tc>
          <w:tcPr>
            <w:tcW w:w="1032" w:type="dxa"/>
          </w:tcPr>
          <w:p w14:paraId="1CA536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ad)</w:t>
            </w:r>
          </w:p>
        </w:tc>
        <w:tc>
          <w:tcPr>
            <w:tcW w:w="5173" w:type="dxa"/>
          </w:tcPr>
          <w:p w14:paraId="09329BB4"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 xml:space="preserve">sirupy, ktoré neobsahujú pridaný cukor ale obsahujú sladidlá, alebo neobsahujú sladidlá ale obsahujú pridaný cukor, s obsahom cukru nepresahujúcim 8 gramov na 100 mililitrov,</w:t>
            </w:r>
          </w:p>
          <w:p w14:paraId="758BF917"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sirupov na báze extraktu podľa Codex Alimentarius Hungaricus a</w:t>
            </w:r>
          </w:p>
          <w:p w14:paraId="15DFEA1C"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s výnimkou sirupov s obsahom ovocia alebo zeleniny aspoň 50 %</w:t>
            </w:r>
          </w:p>
          <w:p w14:paraId="4A24E64C"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4A3DF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105 HUF/liter</w:t>
            </w:r>
          </w:p>
        </w:tc>
      </w:tr>
      <w:tr w:rsidR="00776125" w:rsidRPr="00776125" w14:paraId="74593F67" w14:textId="77777777" w:rsidTr="00B040D6">
        <w:tc>
          <w:tcPr>
            <w:tcW w:w="969" w:type="dxa"/>
          </w:tcPr>
          <w:p w14:paraId="1853CE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7</w:t>
            </w:r>
          </w:p>
        </w:tc>
        <w:tc>
          <w:tcPr>
            <w:tcW w:w="1032" w:type="dxa"/>
          </w:tcPr>
          <w:p w14:paraId="621A129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b)</w:t>
            </w:r>
          </w:p>
        </w:tc>
        <w:tc>
          <w:tcPr>
            <w:tcW w:w="5173" w:type="dxa"/>
            <w:vAlign w:val="center"/>
          </w:tcPr>
          <w:p w14:paraId="1D479D5F" w14:textId="77777777" w:rsidR="00776125" w:rsidRPr="00776125" w:rsidRDefault="00776125" w:rsidP="00B040D6">
            <w:pPr>
              <w:spacing w:before="120" w:after="120" w:line="240" w:lineRule="auto"/>
              <w:rPr>
                <w:sz w:val="24"/>
                <w:szCs w:val="24"/>
              </w:rPr>
            </w:pPr>
            <w:r>
              <w:rPr>
                <w:sz w:val="24"/>
              </w:rPr>
              <w:t xml:space="preserve">Energetické nápoje</w:t>
            </w:r>
          </w:p>
        </w:tc>
        <w:tc>
          <w:tcPr>
            <w:tcW w:w="1886" w:type="dxa"/>
            <w:shd w:val="clear" w:color="auto" w:fill="E7E6E6" w:themeFill="background2"/>
          </w:tcPr>
          <w:p w14:paraId="5F6D04AD"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3275141" w14:textId="77777777" w:rsidTr="00B040D6">
        <w:tc>
          <w:tcPr>
            <w:tcW w:w="969" w:type="dxa"/>
          </w:tcPr>
          <w:p w14:paraId="1EE25B7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8</w:t>
            </w:r>
          </w:p>
        </w:tc>
        <w:tc>
          <w:tcPr>
            <w:tcW w:w="1032" w:type="dxa"/>
          </w:tcPr>
          <w:p w14:paraId="6CDBA03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ba)</w:t>
            </w:r>
          </w:p>
        </w:tc>
        <w:tc>
          <w:tcPr>
            <w:tcW w:w="5173" w:type="dxa"/>
          </w:tcPr>
          <w:p w14:paraId="409F7DA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2009 a 2202 obsahujúce metylxantín, vrátane tých prípadov, keď jedna zo zložiek výrobku obsahuje metylxantín, s obsahom metylxantínu presahujúcim 15 miligramov na 100 mililitrov</w:t>
            </w:r>
            <w:r>
              <w:rPr>
                <w:sz w:val="24"/>
              </w:rPr>
              <w:t xml:space="preserve"> </w:t>
            </w:r>
          </w:p>
        </w:tc>
        <w:tc>
          <w:tcPr>
            <w:tcW w:w="1886" w:type="dxa"/>
          </w:tcPr>
          <w:p w14:paraId="41A572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65 HUF/liter</w:t>
            </w:r>
          </w:p>
        </w:tc>
      </w:tr>
      <w:tr w:rsidR="00776125" w:rsidRPr="00776125" w14:paraId="6CE236A4" w14:textId="77777777" w:rsidTr="00B040D6">
        <w:tc>
          <w:tcPr>
            <w:tcW w:w="969" w:type="dxa"/>
          </w:tcPr>
          <w:p w14:paraId="1664E48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9</w:t>
            </w:r>
          </w:p>
        </w:tc>
        <w:tc>
          <w:tcPr>
            <w:tcW w:w="1032" w:type="dxa"/>
          </w:tcPr>
          <w:p w14:paraId="37A01EE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bb)</w:t>
            </w:r>
          </w:p>
        </w:tc>
        <w:tc>
          <w:tcPr>
            <w:tcW w:w="5173" w:type="dxa"/>
          </w:tcPr>
          <w:p w14:paraId="14CE9189"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2009 a 2202 obsahujúce metylxantín, vrátane tých prípadov, keď jedna zo zložiek výrobku obsahuje metylxantína, ak obsahujú taurín, ženšen, L-arginín alebo ich kombináciu</w:t>
            </w:r>
          </w:p>
        </w:tc>
        <w:tc>
          <w:tcPr>
            <w:tcW w:w="1886" w:type="dxa"/>
          </w:tcPr>
          <w:p w14:paraId="53B1F3C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390 HUF/liter</w:t>
            </w:r>
          </w:p>
        </w:tc>
      </w:tr>
      <w:tr w:rsidR="00776125" w:rsidRPr="00776125" w14:paraId="4F68CE63" w14:textId="77777777" w:rsidTr="00B040D6">
        <w:tc>
          <w:tcPr>
            <w:tcW w:w="969" w:type="dxa"/>
          </w:tcPr>
          <w:p w14:paraId="3D571C8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10</w:t>
            </w:r>
          </w:p>
        </w:tc>
        <w:tc>
          <w:tcPr>
            <w:tcW w:w="1032" w:type="dxa"/>
          </w:tcPr>
          <w:p w14:paraId="51ED3C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w:t>
            </w:r>
          </w:p>
        </w:tc>
        <w:tc>
          <w:tcPr>
            <w:tcW w:w="5173" w:type="dxa"/>
            <w:vAlign w:val="center"/>
          </w:tcPr>
          <w:p w14:paraId="1528B1D5"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 xml:space="preserve">Balené sladené prípravky</w:t>
            </w:r>
          </w:p>
        </w:tc>
        <w:tc>
          <w:tcPr>
            <w:tcW w:w="1886" w:type="dxa"/>
            <w:shd w:val="clear" w:color="auto" w:fill="E7E6E6" w:themeFill="background2"/>
          </w:tcPr>
          <w:p w14:paraId="553AE4C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CD0EA7C" w14:textId="77777777" w:rsidTr="00B040D6">
        <w:tc>
          <w:tcPr>
            <w:tcW w:w="969" w:type="dxa"/>
          </w:tcPr>
          <w:p w14:paraId="02C2891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11</w:t>
            </w:r>
          </w:p>
        </w:tc>
        <w:tc>
          <w:tcPr>
            <w:tcW w:w="1032" w:type="dxa"/>
          </w:tcPr>
          <w:p w14:paraId="7C127BD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ca)</w:t>
            </w:r>
          </w:p>
        </w:tc>
        <w:tc>
          <w:tcPr>
            <w:tcW w:w="5173" w:type="dxa"/>
          </w:tcPr>
          <w:p w14:paraId="6C24E4CE"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1704, 1905, na ktoré sa nevzťahuje písm. </w:t>
            </w:r>
            <w:r>
              <w:rPr>
                <w:sz w:val="24"/>
                <w:i/>
              </w:rPr>
              <w:t xml:space="preserve">d)</w:t>
            </w:r>
            <w:r>
              <w:rPr>
                <w:sz w:val="24"/>
              </w:rPr>
              <w:t xml:space="preserve"> a 2105, obsahujúce pridaný cukor, s obsahom cukru presahujúcim 25 gramov na 100 gramov, alebo obsahujúce pridaný cukor aj sladidlá, okrem výrobkov obsahujúcich najmenej 20 gramov medu na 100 gramov za predpokladu, že obsah cukru nepresahuje 40 gramov na 100 gramov a výrobky spadajúce pod čísla VTSZ 1905 10 a 1905 40</w:t>
            </w:r>
          </w:p>
        </w:tc>
        <w:tc>
          <w:tcPr>
            <w:tcW w:w="1886" w:type="dxa"/>
          </w:tcPr>
          <w:p w14:paraId="5E6AA88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210 HUF/kilogram</w:t>
            </w:r>
          </w:p>
        </w:tc>
      </w:tr>
      <w:tr w:rsidR="00776125" w:rsidRPr="00776125" w14:paraId="42F1CEF1" w14:textId="77777777" w:rsidTr="00B040D6">
        <w:trPr>
          <w:trHeight w:val="2831"/>
        </w:trPr>
        <w:tc>
          <w:tcPr>
            <w:tcW w:w="969" w:type="dxa"/>
          </w:tcPr>
          <w:p w14:paraId="35C078E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12</w:t>
            </w:r>
          </w:p>
        </w:tc>
        <w:tc>
          <w:tcPr>
            <w:tcW w:w="1032" w:type="dxa"/>
          </w:tcPr>
          <w:p w14:paraId="33EB184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cb)</w:t>
            </w:r>
          </w:p>
        </w:tc>
        <w:tc>
          <w:tcPr>
            <w:tcW w:w="5173" w:type="dxa"/>
          </w:tcPr>
          <w:p w14:paraId="5D10086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1704, 1905, na ktoré sa nevzťahuje písm. </w:t>
            </w:r>
            <w:r>
              <w:rPr>
                <w:sz w:val="24"/>
                <w:i/>
              </w:rPr>
              <w:t xml:space="preserve">d)</w:t>
            </w:r>
            <w:r>
              <w:rPr>
                <w:sz w:val="24"/>
              </w:rPr>
              <w:t xml:space="preserve">a 2105, ktoré neobsahujú pridaný cukor ale obsahujú sladidlá, alebo neobsahujú sladidlá ale obsahujú pridaný cukor, s obsahom cukru nepresahujúcim 25 gramov na 100 gramov, s výnimkou</w:t>
            </w:r>
            <w:r>
              <w:rPr>
                <w:sz w:val="24"/>
              </w:rPr>
              <w:t xml:space="preserve"> </w:t>
            </w:r>
          </w:p>
          <w:p w14:paraId="4B1F4DB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výrobkov obsahujúcich najmenej 20 gramov medu na 100 gramov za predpokladu, že obsah cukru nepresahuje 25 gramov na 100 gramov a</w:t>
            </w:r>
            <w:r>
              <w:rPr>
                <w:sz w:val="24"/>
              </w:rPr>
              <w:t xml:space="preserve"> </w:t>
            </w:r>
          </w:p>
          <w:p w14:paraId="0AF5D182"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výrobkov spadajúcich pod čísla VTSZ 1905 10 a 1905 40</w:t>
            </w:r>
          </w:p>
        </w:tc>
        <w:tc>
          <w:tcPr>
            <w:tcW w:w="1886" w:type="dxa"/>
          </w:tcPr>
          <w:p w14:paraId="1373222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65 HUF/kilogram</w:t>
            </w:r>
          </w:p>
        </w:tc>
      </w:tr>
      <w:tr w:rsidR="00776125" w:rsidRPr="00776125" w14:paraId="1D586C74" w14:textId="77777777" w:rsidTr="00B040D6">
        <w:tc>
          <w:tcPr>
            <w:tcW w:w="969" w:type="dxa"/>
          </w:tcPr>
          <w:p w14:paraId="519CC3C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13</w:t>
            </w:r>
          </w:p>
        </w:tc>
        <w:tc>
          <w:tcPr>
            <w:tcW w:w="1032" w:type="dxa"/>
          </w:tcPr>
          <w:p w14:paraId="061057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cc)</w:t>
            </w:r>
          </w:p>
        </w:tc>
        <w:tc>
          <w:tcPr>
            <w:tcW w:w="5173" w:type="dxa"/>
          </w:tcPr>
          <w:p w14:paraId="3BFBB26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1806 s obsahom kakaa menej ako 40 gramov na 100 gramov, obsahujúce pridaný cukor, s obsahom cukru presahujúcim 40 gramov na 100 gramov, alebo obsahujúce pridaný cukor aj sladidlá,</w:t>
            </w:r>
            <w:r>
              <w:rPr>
                <w:sz w:val="24"/>
              </w:rPr>
              <w:t xml:space="preserve"> </w:t>
            </w:r>
          </w:p>
          <w:p w14:paraId="41F7449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s výnimkou výrobkov obsahujúcich aspoň 50 % mliečnych surovín a</w:t>
            </w:r>
          </w:p>
          <w:p w14:paraId="460F8A1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s výnimkou výrobkov, na ktoré sa vzťahuje písmeno ce)</w:t>
            </w:r>
            <w:r>
              <w:rPr>
                <w:sz w:val="24"/>
              </w:rPr>
              <w:t xml:space="preserve"> </w:t>
            </w:r>
          </w:p>
          <w:p w14:paraId="5D32168F" w14:textId="77777777" w:rsidR="00776125" w:rsidRPr="00776125" w:rsidRDefault="00776125" w:rsidP="00B040D6">
            <w:pPr>
              <w:tabs>
                <w:tab w:val="left" w:pos="567"/>
              </w:tabs>
              <w:spacing w:before="120" w:line="240" w:lineRule="auto"/>
              <w:jc w:val="both"/>
              <w:rPr>
                <w:sz w:val="24"/>
                <w:szCs w:val="24"/>
              </w:rPr>
            </w:pPr>
          </w:p>
        </w:tc>
        <w:tc>
          <w:tcPr>
            <w:tcW w:w="1886" w:type="dxa"/>
          </w:tcPr>
          <w:p w14:paraId="6598433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210 HUF/kilogram</w:t>
            </w:r>
          </w:p>
        </w:tc>
      </w:tr>
      <w:tr w:rsidR="00776125" w:rsidRPr="00776125" w14:paraId="7F562C93" w14:textId="77777777" w:rsidTr="00B040D6">
        <w:tc>
          <w:tcPr>
            <w:tcW w:w="969" w:type="dxa"/>
          </w:tcPr>
          <w:p w14:paraId="64456A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14</w:t>
            </w:r>
          </w:p>
        </w:tc>
        <w:tc>
          <w:tcPr>
            <w:tcW w:w="1032" w:type="dxa"/>
          </w:tcPr>
          <w:p w14:paraId="5607C1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cd)</w:t>
            </w:r>
          </w:p>
        </w:tc>
        <w:tc>
          <w:tcPr>
            <w:tcW w:w="5173" w:type="dxa"/>
          </w:tcPr>
          <w:p w14:paraId="029CF412" w14:textId="77777777" w:rsidR="00776125" w:rsidRPr="00776125" w:rsidRDefault="00776125" w:rsidP="00B040D6">
            <w:pPr>
              <w:tabs>
                <w:tab w:val="left" w:pos="567"/>
              </w:tabs>
              <w:spacing w:before="120" w:line="240" w:lineRule="auto"/>
              <w:jc w:val="both"/>
              <w:rPr>
                <w:sz w:val="24"/>
                <w:szCs w:val="24"/>
              </w:rPr>
            </w:pPr>
            <w:r>
              <w:rPr>
                <w:sz w:val="24"/>
              </w:rPr>
              <w:t xml:space="preserve">výrobky spadajúce pod číslo VTSZ 1806 s obsahom kakaa menej ako 40 gramov na 100 gramov, ktoré neobsahujú pridaný cukor ale obsahujú sladidlá, alebo neobsahujú sladidlá ale obsahujú pridaný cukor, s obsahom cukru nepresahujúcim 40 gramov na 100 gramov,</w:t>
            </w:r>
            <w:r>
              <w:rPr>
                <w:sz w:val="24"/>
              </w:rPr>
              <w:t xml:space="preserve"> </w:t>
            </w:r>
          </w:p>
          <w:p w14:paraId="5A4C0631"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s výnimkou výrobkov obsahujúcich aspoň 50 % mliečnych surovín a</w:t>
            </w:r>
            <w:r>
              <w:rPr>
                <w:sz w:val="24"/>
              </w:rPr>
              <w:t xml:space="preserve"> </w:t>
            </w:r>
          </w:p>
          <w:p w14:paraId="319673B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s výnimkou výrobkov, na ktoré sa vzťahuje písmeno ce)</w:t>
            </w:r>
            <w:r>
              <w:rPr>
                <w:sz w:val="24"/>
              </w:rPr>
              <w:t xml:space="preserve"> </w:t>
            </w:r>
          </w:p>
          <w:p w14:paraId="73E25C9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p>
        </w:tc>
        <w:tc>
          <w:tcPr>
            <w:tcW w:w="1886" w:type="dxa"/>
          </w:tcPr>
          <w:p w14:paraId="4E070BA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65 HUF/kilogram</w:t>
            </w:r>
          </w:p>
        </w:tc>
      </w:tr>
      <w:tr w:rsidR="00776125" w:rsidRPr="00776125" w14:paraId="25F8DC2F" w14:textId="77777777" w:rsidTr="00B040D6">
        <w:tc>
          <w:tcPr>
            <w:tcW w:w="969" w:type="dxa"/>
          </w:tcPr>
          <w:p w14:paraId="27F904B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15</w:t>
            </w:r>
          </w:p>
        </w:tc>
        <w:tc>
          <w:tcPr>
            <w:tcW w:w="1032" w:type="dxa"/>
          </w:tcPr>
          <w:p w14:paraId="173741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ce)</w:t>
            </w:r>
          </w:p>
        </w:tc>
        <w:tc>
          <w:tcPr>
            <w:tcW w:w="5173" w:type="dxa"/>
          </w:tcPr>
          <w:p w14:paraId="3DCCC4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1806 10 s obsahom kakaa menej ako 40 gramov na 100 gramov, ktoré obsahujú pridaný cukor a sladidlá, alebo neobsahujú sladidlá ale obsahujú pridaný cukor, s obsahom cukru presahujúcim 40 gramov na 100 gramov</w:t>
            </w:r>
          </w:p>
        </w:tc>
        <w:tc>
          <w:tcPr>
            <w:tcW w:w="1886" w:type="dxa"/>
          </w:tcPr>
          <w:p w14:paraId="73A1EC7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 </w:t>
            </w:r>
            <w:r>
              <w:rPr>
                <w:sz w:val="24"/>
              </w:rPr>
              <w:t xml:space="preserve">110 HUF/kilogram</w:t>
            </w:r>
          </w:p>
        </w:tc>
      </w:tr>
      <w:tr w:rsidR="00776125" w:rsidRPr="00776125" w14:paraId="365CE616" w14:textId="77777777" w:rsidTr="00B040D6">
        <w:tc>
          <w:tcPr>
            <w:tcW w:w="969" w:type="dxa"/>
          </w:tcPr>
          <w:p w14:paraId="5723B9D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16</w:t>
            </w:r>
          </w:p>
        </w:tc>
        <w:tc>
          <w:tcPr>
            <w:tcW w:w="1032" w:type="dxa"/>
          </w:tcPr>
          <w:p w14:paraId="109D1A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cf)</w:t>
            </w:r>
          </w:p>
        </w:tc>
        <w:tc>
          <w:tcPr>
            <w:tcW w:w="5173" w:type="dxa"/>
          </w:tcPr>
          <w:p w14:paraId="760EF04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1806 10 s obsahom kakaa menej ako 40 gramov na 100 gramov, ktoré neobsahujú pridaný cukor ale obsahujú sladidlá, alebo neobsahujú sladidlá ale obsahujú pridaný cukor, s obsahom cukru nepresahujúcim 40 gramov na 100 gramov</w:t>
            </w:r>
          </w:p>
        </w:tc>
        <w:tc>
          <w:tcPr>
            <w:tcW w:w="1886" w:type="dxa"/>
          </w:tcPr>
          <w:p w14:paraId="3624A1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40 HUF/kilogram</w:t>
            </w:r>
            <w:r>
              <w:rPr>
                <w:sz w:val="24"/>
              </w:rPr>
              <w:t xml:space="preserve"> </w:t>
            </w:r>
          </w:p>
        </w:tc>
      </w:tr>
      <w:tr w:rsidR="00776125" w:rsidRPr="00776125" w14:paraId="1DC24482" w14:textId="77777777" w:rsidTr="00B040D6">
        <w:tc>
          <w:tcPr>
            <w:tcW w:w="969" w:type="dxa"/>
          </w:tcPr>
          <w:p w14:paraId="24F3B67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17</w:t>
            </w:r>
          </w:p>
        </w:tc>
        <w:tc>
          <w:tcPr>
            <w:tcW w:w="1032" w:type="dxa"/>
            <w:vMerge w:val="restart"/>
          </w:tcPr>
          <w:p w14:paraId="34AB5F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d)</w:t>
            </w:r>
            <w:r>
              <w:rPr>
                <w:sz w:val="24"/>
              </w:rPr>
              <w:t xml:space="preserve"> </w:t>
            </w:r>
          </w:p>
        </w:tc>
        <w:tc>
          <w:tcPr>
            <w:tcW w:w="5173" w:type="dxa"/>
            <w:vAlign w:val="center"/>
          </w:tcPr>
          <w:p w14:paraId="2D7C7A49" w14:textId="77777777" w:rsidR="00776125" w:rsidRPr="00776125" w:rsidRDefault="00776125" w:rsidP="00B040D6">
            <w:pPr>
              <w:autoSpaceDE w:val="0"/>
              <w:autoSpaceDN w:val="0"/>
              <w:adjustRightInd w:val="0"/>
              <w:spacing w:before="120" w:after="120" w:line="240" w:lineRule="auto"/>
              <w:rPr>
                <w:sz w:val="24"/>
                <w:szCs w:val="24"/>
              </w:rPr>
            </w:pPr>
            <w:r>
              <w:rPr>
                <w:sz w:val="24"/>
              </w:rPr>
              <w:t xml:space="preserve">Slané pochutiny</w:t>
            </w:r>
          </w:p>
        </w:tc>
        <w:tc>
          <w:tcPr>
            <w:tcW w:w="1886" w:type="dxa"/>
            <w:shd w:val="clear" w:color="auto" w:fill="E7E6E6" w:themeFill="background2"/>
          </w:tcPr>
          <w:p w14:paraId="1B6C1DDC"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72530FE" w14:textId="77777777" w:rsidTr="00B040D6">
        <w:trPr>
          <w:trHeight w:val="3033"/>
        </w:trPr>
        <w:tc>
          <w:tcPr>
            <w:tcW w:w="969" w:type="dxa"/>
          </w:tcPr>
          <w:p w14:paraId="40CB02E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18</w:t>
            </w:r>
          </w:p>
        </w:tc>
        <w:tc>
          <w:tcPr>
            <w:tcW w:w="1032" w:type="dxa"/>
            <w:vMerge/>
          </w:tcPr>
          <w:p w14:paraId="473BED74"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1114D2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1904, 1905, 2005 20 20, 2005 99 a 2008 obsahujúce obilniny, zemiaky, zeleninu alebo olejnaté semená, pečené, extrudované, opečené, pufované alebo pražené a vhodné na okamžitú spotrebu, ak</w:t>
            </w:r>
            <w:r>
              <w:rPr>
                <w:sz w:val="24"/>
              </w:rPr>
              <w:t xml:space="preserve"> </w:t>
            </w:r>
          </w:p>
          <w:p w14:paraId="6FCB004D"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 xml:space="preserve">ich obsah soli presahuje 1 gram na 100 gramov, alebo ak</w:t>
            </w:r>
          </w:p>
          <w:p w14:paraId="59D79051"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 xml:space="preserve">ich obsah nasýtených mastných kyselín presahuje 2 gramy na 100 gramov,</w:t>
            </w:r>
            <w:r>
              <w:rPr>
                <w:sz w:val="24"/>
              </w:rPr>
              <w:t xml:space="preserve"> </w:t>
            </w:r>
          </w:p>
          <w:p w14:paraId="3DC8677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s výnimkou chleba a pekárenských výrobkov podľa Codex Alimentarius Hungaricus, s obsahom soli nepresahujúcim 2 gramy na 100 gramov</w:t>
            </w:r>
          </w:p>
        </w:tc>
        <w:tc>
          <w:tcPr>
            <w:tcW w:w="1886" w:type="dxa"/>
          </w:tcPr>
          <w:p w14:paraId="4C370E1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390 HUF/kilogram</w:t>
            </w:r>
          </w:p>
        </w:tc>
      </w:tr>
      <w:tr w:rsidR="00776125" w:rsidRPr="00776125" w14:paraId="354CECFA" w14:textId="77777777" w:rsidTr="00B040D6">
        <w:tc>
          <w:tcPr>
            <w:tcW w:w="969" w:type="dxa"/>
          </w:tcPr>
          <w:p w14:paraId="68D584E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19</w:t>
            </w:r>
          </w:p>
        </w:tc>
        <w:tc>
          <w:tcPr>
            <w:tcW w:w="1032" w:type="dxa"/>
            <w:vMerge w:val="restart"/>
          </w:tcPr>
          <w:p w14:paraId="6258328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e)</w:t>
            </w:r>
          </w:p>
        </w:tc>
        <w:tc>
          <w:tcPr>
            <w:tcW w:w="5173" w:type="dxa"/>
            <w:vAlign w:val="center"/>
          </w:tcPr>
          <w:p w14:paraId="6C96A5F3" w14:textId="77777777" w:rsidR="00776125" w:rsidRPr="00776125" w:rsidRDefault="00776125" w:rsidP="00B040D6">
            <w:pPr>
              <w:autoSpaceDE w:val="0"/>
              <w:autoSpaceDN w:val="0"/>
              <w:adjustRightInd w:val="0"/>
              <w:spacing w:before="120" w:after="120" w:line="240" w:lineRule="auto"/>
              <w:rPr>
                <w:sz w:val="24"/>
                <w:szCs w:val="24"/>
              </w:rPr>
            </w:pPr>
            <w:r>
              <w:rPr>
                <w:sz w:val="24"/>
              </w:rPr>
              <w:t xml:space="preserve">Dochucovadlá</w:t>
            </w:r>
          </w:p>
        </w:tc>
        <w:tc>
          <w:tcPr>
            <w:tcW w:w="1886" w:type="dxa"/>
            <w:vMerge w:val="restart"/>
          </w:tcPr>
          <w:p w14:paraId="6A695DB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390 HUF/kilogram</w:t>
            </w:r>
          </w:p>
          <w:p w14:paraId="673D8B8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alebo</w:t>
            </w:r>
            <w:r>
              <w:rPr>
                <w:sz w:val="24"/>
              </w:rPr>
              <w:t xml:space="preserve"> </w:t>
            </w:r>
          </w:p>
          <w:p w14:paraId="3F1F780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390 HUF/liter</w:t>
            </w:r>
          </w:p>
        </w:tc>
      </w:tr>
      <w:tr w:rsidR="00776125" w:rsidRPr="00776125" w14:paraId="4377DDA7" w14:textId="77777777" w:rsidTr="00B040D6">
        <w:tc>
          <w:tcPr>
            <w:tcW w:w="969" w:type="dxa"/>
          </w:tcPr>
          <w:p w14:paraId="632C086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20</w:t>
            </w:r>
          </w:p>
        </w:tc>
        <w:tc>
          <w:tcPr>
            <w:tcW w:w="1032" w:type="dxa"/>
            <w:vMerge/>
          </w:tcPr>
          <w:p w14:paraId="2B4AA871"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A2CAECC"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 xml:space="preserve">výrobky spadajúce pod čísla VTSZ 2103 a 2104, iné ako počiatočná dojčenská výživa a následná dojčenská výživa, polievky alebo omáčky na priamu spotrebu, ak ich obsah soli presahuje 5 gramov na 100 gramov, s výnimkou</w:t>
            </w:r>
            <w:r>
              <w:rPr>
                <w:sz w:val="24"/>
              </w:rPr>
              <w:t xml:space="preserve"> </w:t>
            </w:r>
          </w:p>
          <w:p w14:paraId="4F3AA758"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 xml:space="preserve">horčice,</w:t>
            </w:r>
            <w:r>
              <w:rPr>
                <w:sz w:val="24"/>
              </w:rPr>
              <w:t xml:space="preserve"> </w:t>
            </w:r>
          </w:p>
          <w:p w14:paraId="1832AFA4"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 xml:space="preserve">kečupu,</w:t>
            </w:r>
          </w:p>
          <w:p w14:paraId="6B88E3CB"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 xml:space="preserve">a solených zeleninových koreniacich prípravkov, ktoré nie sú sušené, drvené ani roztlačené, s obsahom soli nepresahujúcim 15 gramov na 100 gramov</w:t>
            </w:r>
          </w:p>
        </w:tc>
        <w:tc>
          <w:tcPr>
            <w:tcW w:w="1886" w:type="dxa"/>
            <w:vMerge/>
          </w:tcPr>
          <w:p w14:paraId="7D97CBF1"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10DE9CC" w14:textId="77777777" w:rsidTr="00B040D6">
        <w:tc>
          <w:tcPr>
            <w:tcW w:w="969" w:type="dxa"/>
          </w:tcPr>
          <w:p w14:paraId="687F284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w:t>
            </w:r>
          </w:p>
        </w:tc>
        <w:tc>
          <w:tcPr>
            <w:tcW w:w="1032" w:type="dxa"/>
          </w:tcPr>
          <w:p w14:paraId="713A33F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f)</w:t>
            </w:r>
            <w:r>
              <w:rPr>
                <w:sz w:val="24"/>
              </w:rPr>
              <w:t xml:space="preserve"> </w:t>
            </w:r>
          </w:p>
        </w:tc>
        <w:tc>
          <w:tcPr>
            <w:tcW w:w="5173" w:type="dxa"/>
            <w:vAlign w:val="center"/>
          </w:tcPr>
          <w:p w14:paraId="60E87FB1" w14:textId="77777777" w:rsidR="00776125" w:rsidRPr="00776125" w:rsidRDefault="00776125" w:rsidP="00B040D6">
            <w:pPr>
              <w:autoSpaceDE w:val="0"/>
              <w:autoSpaceDN w:val="0"/>
              <w:adjustRightInd w:val="0"/>
              <w:spacing w:before="120" w:after="120" w:line="240" w:lineRule="auto"/>
              <w:rPr>
                <w:sz w:val="24"/>
                <w:szCs w:val="24"/>
              </w:rPr>
            </w:pPr>
            <w:r>
              <w:rPr>
                <w:sz w:val="24"/>
              </w:rPr>
              <w:t xml:space="preserve">Ochutené pivá</w:t>
            </w:r>
          </w:p>
        </w:tc>
        <w:tc>
          <w:tcPr>
            <w:tcW w:w="1886" w:type="dxa"/>
            <w:shd w:val="clear" w:color="auto" w:fill="E7E6E6" w:themeFill="background2"/>
          </w:tcPr>
          <w:p w14:paraId="527797F8"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E48C1B3" w14:textId="77777777" w:rsidTr="00B040D6">
        <w:tc>
          <w:tcPr>
            <w:tcW w:w="969" w:type="dxa"/>
          </w:tcPr>
          <w:p w14:paraId="1DCF15B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22</w:t>
            </w:r>
          </w:p>
        </w:tc>
        <w:tc>
          <w:tcPr>
            <w:tcW w:w="1032" w:type="dxa"/>
          </w:tcPr>
          <w:p w14:paraId="2C8203A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fa)</w:t>
            </w:r>
          </w:p>
        </w:tc>
        <w:tc>
          <w:tcPr>
            <w:tcW w:w="5173" w:type="dxa"/>
          </w:tcPr>
          <w:p w14:paraId="12D3BBAC"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nápoje obsahujúce pivo a pridaný cukor s obsahom cukru presahujúcim 5 gramov na 100 mililitrov alebo obsahujúce pridaný cukor aj sladidlá vrátane tých prípadov, keď jedna zo zložiek výrobku obsahuje cukor alebo sladidlá</w:t>
            </w:r>
          </w:p>
        </w:tc>
        <w:tc>
          <w:tcPr>
            <w:tcW w:w="1886" w:type="dxa"/>
          </w:tcPr>
          <w:p w14:paraId="5FD375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33 HUF/liter</w:t>
            </w:r>
          </w:p>
        </w:tc>
      </w:tr>
      <w:tr w:rsidR="00776125" w:rsidRPr="00776125" w14:paraId="30EE01C1" w14:textId="77777777" w:rsidTr="00B040D6">
        <w:tc>
          <w:tcPr>
            <w:tcW w:w="969" w:type="dxa"/>
          </w:tcPr>
          <w:p w14:paraId="583BD3F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23</w:t>
            </w:r>
          </w:p>
        </w:tc>
        <w:tc>
          <w:tcPr>
            <w:tcW w:w="1032" w:type="dxa"/>
          </w:tcPr>
          <w:p w14:paraId="0A4029D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fb)</w:t>
            </w:r>
          </w:p>
        </w:tc>
        <w:tc>
          <w:tcPr>
            <w:tcW w:w="5173" w:type="dxa"/>
          </w:tcPr>
          <w:p w14:paraId="5A92C96B"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nápoje obsahujúce pivo a bez pridaného cukru, ale obsahujúce sladidlá alebo neobsahujúce sladidlá ale obsahujúce pridaný cukor, s obsahom cukru nepresahujúcim 5 gramov na 100 mililitrov, vrátane tých prípadov, keď jedna zo zložiek výrobku obsahuje cukor alebo sladidlá</w:t>
            </w:r>
          </w:p>
        </w:tc>
        <w:tc>
          <w:tcPr>
            <w:tcW w:w="1886" w:type="dxa"/>
          </w:tcPr>
          <w:p w14:paraId="4C45E8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10 HUF/liter</w:t>
            </w:r>
          </w:p>
        </w:tc>
      </w:tr>
      <w:tr w:rsidR="00776125" w:rsidRPr="00776125" w14:paraId="2D1E8A42" w14:textId="77777777" w:rsidTr="00B040D6">
        <w:tc>
          <w:tcPr>
            <w:tcW w:w="969" w:type="dxa"/>
          </w:tcPr>
          <w:p w14:paraId="35C627E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24</w:t>
            </w:r>
          </w:p>
        </w:tc>
        <w:tc>
          <w:tcPr>
            <w:tcW w:w="1032" w:type="dxa"/>
          </w:tcPr>
          <w:p w14:paraId="0DF573C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g)</w:t>
            </w:r>
            <w:r>
              <w:rPr>
                <w:sz w:val="24"/>
              </w:rPr>
              <w:t xml:space="preserve"> </w:t>
            </w:r>
          </w:p>
        </w:tc>
        <w:tc>
          <w:tcPr>
            <w:tcW w:w="5173" w:type="dxa"/>
            <w:vAlign w:val="center"/>
          </w:tcPr>
          <w:p w14:paraId="1C676F3D" w14:textId="77777777" w:rsidR="00776125" w:rsidRPr="00776125" w:rsidRDefault="00776125" w:rsidP="00B040D6">
            <w:pPr>
              <w:autoSpaceDE w:val="0"/>
              <w:autoSpaceDN w:val="0"/>
              <w:adjustRightInd w:val="0"/>
              <w:spacing w:before="120" w:after="120" w:line="240" w:lineRule="auto"/>
              <w:rPr>
                <w:sz w:val="24"/>
                <w:szCs w:val="24"/>
              </w:rPr>
            </w:pPr>
            <w:r>
              <w:rPr>
                <w:sz w:val="24"/>
              </w:rPr>
              <w:t xml:space="preserve">Alkoholické limonády</w:t>
            </w:r>
          </w:p>
        </w:tc>
        <w:tc>
          <w:tcPr>
            <w:tcW w:w="1886" w:type="dxa"/>
            <w:shd w:val="clear" w:color="auto" w:fill="E7E6E6" w:themeFill="background2"/>
          </w:tcPr>
          <w:p w14:paraId="472337C0"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EC4FD31" w14:textId="77777777" w:rsidTr="00B040D6">
        <w:tc>
          <w:tcPr>
            <w:tcW w:w="969" w:type="dxa"/>
          </w:tcPr>
          <w:p w14:paraId="07AAC0B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25</w:t>
            </w:r>
          </w:p>
        </w:tc>
        <w:tc>
          <w:tcPr>
            <w:tcW w:w="1032" w:type="dxa"/>
          </w:tcPr>
          <w:p w14:paraId="3CB03C4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ga)</w:t>
            </w:r>
          </w:p>
        </w:tc>
        <w:tc>
          <w:tcPr>
            <w:tcW w:w="5173" w:type="dxa"/>
          </w:tcPr>
          <w:p w14:paraId="5004EC58"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nápoje spadajúce pod číslo VTSZ 2208 s obsahom alkoholu nepresahujúcim 5 objem. %, obsahujúce nealkoholické nápoje alebo prídavné látky a pridaný cukor, s obsahom cukru presahujúcim 5 gramov na 100 mililitrov, alebo obsahujúce pridaný cukor aj sladidlá, vrátane tých prípadov, keď jedna zo zložiek výrobku obsahuje cukor alebo sladidlá</w:t>
            </w:r>
          </w:p>
        </w:tc>
        <w:tc>
          <w:tcPr>
            <w:tcW w:w="1886" w:type="dxa"/>
          </w:tcPr>
          <w:p w14:paraId="67EBDE8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33 HUF/liter</w:t>
            </w:r>
          </w:p>
        </w:tc>
      </w:tr>
      <w:tr w:rsidR="00776125" w:rsidRPr="00776125" w14:paraId="43DC3C6E" w14:textId="77777777" w:rsidTr="00B040D6">
        <w:tc>
          <w:tcPr>
            <w:tcW w:w="969" w:type="dxa"/>
          </w:tcPr>
          <w:p w14:paraId="46322F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26</w:t>
            </w:r>
          </w:p>
        </w:tc>
        <w:tc>
          <w:tcPr>
            <w:tcW w:w="1032" w:type="dxa"/>
          </w:tcPr>
          <w:p w14:paraId="0E4E33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gb)</w:t>
            </w:r>
          </w:p>
        </w:tc>
        <w:tc>
          <w:tcPr>
            <w:tcW w:w="5173" w:type="dxa"/>
          </w:tcPr>
          <w:p w14:paraId="691CB57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nápoje spadajúce pod číslo VTSZ 2208 s obsahom alkoholu nepresahujúcim 5 objem. %, neobsahujúce nealkoholické nápoje alebo prídavné látky a pridaný cukor, ale obsahujúce sladidlá alebo neobsahujú sladidlá ale obsahujú pridaný cukor, s obsahom cukru nepresahujúcim 5 gramov na 100 mililitrov, vrátane tých prípadov, keď jedna zo zložiek výrobku obsahuje cukor alebo sladidlá</w:t>
            </w:r>
          </w:p>
        </w:tc>
        <w:tc>
          <w:tcPr>
            <w:tcW w:w="1886" w:type="dxa"/>
          </w:tcPr>
          <w:p w14:paraId="0D6A58C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10 HUF/liter</w:t>
            </w:r>
          </w:p>
        </w:tc>
      </w:tr>
      <w:tr w:rsidR="00776125" w:rsidRPr="00776125" w14:paraId="6FB473BA" w14:textId="77777777" w:rsidTr="00B040D6">
        <w:tc>
          <w:tcPr>
            <w:tcW w:w="969" w:type="dxa"/>
          </w:tcPr>
          <w:p w14:paraId="7307310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27</w:t>
            </w:r>
          </w:p>
        </w:tc>
        <w:tc>
          <w:tcPr>
            <w:tcW w:w="1032" w:type="dxa"/>
          </w:tcPr>
          <w:p w14:paraId="75F00C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h)</w:t>
            </w:r>
          </w:p>
        </w:tc>
        <w:tc>
          <w:tcPr>
            <w:tcW w:w="5173" w:type="dxa"/>
            <w:vAlign w:val="center"/>
          </w:tcPr>
          <w:p w14:paraId="152B67B7" w14:textId="77777777" w:rsidR="00776125" w:rsidRPr="00776125" w:rsidRDefault="00776125" w:rsidP="00B040D6">
            <w:pPr>
              <w:autoSpaceDE w:val="0"/>
              <w:autoSpaceDN w:val="0"/>
              <w:adjustRightInd w:val="0"/>
              <w:spacing w:before="240" w:after="240" w:line="240" w:lineRule="auto"/>
              <w:rPr>
                <w:sz w:val="24"/>
                <w:szCs w:val="24"/>
              </w:rPr>
            </w:pPr>
            <w:r>
              <w:rPr>
                <w:sz w:val="24"/>
              </w:rPr>
              <w:t xml:space="preserve">Ovocné džemy</w:t>
            </w:r>
          </w:p>
        </w:tc>
        <w:tc>
          <w:tcPr>
            <w:tcW w:w="1886" w:type="dxa"/>
            <w:shd w:val="clear" w:color="auto" w:fill="E7E6E6" w:themeFill="background2"/>
          </w:tcPr>
          <w:p w14:paraId="3D3685B6"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F6F0D75" w14:textId="77777777" w:rsidTr="00B040D6">
        <w:tc>
          <w:tcPr>
            <w:tcW w:w="969" w:type="dxa"/>
          </w:tcPr>
          <w:p w14:paraId="78C893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28</w:t>
            </w:r>
          </w:p>
        </w:tc>
        <w:tc>
          <w:tcPr>
            <w:tcW w:w="1032" w:type="dxa"/>
          </w:tcPr>
          <w:p w14:paraId="41DE6C4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ha)</w:t>
            </w:r>
          </w:p>
        </w:tc>
        <w:tc>
          <w:tcPr>
            <w:tcW w:w="5173" w:type="dxa"/>
          </w:tcPr>
          <w:p w14:paraId="0CEC4FD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2007 obsahujúce pridaný cukor, s obsahom cukru presahujúcim 35 gramov na 100 gramov, alebo obsahujúce pridaný cukor aj sladidlá, s výnimkou extra džemov, extra želatín, marmelád a džemov osobitnej kvality podľa Codex Alimentarius Hungaricus</w:t>
            </w:r>
          </w:p>
        </w:tc>
        <w:tc>
          <w:tcPr>
            <w:tcW w:w="1886" w:type="dxa"/>
          </w:tcPr>
          <w:p w14:paraId="60BF84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780 HUF/kilogram</w:t>
            </w:r>
          </w:p>
          <w:p w14:paraId="2E3CD97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B310BE" w14:textId="77777777" w:rsidTr="00B040D6">
        <w:tc>
          <w:tcPr>
            <w:tcW w:w="969" w:type="dxa"/>
          </w:tcPr>
          <w:p w14:paraId="126424F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29</w:t>
            </w:r>
          </w:p>
        </w:tc>
        <w:tc>
          <w:tcPr>
            <w:tcW w:w="1032" w:type="dxa"/>
          </w:tcPr>
          <w:p w14:paraId="26E9C0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hb)</w:t>
            </w:r>
          </w:p>
        </w:tc>
        <w:tc>
          <w:tcPr>
            <w:tcW w:w="5173" w:type="dxa"/>
          </w:tcPr>
          <w:p w14:paraId="707DCED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2007 neobsahujú pridaný cukor ale obsahujú sladidlá, alebo neobsahujú sladidlá ale obsahujú pridaný cukor, s obsahom cukru nepresahujúcim 35 gramov na 100 gramov, s výnimkou extra džemov, extra želatín, marmelád a džemov osobitnej kvality podľa Kódexu Alimentarius Hungaricus</w:t>
            </w:r>
          </w:p>
        </w:tc>
        <w:tc>
          <w:tcPr>
            <w:tcW w:w="1886" w:type="dxa"/>
          </w:tcPr>
          <w:p w14:paraId="257508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260 HUF/kilogram</w:t>
            </w:r>
          </w:p>
          <w:p w14:paraId="15C7090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A841759" w14:textId="77777777" w:rsidTr="00B040D6">
        <w:tc>
          <w:tcPr>
            <w:tcW w:w="969" w:type="dxa"/>
          </w:tcPr>
          <w:p w14:paraId="6395F46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30</w:t>
            </w:r>
          </w:p>
        </w:tc>
        <w:tc>
          <w:tcPr>
            <w:tcW w:w="1032" w:type="dxa"/>
          </w:tcPr>
          <w:p w14:paraId="0ACE1A2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i)</w:t>
            </w:r>
          </w:p>
        </w:tc>
        <w:tc>
          <w:tcPr>
            <w:tcW w:w="5173" w:type="dxa"/>
            <w:vAlign w:val="center"/>
          </w:tcPr>
          <w:p w14:paraId="1FCDA12F" w14:textId="77777777" w:rsidR="00776125" w:rsidRPr="00776125" w:rsidRDefault="00776125" w:rsidP="00B040D6">
            <w:pPr>
              <w:autoSpaceDE w:val="0"/>
              <w:autoSpaceDN w:val="0"/>
              <w:adjustRightInd w:val="0"/>
              <w:spacing w:before="120" w:after="120" w:line="240" w:lineRule="auto"/>
              <w:rPr>
                <w:sz w:val="24"/>
                <w:szCs w:val="24"/>
              </w:rPr>
            </w:pPr>
            <w:r>
              <w:rPr>
                <w:sz w:val="24"/>
              </w:rPr>
              <w:t xml:space="preserve">Delikatesy</w:t>
            </w:r>
          </w:p>
        </w:tc>
        <w:tc>
          <w:tcPr>
            <w:tcW w:w="1886" w:type="dxa"/>
            <w:shd w:val="clear" w:color="auto" w:fill="E7E6E6" w:themeFill="background2"/>
          </w:tcPr>
          <w:p w14:paraId="2EAD543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62BCEAC" w14:textId="77777777" w:rsidTr="00B040D6">
        <w:tc>
          <w:tcPr>
            <w:tcW w:w="969" w:type="dxa"/>
          </w:tcPr>
          <w:p w14:paraId="48807D9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31</w:t>
            </w:r>
          </w:p>
        </w:tc>
        <w:tc>
          <w:tcPr>
            <w:tcW w:w="1032" w:type="dxa"/>
          </w:tcPr>
          <w:p w14:paraId="045FA01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ia)</w:t>
            </w:r>
          </w:p>
        </w:tc>
        <w:tc>
          <w:tcPr>
            <w:tcW w:w="5173" w:type="dxa"/>
          </w:tcPr>
          <w:p w14:paraId="638C7035"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1904, na ktoré sa nevzťahuje písm.</w:t>
            </w:r>
            <w:r>
              <w:rPr>
                <w:sz w:val="24"/>
                <w:i/>
                <w:iCs/>
              </w:rPr>
              <w:t xml:space="preserve"> d)</w:t>
            </w:r>
            <w:r>
              <w:rPr>
                <w:sz w:val="24"/>
              </w:rPr>
              <w:t xml:space="preserve">, číslo VTSZ 2006 a číslo VTSZ 2008, na ktoré sa nevzťahuje písm. </w:t>
            </w:r>
            <w:r>
              <w:rPr>
                <w:sz w:val="24"/>
                <w:i/>
              </w:rPr>
              <w:t xml:space="preserve">d)</w:t>
            </w:r>
            <w:r>
              <w:rPr>
                <w:sz w:val="24"/>
              </w:rPr>
              <w:t xml:space="preserve"> a vyrobené z olejnatých semien, obsahujúce pridaný cukor, s obsahom cukru presahujúcim 15 gramov na 100 gramov, alebo obsahujúce pridaný cukor aj sladidlá, s výnimkou výrobkov s obsahom vlákniny najmenej 8 gramov na 100 gramov</w:t>
            </w:r>
          </w:p>
        </w:tc>
        <w:tc>
          <w:tcPr>
            <w:tcW w:w="1886" w:type="dxa"/>
          </w:tcPr>
          <w:p w14:paraId="1DB99E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210 HUF/kilogram</w:t>
            </w:r>
          </w:p>
          <w:p w14:paraId="750C5BD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EA7D08F" w14:textId="77777777" w:rsidTr="00B040D6">
        <w:tc>
          <w:tcPr>
            <w:tcW w:w="969" w:type="dxa"/>
          </w:tcPr>
          <w:p w14:paraId="09A483A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32</w:t>
            </w:r>
          </w:p>
        </w:tc>
        <w:tc>
          <w:tcPr>
            <w:tcW w:w="1032" w:type="dxa"/>
          </w:tcPr>
          <w:p w14:paraId="075BC8E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ib)</w:t>
            </w:r>
          </w:p>
        </w:tc>
        <w:tc>
          <w:tcPr>
            <w:tcW w:w="5173" w:type="dxa"/>
          </w:tcPr>
          <w:p w14:paraId="67363B7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číslo VTSZ 1904, na ktoré sa nevzťahuje písm. </w:t>
            </w:r>
            <w:r>
              <w:rPr>
                <w:sz w:val="24"/>
                <w:i/>
              </w:rPr>
              <w:t xml:space="preserve">d), </w:t>
            </w:r>
            <w:r>
              <w:rPr>
                <w:sz w:val="24"/>
              </w:rPr>
              <w:t xml:space="preserve">číslo VTSZ 2006 a číslo VTSZ 2008, na ktoré sa nevzťahuje písm. </w:t>
            </w:r>
            <w:r>
              <w:rPr>
                <w:sz w:val="24"/>
                <w:i/>
              </w:rPr>
              <w:t xml:space="preserve">d)</w:t>
            </w:r>
            <w:r>
              <w:rPr>
                <w:sz w:val="24"/>
              </w:rPr>
              <w:t xml:space="preserve"> a vyrobené z olejnatých semien, ktoré neobsahujú pridaný cukor ale obsahujú sladidlá, ale neobsahujúce sladidlá, ale obsahujúce pridaný cukor, s obsahom cukru nepresahujúcim 15 gramov na 100 mililitrov, s výnimkou výrobkov s obsahom vlákniny najmenej 8 gramov na 100 gramov na 100 gramov</w:t>
            </w:r>
          </w:p>
        </w:tc>
        <w:tc>
          <w:tcPr>
            <w:tcW w:w="1886" w:type="dxa"/>
          </w:tcPr>
          <w:p w14:paraId="2693913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65 HUF/kilogram</w:t>
            </w:r>
          </w:p>
          <w:p w14:paraId="06365D59"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9404B72" w14:textId="77777777" w:rsidTr="00B040D6">
        <w:tc>
          <w:tcPr>
            <w:tcW w:w="969" w:type="dxa"/>
          </w:tcPr>
          <w:p w14:paraId="36F8E4C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33</w:t>
            </w:r>
          </w:p>
        </w:tc>
        <w:tc>
          <w:tcPr>
            <w:tcW w:w="1032" w:type="dxa"/>
          </w:tcPr>
          <w:p w14:paraId="056C7BA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j)</w:t>
            </w:r>
          </w:p>
        </w:tc>
        <w:tc>
          <w:tcPr>
            <w:tcW w:w="5173" w:type="dxa"/>
            <w:vAlign w:val="center"/>
          </w:tcPr>
          <w:p w14:paraId="2DD1AB90"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 xml:space="preserve">Balené sladké a solené pečivo</w:t>
            </w:r>
          </w:p>
        </w:tc>
        <w:tc>
          <w:tcPr>
            <w:tcW w:w="1886" w:type="dxa"/>
            <w:shd w:val="clear" w:color="auto" w:fill="E7E6E6" w:themeFill="background2"/>
          </w:tcPr>
          <w:p w14:paraId="5FAF759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721AA5" w14:textId="77777777" w:rsidTr="00B040D6">
        <w:tc>
          <w:tcPr>
            <w:tcW w:w="969" w:type="dxa"/>
          </w:tcPr>
          <w:p w14:paraId="629B49D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34</w:t>
            </w:r>
          </w:p>
        </w:tc>
        <w:tc>
          <w:tcPr>
            <w:tcW w:w="1032" w:type="dxa"/>
          </w:tcPr>
          <w:p w14:paraId="7A6C15B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ja)</w:t>
            </w:r>
          </w:p>
        </w:tc>
        <w:tc>
          <w:tcPr>
            <w:tcW w:w="5173" w:type="dxa"/>
          </w:tcPr>
          <w:p w14:paraId="1F8912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1901 20, 1902 a 1905 90 80, na ktoré sa nevzťahujú písm. </w:t>
            </w:r>
            <w:r>
              <w:rPr>
                <w:sz w:val="24"/>
                <w:i/>
              </w:rPr>
              <w:t xml:space="preserve">c) </w:t>
            </w:r>
            <w:r>
              <w:rPr>
                <w:sz w:val="24"/>
              </w:rPr>
              <w:t xml:space="preserve">a </w:t>
            </w:r>
            <w:r>
              <w:rPr>
                <w:sz w:val="24"/>
                <w:i/>
              </w:rPr>
              <w:t xml:space="preserve">d)</w:t>
            </w:r>
            <w:r>
              <w:rPr>
                <w:sz w:val="24"/>
              </w:rPr>
              <w:t xml:space="preserve">, obsahujúce pridaný cukor, s obsahom cukru presahujúcim 25 gramov na 100 gramov, alebo obsahujúce pridaný cukor aj sladidlá, okrem výrobkov, na ktoré sa vzťahuje písmeno jc)</w:t>
            </w:r>
          </w:p>
        </w:tc>
        <w:tc>
          <w:tcPr>
            <w:tcW w:w="1886" w:type="dxa"/>
          </w:tcPr>
          <w:p w14:paraId="689E35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210 HUF/kilogram</w:t>
            </w:r>
          </w:p>
          <w:p w14:paraId="1879B06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783104C" w14:textId="77777777" w:rsidTr="00B040D6">
        <w:tc>
          <w:tcPr>
            <w:tcW w:w="969" w:type="dxa"/>
          </w:tcPr>
          <w:p w14:paraId="2774E5A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35</w:t>
            </w:r>
          </w:p>
        </w:tc>
        <w:tc>
          <w:tcPr>
            <w:tcW w:w="1032" w:type="dxa"/>
          </w:tcPr>
          <w:p w14:paraId="4A9A72C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jb)</w:t>
            </w:r>
          </w:p>
        </w:tc>
        <w:tc>
          <w:tcPr>
            <w:tcW w:w="5173" w:type="dxa"/>
          </w:tcPr>
          <w:p w14:paraId="22334BD0"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1901 20, 1902 a 1905 90 80, na ktoré sa nevzťahujú písm. </w:t>
            </w:r>
            <w:r>
              <w:rPr>
                <w:sz w:val="24"/>
                <w:i/>
              </w:rPr>
              <w:t xml:space="preserve">c) </w:t>
            </w:r>
            <w:r>
              <w:rPr>
                <w:sz w:val="24"/>
              </w:rPr>
              <w:t xml:space="preserve">a </w:t>
            </w:r>
            <w:r>
              <w:rPr>
                <w:sz w:val="24"/>
                <w:i/>
              </w:rPr>
              <w:t xml:space="preserve">d)</w:t>
            </w:r>
            <w:r>
              <w:rPr>
                <w:sz w:val="24"/>
              </w:rPr>
              <w:t xml:space="preserve">, ktoré neobsahujú pridaný cukor ale obsahujú sladidlá, ale neobsahujúce sladidlá, ale obsahujúce pridaný cukor, s obsahom cukru nepresahujúcim 25 gramov na 100 gramov, okrem výrobkov, na ktoré sa vzťahuje písmeno jc)</w:t>
            </w:r>
          </w:p>
        </w:tc>
        <w:tc>
          <w:tcPr>
            <w:tcW w:w="1886" w:type="dxa"/>
          </w:tcPr>
          <w:p w14:paraId="24F031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65 HUF/kilogram</w:t>
            </w:r>
          </w:p>
          <w:p w14:paraId="2DA895A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5D35A3B" w14:textId="77777777" w:rsidTr="00B040D6">
        <w:tc>
          <w:tcPr>
            <w:tcW w:w="969" w:type="dxa"/>
          </w:tcPr>
          <w:p w14:paraId="3A1516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36</w:t>
            </w:r>
          </w:p>
        </w:tc>
        <w:tc>
          <w:tcPr>
            <w:tcW w:w="1032" w:type="dxa"/>
          </w:tcPr>
          <w:p w14:paraId="560D96C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jc)</w:t>
            </w:r>
          </w:p>
        </w:tc>
        <w:tc>
          <w:tcPr>
            <w:tcW w:w="5173" w:type="dxa"/>
          </w:tcPr>
          <w:p w14:paraId="625F0FE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výrobky spadajúce pod čísla VTSZ 1901 20, 1902 a 1905 90 80, na ktoré sa nevzťahujú písm. </w:t>
            </w:r>
            <w:r>
              <w:rPr>
                <w:sz w:val="24"/>
                <w:i/>
              </w:rPr>
              <w:t xml:space="preserve">c) </w:t>
            </w:r>
            <w:r>
              <w:rPr>
                <w:sz w:val="24"/>
              </w:rPr>
              <w:t xml:space="preserve">a </w:t>
            </w:r>
            <w:r>
              <w:rPr>
                <w:sz w:val="24"/>
                <w:i/>
              </w:rPr>
              <w:t xml:space="preserve">d)</w:t>
            </w:r>
            <w:r>
              <w:rPr>
                <w:sz w:val="24"/>
              </w:rPr>
              <w:t xml:space="preserve">, s obsahom soli presahujúcim 1 gram na 100 gramov</w:t>
            </w:r>
            <w:r>
              <w:rPr>
                <w:sz w:val="24"/>
              </w:rPr>
              <w:t xml:space="preserve"> </w:t>
            </w:r>
          </w:p>
        </w:tc>
        <w:tc>
          <w:tcPr>
            <w:tcW w:w="1886" w:type="dxa"/>
          </w:tcPr>
          <w:p w14:paraId="73F33F6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210 HUF/kilogram</w:t>
            </w:r>
          </w:p>
        </w:tc>
      </w:tr>
    </w:tbl>
    <w:p w14:paraId="28397C27" w14:textId="77777777" w:rsidR="001D6E66" w:rsidRPr="001D6E66" w:rsidRDefault="001D6E66" w:rsidP="00776125">
      <w:pPr>
        <w:spacing w:after="0" w:line="240" w:lineRule="auto"/>
        <w:jc w:val="right"/>
        <w:rPr>
          <w:rFonts w:ascii="Times New Roman" w:hAnsi="Times New Roman" w:cs="Times New Roman"/>
          <w:sz w:val="24"/>
          <w:szCs w:val="24"/>
          <w:lang w:eastAsia="hu-HU"/>
        </w:rPr>
      </w:pPr>
    </w:p>
    <w:sectPr w:rsidR="001D6E66" w:rsidRPr="001D6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9A6"/>
    <w:multiLevelType w:val="hybridMultilevel"/>
    <w:tmpl w:val="44DABACE"/>
    <w:lvl w:ilvl="0" w:tplc="1B68AD3C">
      <w:start w:val="1"/>
      <w:numFmt w:val="decimal"/>
      <w:lvlText w:val="%1. §"/>
      <w:lvlJc w:val="left"/>
      <w:pPr>
        <w:ind w:left="5180" w:hanging="360"/>
      </w:pPr>
      <w:rPr>
        <w:rFonts w:ascii="Times New Roman" w:hAnsi="Times New Roman" w:cs="Times New Roman" w:hint="default"/>
        <w:b/>
        <w:i w:val="0"/>
        <w:sz w:val="24"/>
        <w:szCs w:val="24"/>
      </w:rPr>
    </w:lvl>
    <w:lvl w:ilvl="1" w:tplc="040E0019">
      <w:start w:val="1"/>
      <w:numFmt w:val="lowerLetter"/>
      <w:lvlText w:val="%2."/>
      <w:lvlJc w:val="left"/>
      <w:pPr>
        <w:ind w:left="5551" w:hanging="360"/>
      </w:pPr>
      <w:rPr>
        <w:rFonts w:cs="Times New Roman"/>
      </w:rPr>
    </w:lvl>
    <w:lvl w:ilvl="2" w:tplc="51AA5ACC">
      <w:start w:val="1"/>
      <w:numFmt w:val="decimal"/>
      <w:lvlText w:val="%3."/>
      <w:lvlJc w:val="left"/>
      <w:pPr>
        <w:ind w:left="4472" w:hanging="360"/>
      </w:pPr>
      <w:rPr>
        <w:rFonts w:hint="default"/>
        <w:b w:val="0"/>
        <w:i w:val="0"/>
        <w:sz w:val="24"/>
        <w:szCs w:val="24"/>
      </w:rPr>
    </w:lvl>
    <w:lvl w:ilvl="3" w:tplc="040E000F" w:tentative="1">
      <w:start w:val="1"/>
      <w:numFmt w:val="decimal"/>
      <w:lvlText w:val="%4."/>
      <w:lvlJc w:val="left"/>
      <w:pPr>
        <w:ind w:left="6991" w:hanging="360"/>
      </w:pPr>
      <w:rPr>
        <w:rFonts w:cs="Times New Roman"/>
      </w:rPr>
    </w:lvl>
    <w:lvl w:ilvl="4" w:tplc="040E0019" w:tentative="1">
      <w:start w:val="1"/>
      <w:numFmt w:val="lowerLetter"/>
      <w:lvlText w:val="%5."/>
      <w:lvlJc w:val="left"/>
      <w:pPr>
        <w:ind w:left="7711" w:hanging="360"/>
      </w:pPr>
      <w:rPr>
        <w:rFonts w:cs="Times New Roman"/>
      </w:rPr>
    </w:lvl>
    <w:lvl w:ilvl="5" w:tplc="040E001B" w:tentative="1">
      <w:start w:val="1"/>
      <w:numFmt w:val="lowerRoman"/>
      <w:lvlText w:val="%6."/>
      <w:lvlJc w:val="right"/>
      <w:pPr>
        <w:ind w:left="8431" w:hanging="180"/>
      </w:pPr>
      <w:rPr>
        <w:rFonts w:cs="Times New Roman"/>
      </w:rPr>
    </w:lvl>
    <w:lvl w:ilvl="6" w:tplc="040E000F" w:tentative="1">
      <w:start w:val="1"/>
      <w:numFmt w:val="decimal"/>
      <w:lvlText w:val="%7."/>
      <w:lvlJc w:val="left"/>
      <w:pPr>
        <w:ind w:left="9151" w:hanging="360"/>
      </w:pPr>
      <w:rPr>
        <w:rFonts w:cs="Times New Roman"/>
      </w:rPr>
    </w:lvl>
    <w:lvl w:ilvl="7" w:tplc="040E0019" w:tentative="1">
      <w:start w:val="1"/>
      <w:numFmt w:val="lowerLetter"/>
      <w:lvlText w:val="%8."/>
      <w:lvlJc w:val="left"/>
      <w:pPr>
        <w:ind w:left="9871" w:hanging="360"/>
      </w:pPr>
      <w:rPr>
        <w:rFonts w:cs="Times New Roman"/>
      </w:rPr>
    </w:lvl>
    <w:lvl w:ilvl="8" w:tplc="040E001B" w:tentative="1">
      <w:start w:val="1"/>
      <w:numFmt w:val="lowerRoman"/>
      <w:lvlText w:val="%9."/>
      <w:lvlJc w:val="right"/>
      <w:pPr>
        <w:ind w:left="10591" w:hanging="180"/>
      </w:pPr>
      <w:rPr>
        <w:rFonts w:cs="Times New Roman"/>
      </w:rPr>
    </w:lvl>
  </w:abstractNum>
  <w:abstractNum w:abstractNumId="1" w15:restartNumberingAfterBreak="0">
    <w:nsid w:val="3D9957CE"/>
    <w:multiLevelType w:val="hybridMultilevel"/>
    <w:tmpl w:val="A078BD5A"/>
    <w:lvl w:ilvl="0" w:tplc="3296F258">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8384E81"/>
    <w:multiLevelType w:val="hybridMultilevel"/>
    <w:tmpl w:val="D99A989C"/>
    <w:lvl w:ilvl="0" w:tplc="4CE8DC80">
      <w:start w:val="1"/>
      <w:numFmt w:val="decimal"/>
      <w:lvlText w:val="%1."/>
      <w:lvlJc w:val="left"/>
      <w:pPr>
        <w:ind w:left="502" w:hanging="360"/>
      </w:pPr>
      <w:rPr>
        <w:rFonts w:hint="default"/>
        <w:b/>
        <w:i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B82822"/>
    <w:multiLevelType w:val="hybridMultilevel"/>
    <w:tmpl w:val="96CA28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60DE5"/>
    <w:multiLevelType w:val="hybridMultilevel"/>
    <w:tmpl w:val="78C6BE12"/>
    <w:lvl w:ilvl="0" w:tplc="8F960D02">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4DF0B70"/>
    <w:multiLevelType w:val="hybridMultilevel"/>
    <w:tmpl w:val="B846E8A2"/>
    <w:lvl w:ilvl="0" w:tplc="2F58D08A">
      <w:start w:val="7"/>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6" w15:restartNumberingAfterBreak="0">
    <w:nsid w:val="75D5493B"/>
    <w:multiLevelType w:val="hybridMultilevel"/>
    <w:tmpl w:val="B586428E"/>
    <w:lvl w:ilvl="0" w:tplc="8012BCBA">
      <w:start w:val="2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543972">
    <w:abstractNumId w:val="0"/>
  </w:num>
  <w:num w:numId="2" w16cid:durableId="1073701258">
    <w:abstractNumId w:val="2"/>
  </w:num>
  <w:num w:numId="3" w16cid:durableId="505479394">
    <w:abstractNumId w:val="3"/>
  </w:num>
  <w:num w:numId="4" w16cid:durableId="1320428601">
    <w:abstractNumId w:val="5"/>
  </w:num>
  <w:num w:numId="5" w16cid:durableId="1145976366">
    <w:abstractNumId w:val="6"/>
  </w:num>
  <w:num w:numId="6" w16cid:durableId="1132094789">
    <w:abstractNumId w:val="1"/>
  </w:num>
  <w:num w:numId="7" w16cid:durableId="109092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66"/>
    <w:rsid w:val="000450C1"/>
    <w:rsid w:val="000E0AD3"/>
    <w:rsid w:val="001D6E66"/>
    <w:rsid w:val="002375C8"/>
    <w:rsid w:val="007761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8089"/>
  <w15:chartTrackingRefBased/>
  <w15:docId w15:val="{2EEB6BDD-9CD8-4226-A91C-6566526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al"/>
    <w:link w:val="ListParagraphChar"/>
    <w:uiPriority w:val="34"/>
    <w:qFormat/>
    <w:rsid w:val="001D6E66"/>
    <w:pPr>
      <w:ind w:left="720"/>
      <w:contextualSpacing/>
    </w:pPr>
  </w:style>
  <w:style w:type="character" w:customStyle="1" w:styleId="ListParagraphChar">
    <w:name w:val="List Paragraph Char"/>
    <w:aliases w:val="Welt L Char Char,List Paragraph à moi Char,Welt L Char1,Bullet List Char,FooterText Char,List Paragraph1 Char,numbered Char,Paragraphe de liste1 Char,Bulletr List Paragraph Char,列出段落 Char,列出段落1 Char,Listeafsnit1 Char,リスト段落1 Char"/>
    <w:basedOn w:val="DefaultParagraphFont"/>
    <w:link w:val="ListParagraph"/>
    <w:uiPriority w:val="34"/>
    <w:qFormat/>
    <w:locked/>
    <w:rsid w:val="001D6E66"/>
  </w:style>
  <w:style w:type="table" w:styleId="TableGrid">
    <w:name w:val="Table Grid"/>
    <w:basedOn w:val="TableNormal"/>
    <w:uiPriority w:val="39"/>
    <w:rsid w:val="001D6E66"/>
    <w:pPr>
      <w:spacing w:after="0" w:line="240" w:lineRule="auto"/>
    </w:pPr>
    <w:rPr>
      <w:rFonts w:ascii="Times New Roman" w:eastAsia="Times New Roman" w:hAnsi="Times New Roman"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1647</Words>
  <Characters>9391</Characters>
  <Application>Microsoft Office Word</Application>
  <DocSecurity>0</DocSecurity>
  <Lines>78</Lines>
  <Paragraphs>22</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Bárdos Zoltán dr.</dc:creator>
  <cp:keywords/>
  <dc:description/>
  <cp:lastModifiedBy>Dimitris Dimitriadis</cp:lastModifiedBy>
  <cp:revision>3</cp:revision>
  <dcterms:created xsi:type="dcterms:W3CDTF">2022-06-03T09:25:00Z</dcterms:created>
  <dcterms:modified xsi:type="dcterms:W3CDTF">2022-06-08T11:41:00Z</dcterms:modified>
</cp:coreProperties>
</file>