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Nařízení č. 2021-1110 ze dne 23. srpna 2021 o poskytování informací umožňujících identifikovat ve výrobku látky, které potenciálně narušují činnost žláz s vnitřní sekrecí</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Dotčené subjekty: Každá osoba, která uvádí na trh výrobky pro spotřebitele, které po výrobě obsahují látky, u nichž je podle národního úřadu pro zdravotní nezávadnost potravin, prostředí a práce (ANSES) prokázáno, předpokládá se nebo existuje podezření, že narušují činnost žláz s vnitřní sekrecí</w:t>
      </w:r>
      <w:r>
        <w:rPr>
          <w:rFonts w:ascii="Times New Roman" w:hAnsi="Times New Roman"/>
          <w:color w:val="000000"/>
          <w:sz w:val="27"/>
        </w:rPr>
        <w:br/>
        <w:t>Předmět: Svým článkem 1 tento dekret zavádí vnitrostátní předpisy nezbytné pro zpřístupnění informací, které umožní identifikovat látky narušující činnost žláz s vnitřní sekrecí v daném výrobku.</w:t>
      </w:r>
      <w:r>
        <w:rPr>
          <w:rFonts w:ascii="Times New Roman" w:hAnsi="Times New Roman"/>
          <w:color w:val="000000"/>
          <w:sz w:val="27"/>
        </w:rPr>
        <w:br/>
        <w:t xml:space="preserve">Nabytí účinnosti: toto nařízení nabývá účinnosti dne 1. ledna 2022. </w:t>
      </w:r>
      <w:r>
        <w:rPr>
          <w:rFonts w:ascii="Times New Roman" w:hAnsi="Times New Roman"/>
          <w:color w:val="000000"/>
          <w:sz w:val="27"/>
        </w:rPr>
        <w:br/>
        <w:t>Poznámka: Zákon č. 2020-105 ze dne 10. února 2020 o boji proti plýtvání a o oběhovém hospodářství, tzv. „AGEC“, stanoví v článku 13-II odkaz na dekret Státní rady při stanovení způsobů, kterými lze provádět poskytování informací, které umožní identifikovat ve výrobku uváděném na trh látky, které potenciálně narušují činnost žláz s vnitřní sekrecí. Cílem uvedeným v odůvodnění tohoto článku je „zajistit obyvatelům transparentní informace o přítomnosti látek s vlastnostmi, které mohou narušovat činnost žláz s vnitřní sekrecí, ve výrobcích. Stanoví tak, že každá osoba, která uvádí na trh výrobky obsahující látky vyznačující se podle ANSES vlastnostmi, které mohou narušovat činnost žláz s vnitřní sekrecí, zveřejní seznam těchto výrobků a látek, které každý z nich obsahuje. Toto zveřejnění se uskuteční v otevřeném formátu, který umožní platformám pro spolupráci zkoumat tyto informace, a lépe tak informovat spotřebitele.</w:t>
      </w:r>
      <w:r>
        <w:rPr>
          <w:rFonts w:ascii="Times New Roman" w:hAnsi="Times New Roman"/>
          <w:color w:val="000000"/>
          <w:sz w:val="27"/>
        </w:rPr>
        <w:br/>
        <w:t>Druhá vnitrostátní strategie ohledně látek, které potenciálně narušují činnost žláz s vnitřní sekrecí (SNPE2), obsahuje osu týkající se zlepšování informování spotřebitelů. Anses vynakládá značné úsilí při sestavování seznamů látek, které narušují činnost žláz s vnitřní sekrecí (činnost č. 3 v rámci SNPE2). Toto ustanovení je v souladu s uvedenou dynamikou a má za cíl zajistit obyvatelstvu transparentní informace o přítomnosti látek, které vykazují vlastnosti potenciálního narušení činnosti žláz s vnitřní sekrecí, ve výrobcích, a to ve smyslu látek, směsí, výrobků a potravin. Pro účely tohoto článku se za výrobky ve smyslu článku L. 5232-5 zákoníku veřejného zdraví považují látky, směsi a výrobky, jak je definuje článek 3 nařízení (EU) č. 1907/2006, s výjimkou léčivých přípravků, biocidní výrobky, jak je definuje článek 3 nařízení (EU) č. 528/2012, fytofarmaceutické výrobky ve smyslu článku 2 nařízení (ES) č. 1107/2009, zdravotnické prostředky, jak je definuje článek 2 nařízení (EU) č. 2017/745, materiály a předměty včetně aktivních a inteligentních materiálů a předmětů, které mají přijít do styku s potravinami, jak je definuje článek 2 nařízení (EU) č. 1935/2004, hračky ve smyslu článku 2 směrnice 2009/48/ES, kosmetické výrobky, jak je definuje článek 2 nařízení (ES) č. 1223/2009, a výrobky, jak je definuje článek 2 směrnice 2001/95/ES, a potraviny, jak je definuje článek 2 nařízení (ES) č. 178/2002.</w:t>
      </w:r>
      <w:r>
        <w:rPr>
          <w:rFonts w:ascii="Times New Roman" w:hAnsi="Times New Roman"/>
          <w:color w:val="000000"/>
          <w:sz w:val="27"/>
        </w:rPr>
        <w:br/>
      </w:r>
      <w:r>
        <w:rPr>
          <w:rFonts w:ascii="Times New Roman" w:hAnsi="Times New Roman"/>
          <w:color w:val="000000"/>
          <w:sz w:val="27"/>
        </w:rPr>
        <w:lastRenderedPageBreak/>
        <w:t>Povinnost zpřístupnit informace identifikující ve výrobku uvedeném na trh látky narušující činnost žláz s vnitřní sekrecí se uplatní nejpozději 6 měsíců po zveřejnění vyhlášky, v níž jsou uvedeny látky s kvalifikovanými vlastnostmi vyvolávajícími narušení endokrinní činnosti, a to podle úrovně vědeckých důkazů o ověřených, předpokládaných nebo podezřelých osobách a seznamu kategorií přípravků představujících zvláštní riziko expozice. Povinnost poskytovat informace o přítomnosti látek narušujících činnost žláz s vnitřní sekrecí klasifikovaných jako podezřelá se vztahuje pouze na kategorie přípravků se zvláštním rizikem expozice stanovené v uvedeném nařízení.</w:t>
      </w:r>
      <w:r>
        <w:rPr>
          <w:rFonts w:ascii="Times New Roman" w:hAnsi="Times New Roman"/>
          <w:color w:val="000000"/>
          <w:sz w:val="27"/>
        </w:rPr>
        <w:br/>
        <w:t>Odkazy: zákoník veřejného zdravotnictví upravený tímto nařízením je k nahlédnutí ve znění vyplývajícím z této změny na internetových stránkách Légifrance (https://www.legifrance.gouv.fr).</w:t>
      </w:r>
    </w:p>
    <w:p w14:paraId="2F5541DF" w14:textId="2156E3F3" w:rsidR="00D8319D" w:rsidRDefault="00D8319D" w:rsidP="00D8319D">
      <w:pPr>
        <w:spacing w:before="100" w:beforeAutospacing="1" w:after="100" w:afterAutospacing="1" w:line="240" w:lineRule="auto"/>
        <w:rPr>
          <w:rFonts w:ascii="Times New Roman" w:hAnsi="Times New Roman"/>
          <w:color w:val="000000"/>
          <w:sz w:val="27"/>
        </w:rPr>
      </w:pPr>
      <w:r>
        <w:rPr>
          <w:rFonts w:ascii="Times New Roman" w:hAnsi="Times New Roman"/>
          <w:color w:val="000000"/>
          <w:sz w:val="27"/>
        </w:rPr>
        <w:br/>
        <w:t>Ministerský předseda,</w:t>
      </w:r>
      <w:r>
        <w:rPr>
          <w:rFonts w:ascii="Times New Roman" w:hAnsi="Times New Roman"/>
          <w:color w:val="000000"/>
          <w:sz w:val="27"/>
        </w:rPr>
        <w:br/>
        <w:t>na základě zprávy ministryně pro ekologický přechod,</w:t>
      </w:r>
      <w:r>
        <w:rPr>
          <w:rFonts w:ascii="Times New Roman" w:hAnsi="Times New Roman"/>
          <w:color w:val="000000"/>
          <w:sz w:val="27"/>
        </w:rPr>
        <w:br/>
        <w:t>s ohledem na nařízení Evropského parlamentu a Rady (ES) č. 178/2002 ze dne 28. ledna 2002, kterým se stanoví obecné zásady a požadavky potravinového práva, kterým se zakládá Evropský úřad pro bezpečnost potravin a kterým se stanoví postupy týkající se bezpečnosti potravin;</w:t>
      </w:r>
      <w:r>
        <w:rPr>
          <w:rFonts w:ascii="Times New Roman" w:hAnsi="Times New Roman"/>
          <w:color w:val="000000"/>
          <w:sz w:val="27"/>
        </w:rPr>
        <w:br/>
        <w:t>s ohledem na nařízení (ES) Evropského parlamentu a Rady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r>
        <w:rPr>
          <w:rFonts w:ascii="Times New Roman" w:hAnsi="Times New Roman"/>
          <w:color w:val="000000"/>
          <w:sz w:val="27"/>
        </w:rPr>
        <w:br/>
        <w:t>s ohledem na nařízení Evropského parlamentu a Rady (EU) č. 2017/745 ze dne 5. dubna 2017 o zdravotnických prostředcích, změně směrnice 2001/83/ES, nařízení (ES) č. 178/2002 a nařízení (ES) č. 1223/2009 a o zrušení směrnic Rady 90/385/EHS a 93/42/EHS;</w:t>
      </w:r>
      <w:r>
        <w:rPr>
          <w:rFonts w:ascii="Times New Roman" w:hAnsi="Times New Roman"/>
          <w:color w:val="000000"/>
          <w:sz w:val="27"/>
        </w:rPr>
        <w:br/>
        <w:t>s ohledem na směrnici Evropského parlamentu a Rady (EU) 2015/1535 ze dne 9. září 2015, kterou se stanoví postup při poskytování informací v oblasti technických předpisů a předpisů pro služby informační společnosti, a zejména oznámení č. 2020/832/F;</w:t>
      </w:r>
      <w:r>
        <w:rPr>
          <w:rFonts w:ascii="Times New Roman" w:hAnsi="Times New Roman"/>
          <w:color w:val="000000"/>
          <w:sz w:val="27"/>
        </w:rPr>
        <w:br/>
        <w:t>s ohledem na zákoník životního prostředí, zejména jeho článek L. 541-9-1;</w:t>
      </w:r>
      <w:r>
        <w:rPr>
          <w:rFonts w:ascii="Times New Roman" w:hAnsi="Times New Roman"/>
          <w:color w:val="000000"/>
          <w:sz w:val="27"/>
        </w:rPr>
        <w:br/>
        <w:t>s ohledem na trestní zákoník, zejména na jeho článek R. 610-1;</w:t>
      </w:r>
      <w:r>
        <w:rPr>
          <w:rFonts w:ascii="Times New Roman" w:hAnsi="Times New Roman"/>
          <w:color w:val="000000"/>
          <w:sz w:val="27"/>
        </w:rPr>
        <w:br/>
        <w:t>s ohledem na zákon o veřejném zdraví, zejména na článek L. 5232-5;</w:t>
      </w:r>
      <w:r>
        <w:rPr>
          <w:rFonts w:ascii="Times New Roman" w:hAnsi="Times New Roman"/>
          <w:color w:val="000000"/>
          <w:sz w:val="27"/>
        </w:rPr>
        <w:br/>
        <w:t>s ohledem na zákon č. 2020-105 ze dne 10. února 2020 proti odpadům a oběhovému hospodářství, zejména na články 13 a 130;</w:t>
      </w:r>
      <w:r>
        <w:rPr>
          <w:rFonts w:ascii="Times New Roman" w:hAnsi="Times New Roman"/>
          <w:color w:val="000000"/>
          <w:sz w:val="27"/>
        </w:rPr>
        <w:br/>
        <w:t>s ohledem na oznámení č. 2020/0832/F zaslané Evropské komisi dne 21. prosince 2020 a na jeho odpovědi ze dne 25. ledna 2021 a ze dne 22. března 2021;</w:t>
      </w:r>
      <w:r>
        <w:rPr>
          <w:rFonts w:ascii="Times New Roman" w:hAnsi="Times New Roman"/>
          <w:color w:val="000000"/>
          <w:sz w:val="27"/>
        </w:rPr>
        <w:br/>
        <w:t>po vyslyšení Státní rady (sociální oddělení),</w:t>
      </w:r>
      <w:r>
        <w:rPr>
          <w:rFonts w:ascii="Times New Roman" w:hAnsi="Times New Roman"/>
          <w:color w:val="000000"/>
          <w:sz w:val="27"/>
        </w:rPr>
        <w:br/>
        <w:t>tímto nařizuje:</w:t>
      </w:r>
    </w:p>
    <w:p w14:paraId="1D73A1DE" w14:textId="77777777" w:rsidR="00DD14D7" w:rsidRPr="00D8319D" w:rsidRDefault="00DD14D7" w:rsidP="00D8319D">
      <w:pPr>
        <w:spacing w:before="100" w:beforeAutospacing="1" w:after="100" w:afterAutospacing="1" w:line="240" w:lineRule="auto"/>
        <w:rPr>
          <w:rFonts w:ascii="Times New Roman" w:eastAsia="Times New Roman" w:hAnsi="Times New Roman" w:cs="Times New Roman"/>
          <w:color w:val="000000"/>
          <w:sz w:val="27"/>
          <w:szCs w:val="27"/>
        </w:rPr>
      </w:pP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lastRenderedPageBreak/>
        <w:t>Článek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Za oddíl 2 hlavy II hlavy III knihy II části 5 zákoníku veřejného zdraví se vkládá oddíl 3, který zní:</w:t>
      </w:r>
    </w:p>
    <w:p w14:paraId="372A921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„Oddíl 3</w:t>
      </w:r>
      <w:r>
        <w:rPr>
          <w:rFonts w:ascii="Times New Roman" w:hAnsi="Times New Roman"/>
          <w:color w:val="000000"/>
          <w:sz w:val="27"/>
        </w:rPr>
        <w:br/>
        <w:t>„Informace o látkách ve výrobcích narušujících činnost žláz s vnitřní sekrecí</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„Pododdíl 1</w:t>
      </w:r>
      <w:r>
        <w:rPr>
          <w:rFonts w:ascii="Times New Roman" w:hAnsi="Times New Roman"/>
          <w:color w:val="000000"/>
          <w:sz w:val="27"/>
        </w:rPr>
        <w:br/>
        <w:t>„Definice seznamu látek vykazujících prokázané, předpokládané nebo předpokládané vlastnosti narušující endokrinní systém a kategorií přípravků představujících zvláštní riziko expozice</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„Článek R. 5232-19.- Pro účely tohoto oddílu potraviny definované v článku 2 nařízení (ES) č. 178/2002 a látky, směsi a předměty definované v článku 3 nařízení (EU) č. 1907/ 2006, s výjimkou léčivých přípravků, se považují za přípravky ve smyslu článku L. 5232-5.</w:t>
      </w:r>
      <w:r>
        <w:rPr>
          <w:rFonts w:ascii="Times New Roman" w:hAnsi="Times New Roman"/>
          <w:color w:val="000000"/>
          <w:sz w:val="27"/>
        </w:rPr>
        <w:br/>
        <w:t>„Společným nařízením ministrů zdravotnictví a životního prostředí se po konzultaci s Francouzskou agenturou pro bezpečnost potravin, životního prostředí a zdraví při práci stanoví:</w:t>
      </w:r>
      <w:r>
        <w:rPr>
          <w:rFonts w:ascii="Times New Roman" w:hAnsi="Times New Roman"/>
          <w:color w:val="000000"/>
          <w:sz w:val="27"/>
        </w:rPr>
        <w:br/>
        <w:t>„1. Seznam látek vykazujících vlastnosti narušující endokrinní systém uvedený v I článku L. 5232-5, rozdělený do dvou kategorií, prokázané a předpokládané, podle úrovně vědeckého důkazu;</w:t>
      </w:r>
      <w:r>
        <w:rPr>
          <w:rFonts w:ascii="Times New Roman" w:hAnsi="Times New Roman"/>
          <w:color w:val="000000"/>
          <w:sz w:val="27"/>
        </w:rPr>
        <w:br/>
        <w:t>„2. Seznam látek s podezřelými vlastnostmi narušujícími endokrinní systém uvedený v II článku L. 5232-5;</w:t>
      </w:r>
      <w:r>
        <w:rPr>
          <w:rFonts w:ascii="Times New Roman" w:hAnsi="Times New Roman"/>
          <w:color w:val="000000"/>
          <w:sz w:val="27"/>
        </w:rPr>
        <w:br/>
        <w:t>„3. Kategorie výrobků představujících zvláštní riziko expozice, jak je uvedeno v článku L. 5232-5 II, s ohledem na exponované skupiny obyvatel, podmínky použití a likvidace těchto výrobků a další relevantní kritéria.</w:t>
      </w:r>
    </w:p>
    <w:p w14:paraId="17BB239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„Pododdíl 2</w:t>
      </w:r>
      <w:r>
        <w:rPr>
          <w:rFonts w:ascii="Times New Roman" w:hAnsi="Times New Roman"/>
          <w:color w:val="000000"/>
          <w:sz w:val="27"/>
        </w:rPr>
        <w:br/>
        <w:t>„Veřejná dostupnost informací</w:t>
      </w:r>
    </w:p>
    <w:p w14:paraId="0150BE3C"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„Článek R. 5232-20 - I. - Informace uvedené v I a II článku L. 5232-5 se zpřístupní v bezpapírovém formátu, budou přístupné zdarma a znovu použitelné způsobem, který umožní agregaci. Za tímto účelem každá osoba, která uvádí výrobky na trh ve smyslu článku L. 5232–5, zpřístupní informace buď na vyhrazené internetové stránce obsahující rozhraní pro programování aplikací, nebo prostřednictvím aplikace určené společným nařízením ministrů odpovědných za zdraví a životní prostředí.</w:t>
      </w:r>
      <w:r>
        <w:rPr>
          <w:rFonts w:ascii="Times New Roman" w:hAnsi="Times New Roman"/>
          <w:color w:val="000000"/>
          <w:sz w:val="27"/>
        </w:rPr>
        <w:br/>
      </w:r>
      <w:r>
        <w:rPr>
          <w:rFonts w:ascii="Times New Roman" w:hAnsi="Times New Roman"/>
          <w:color w:val="000000"/>
          <w:sz w:val="27"/>
        </w:rPr>
        <w:lastRenderedPageBreak/>
        <w:t>„Pokud se na dotčený výrobek vztahuje rovněž povinnost informovat spotřebitele podle článku L. 541–9-1 zákona o životním prostředí, musí být informace stanovené v článcích I a II článku L. 5332–5 tohoto zákoníku zpřístupněny na stejných nosičích, jako jsou informace o environmentálních vlastnostech a vlastnostech těchto výrobků nebo kategorií výrobků definovaných podle článku L. 541–9-1 zákona o životním prostředí.</w:t>
      </w:r>
      <w:r>
        <w:rPr>
          <w:rFonts w:ascii="Times New Roman" w:hAnsi="Times New Roman"/>
          <w:color w:val="000000"/>
          <w:sz w:val="27"/>
        </w:rPr>
        <w:br/>
        <w:t>„Společné nařízení ministrů zdravotnictví a ministrů životního prostředí stanoví postupy týkající se obsahu a podmínek předkládání informací uvedených v I a II článku L. 5232-5 tohoto zákoníku.</w:t>
      </w:r>
      <w:r>
        <w:rPr>
          <w:rFonts w:ascii="Times New Roman" w:hAnsi="Times New Roman"/>
          <w:color w:val="000000"/>
          <w:sz w:val="27"/>
        </w:rPr>
        <w:br/>
        <w:t>„Informace stanovené v I a II článku L. 5232-5 budou zpřístupněny veřejnosti pro každý produkt nejpozději šest měsíců po zveřejnění nařízení uvedeného v článku R. 5232-19, kterým byl zařazen na seznam.</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„Pododdíl 3</w:t>
      </w:r>
      <w:r>
        <w:rPr>
          <w:rFonts w:ascii="Times New Roman" w:hAnsi="Times New Roman"/>
          <w:color w:val="000000"/>
          <w:sz w:val="27"/>
        </w:rPr>
        <w:br/>
        <w:t>„Trestné sankce</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„Čl. R. 5232-21. -Nezpřístupnění informací uvedených v I a II článku L. 5232-5 veřejnosti za podmínek definovaných v článku R. 5232-20 se trestá pokutou stanovenou pro přestupky 5. kategorie.</w:t>
      </w:r>
      <w:r>
        <w:rPr>
          <w:rFonts w:ascii="Times New Roman" w:hAnsi="Times New Roman"/>
          <w:color w:val="000000"/>
          <w:sz w:val="27"/>
        </w:rPr>
        <w:br/>
        <w:t>„Nedodržení lhůty stanovené v článku R. 5232-20 se trestá pokutou stanovenou pro přestupky 5. kategorie.</w:t>
      </w:r>
    </w:p>
    <w:p w14:paraId="3EED871E" w14:textId="0A05EA0E"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r>
      <w:r w:rsidR="00DD14D7" w:rsidRPr="00DD14D7">
        <w:rPr>
          <w:rFonts w:ascii="Times New Roman" w:hAnsi="Times New Roman"/>
          <w:color w:val="000000"/>
          <w:sz w:val="27"/>
        </w:rPr>
        <w:t>„</w:t>
      </w:r>
      <w:r>
        <w:rPr>
          <w:rFonts w:ascii="Times New Roman" w:hAnsi="Times New Roman"/>
          <w:color w:val="000000"/>
          <w:sz w:val="27"/>
        </w:rPr>
        <w:t>Čl. R. 5232-22 - Opakované páchání přestupků podle článku R. 5232-21 se postihuje v souladu s články 132-11 a 132-15 trestního zákoníku.“</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Tato vyhláška nabývá účinnosti dne 1. ledna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Článek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Za provádění tohoto nařízení, které bude zveřejněno v Úředním věstníku Francouzské republiky, odpovídají každý ve své oblasti působnosti ministryně pro ekologický přechod, strážce pečetí, ministr spravedlnosti, ministr sociálních věcí a zdravotnictví.</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Dne 23. srpna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Za ministerského předsedu:</w:t>
      </w:r>
      <w:r>
        <w:rPr>
          <w:rFonts w:ascii="Times New Roman" w:hAnsi="Times New Roman"/>
          <w:color w:val="000000"/>
          <w:sz w:val="27"/>
        </w:rPr>
        <w:br/>
        <w:t>Jean Castex</w:t>
      </w:r>
    </w:p>
    <w:p w14:paraId="61B53AD3"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Ministryně pro ekologický přechod,</w:t>
      </w:r>
      <w:r>
        <w:rPr>
          <w:rFonts w:ascii="Times New Roman" w:hAnsi="Times New Roman"/>
          <w:color w:val="000000"/>
          <w:sz w:val="27"/>
        </w:rPr>
        <w:br/>
        <w:t>Barbara POMPILI</w:t>
      </w:r>
    </w:p>
    <w:p w14:paraId="009E9B94" w14:textId="1FF0CAE4"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Strážce pečetí, ministr spravedlnosti</w:t>
      </w:r>
      <w:r w:rsidR="00DD14D7">
        <w:rPr>
          <w:rFonts w:ascii="Times New Roman" w:hAnsi="Times New Roman"/>
          <w:color w:val="000000"/>
          <w:sz w:val="27"/>
        </w:rPr>
        <w:t>,</w:t>
      </w:r>
      <w:r>
        <w:rPr>
          <w:rFonts w:ascii="Times New Roman" w:hAnsi="Times New Roman"/>
          <w:color w:val="000000"/>
          <w:sz w:val="27"/>
        </w:rPr>
        <w:br/>
        <w:t>Éric Dupond-Moretti</w:t>
      </w:r>
    </w:p>
    <w:p w14:paraId="5FC337F5" w14:textId="73A46252"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Ministr sociálních věcí a zdravotnictví</w:t>
      </w:r>
      <w:r w:rsidR="00DD14D7">
        <w:rPr>
          <w:rFonts w:ascii="Times New Roman" w:hAnsi="Times New Roman"/>
          <w:color w:val="000000"/>
          <w:sz w:val="27"/>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336410"/>
    <w:rsid w:val="00840AF1"/>
    <w:rsid w:val="00B026BB"/>
    <w:rsid w:val="00D8319D"/>
    <w:rsid w:val="00DD1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1366</Words>
  <Characters>8075</Characters>
  <Application>Microsoft Office Word</Application>
  <DocSecurity>0</DocSecurity>
  <Lines>171</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2022-02-11T11:56:00Z</dcterms:created>
  <dcterms:modified xsi:type="dcterms:W3CDTF">2022-02-11T11:56:00Z</dcterms:modified>
</cp:coreProperties>
</file>