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F93FB5" w:rsidRDefault="004A68F0" w:rsidP="004A68F0">
      <w:pPr>
        <w:pStyle w:val="PlainText"/>
        <w:ind w:left="1418"/>
        <w:jc w:val="center"/>
        <w:rPr>
          <w:rStyle w:val="BodyTextChar"/>
          <w:rFonts w:ascii="Courier New" w:hAnsi="Courier New" w:cs="Courier New"/>
        </w:rPr>
      </w:pPr>
      <w:r w:rsidRPr="00F93FB5">
        <w:rPr>
          <w:rStyle w:val="BodyTextChar"/>
          <w:rFonts w:ascii="Courier New" w:hAnsi="Courier New"/>
        </w:rPr>
        <w:t>1. ------IND- 2018 0094 I-- PL- ------ 20180326 --- --- PROJET</w:t>
      </w:r>
    </w:p>
    <w:p w:rsidR="00952519" w:rsidRPr="00F93FB5" w:rsidRDefault="00952519" w:rsidP="00B310BB">
      <w:pPr>
        <w:jc w:val="center"/>
        <w:rPr>
          <w:rFonts w:ascii="Times New Roman" w:hAnsi="Times New Roman" w:cs="Times New Roman"/>
          <w:sz w:val="28"/>
          <w:szCs w:val="28"/>
        </w:rPr>
      </w:pPr>
      <w:r w:rsidRPr="00F93FB5">
        <w:rPr>
          <w:rFonts w:ascii="Times New Roman" w:hAnsi="Times New Roman"/>
          <w:sz w:val="28"/>
          <w:szCs w:val="28"/>
        </w:rPr>
        <w:t>ROZPORZĄDZENIE</w:t>
      </w:r>
    </w:p>
    <w:p w:rsidR="00BF7796" w:rsidRPr="00F93FB5" w:rsidRDefault="009E4D53" w:rsidP="00BF7796">
      <w:pPr>
        <w:jc w:val="center"/>
        <w:rPr>
          <w:rFonts w:ascii="Times New Roman" w:hAnsi="Times New Roman" w:cs="Times New Roman"/>
          <w:b/>
          <w:sz w:val="24"/>
          <w:szCs w:val="24"/>
        </w:rPr>
      </w:pPr>
      <w:r w:rsidRPr="00F93FB5">
        <w:rPr>
          <w:rFonts w:ascii="Times New Roman" w:hAnsi="Times New Roman"/>
          <w:b/>
          <w:sz w:val="24"/>
          <w:szCs w:val="24"/>
        </w:rPr>
        <w:t xml:space="preserve">wdrażające w życie art. 157 ust. 3 dekretu ustawodawczego nr 230 z dnia 17 marca 1995 r. z późniejszymi zmianami, określające sposoby stosowania i treść certyfikatów kontroli radiometrycznej oraz zawierające wykaz półproduktów metalowych podlegających kontroli radiometrycznej </w:t>
      </w:r>
    </w:p>
    <w:p w:rsidR="00AB0F43" w:rsidRPr="00F93FB5" w:rsidRDefault="00AB0F43" w:rsidP="00BF7796">
      <w:pPr>
        <w:jc w:val="center"/>
        <w:rPr>
          <w:rFonts w:ascii="Times New Roman" w:hAnsi="Times New Roman" w:cs="Times New Roman"/>
          <w:b/>
          <w:sz w:val="24"/>
          <w:szCs w:val="24"/>
        </w:rPr>
      </w:pPr>
    </w:p>
    <w:p w:rsidR="000501D0" w:rsidRPr="00F93FB5" w:rsidRDefault="00B310BB" w:rsidP="000501D0">
      <w:pPr>
        <w:jc w:val="center"/>
        <w:rPr>
          <w:rFonts w:ascii="Times New Roman" w:hAnsi="Times New Roman" w:cs="Times New Roman"/>
          <w:sz w:val="24"/>
          <w:szCs w:val="24"/>
        </w:rPr>
      </w:pPr>
      <w:r w:rsidRPr="00F93FB5">
        <w:rPr>
          <w:rFonts w:ascii="Times New Roman" w:hAnsi="Times New Roman"/>
          <w:sz w:val="24"/>
          <w:szCs w:val="24"/>
        </w:rPr>
        <w:t>MINISTER ROZWOJU GOSPODARCZEGO</w:t>
      </w:r>
    </w:p>
    <w:p w:rsidR="00AB0F43" w:rsidRPr="00F93FB5" w:rsidRDefault="00B310BB" w:rsidP="00AB0F43">
      <w:pPr>
        <w:jc w:val="center"/>
        <w:rPr>
          <w:rFonts w:ascii="Times New Roman" w:hAnsi="Times New Roman" w:cs="Times New Roman"/>
          <w:sz w:val="24"/>
          <w:szCs w:val="24"/>
        </w:rPr>
      </w:pPr>
      <w:r w:rsidRPr="00F93FB5">
        <w:rPr>
          <w:rFonts w:ascii="Times New Roman" w:hAnsi="Times New Roman"/>
          <w:sz w:val="24"/>
          <w:szCs w:val="24"/>
        </w:rPr>
        <w:t xml:space="preserve">W POROZUMIENIU Z </w:t>
      </w:r>
    </w:p>
    <w:p w:rsidR="00AB0F43"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PODSEKRETARZEM DO SPRAW EUROPEJSKICH</w:t>
      </w:r>
    </w:p>
    <w:p w:rsidR="00AB0F43"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MINISTREM ZDROWIA</w:t>
      </w:r>
    </w:p>
    <w:p w:rsidR="001B3A1F"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 xml:space="preserve">MINISTREM ŚRODOWISKA I OCHRONY OBSZARÓW LĄDOWYCH I MORSKICH </w:t>
      </w:r>
    </w:p>
    <w:p w:rsidR="00AB0F43"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MINISTREM PRACY I POLITYKI SPOŁECZNEJ</w:t>
      </w:r>
    </w:p>
    <w:p w:rsidR="00AB0F43"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MINISTREM SPRAW WEWNĘTRZNYCH</w:t>
      </w:r>
    </w:p>
    <w:p w:rsidR="00AB0F43"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MINISTREM GOSPODARKI I FINANSÓW</w:t>
      </w:r>
    </w:p>
    <w:p w:rsidR="00B310BB" w:rsidRPr="00F93FB5" w:rsidRDefault="001B3A1F" w:rsidP="00AB0F43">
      <w:pPr>
        <w:jc w:val="center"/>
        <w:rPr>
          <w:rFonts w:ascii="Times New Roman" w:hAnsi="Times New Roman" w:cs="Times New Roman"/>
          <w:sz w:val="24"/>
          <w:szCs w:val="24"/>
        </w:rPr>
      </w:pPr>
      <w:r w:rsidRPr="00F93FB5">
        <w:rPr>
          <w:rFonts w:ascii="Times New Roman" w:hAnsi="Times New Roman"/>
          <w:sz w:val="24"/>
          <w:szCs w:val="24"/>
        </w:rPr>
        <w:t>MINISTREM INFRASTRUKTURY I TRANSPORTU</w:t>
      </w:r>
    </w:p>
    <w:p w:rsidR="00B310BB" w:rsidRPr="00F93FB5" w:rsidRDefault="00B310BB" w:rsidP="00C213BF">
      <w:pPr>
        <w:jc w:val="both"/>
        <w:rPr>
          <w:rFonts w:ascii="Times New Roman" w:hAnsi="Times New Roman" w:cs="Times New Roman"/>
          <w:sz w:val="24"/>
          <w:szCs w:val="24"/>
        </w:rPr>
      </w:pPr>
    </w:p>
    <w:p w:rsidR="002938E4" w:rsidRPr="00F93FB5" w:rsidRDefault="002938E4" w:rsidP="00114FDF">
      <w:pPr>
        <w:spacing w:line="240" w:lineRule="auto"/>
        <w:jc w:val="both"/>
        <w:rPr>
          <w:rFonts w:ascii="Times New Roman" w:hAnsi="Times New Roman" w:cs="Times New Roman"/>
          <w:sz w:val="24"/>
          <w:szCs w:val="24"/>
        </w:rPr>
      </w:pPr>
      <w:r w:rsidRPr="00F93FB5">
        <w:rPr>
          <w:rFonts w:ascii="Times New Roman" w:hAnsi="Times New Roman"/>
          <w:sz w:val="24"/>
          <w:szCs w:val="24"/>
        </w:rPr>
        <w:t xml:space="preserve">UWZGLĘDNIAJĄC dekret ustawodawczy nr 230 z dnia 17 marca 1995 r. z późniejszymi zmianami, wdrażający dyrektywy 89/618/Euratom, 90/641/Euratom, 96/29/Euratom, 2006/117/Euratom w sprawie promieniowania jonizującego, dyrektywę 2009/71/Euratom w sprawie bezpieczeństwa jądrowego obiektów jądrowych oraz dyrektywę 2011/70/Euratom w sprawie bezpiecznego gospodarowania wypalonym paliwem jądrowym i odpadami promieniotwórczymi powstałymi w wyniku działań cywilnych, </w:t>
      </w:r>
    </w:p>
    <w:p w:rsidR="00C22B35" w:rsidRPr="00F93FB5" w:rsidRDefault="00B310BB"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UWZGLĘDNIAJĄC dekret ustawodawczy nr 100 z dnia 1 czerwca 2011 r. wdrażający przepisy uzupełniające i poprawki do dekretu ustawodawczego nr 23 z dnia 20 lutego 2009 r. wdrażającego dyrektywę 2006/117/Euratom, a w szczególności jej art. 1, która zmienia art. 157 wyżej wymienionego dekretu ustawodawczego z dnia 17 marca 1995 r. w sprawie nadzoru i kontroli nad przemieszczaniem odpadów promieniotwórczych oraz wypalonego paliwa jądrowego – kontrola radiometryczna materiałów lub półproduktów metalowych,</w:t>
      </w:r>
    </w:p>
    <w:p w:rsidR="00B310BB" w:rsidRPr="00F93FB5" w:rsidRDefault="00B310BB" w:rsidP="00146EE7">
      <w:pPr>
        <w:tabs>
          <w:tab w:val="left" w:pos="0"/>
        </w:tabs>
        <w:spacing w:line="240" w:lineRule="auto"/>
        <w:jc w:val="both"/>
        <w:rPr>
          <w:rFonts w:ascii="Times New Roman" w:hAnsi="Times New Roman" w:cs="Times New Roman"/>
          <w:sz w:val="24"/>
          <w:szCs w:val="24"/>
        </w:rPr>
      </w:pPr>
      <w:r w:rsidRPr="00F93FB5">
        <w:rPr>
          <w:rFonts w:ascii="Times New Roman" w:hAnsi="Times New Roman"/>
          <w:sz w:val="24"/>
          <w:szCs w:val="24"/>
        </w:rPr>
        <w:t xml:space="preserve">UWZGLĘDNIAJĄC w szczególności art. 157 ust. 3 wspomnianego dekretu ustawodawczego nr 230 z dnia 17 marca 1995 r., który przewiduje, że w drodze rozporządzenia ministra rozwoju gospodarczego, w porozumieniu z ministrem do spraw europejskich, ministrem zdrowia, ministrem środowiska i ochrony obszarów lądowych i morskich, ministrem pracy i polityki społecznej, ministrem spraw wewnętrznych, ministrem gospodarki i finansów, ministrem infrastruktury i transportu, po zasięgnięciu opinii Urzędu Ceł i Monopoli oraz Instytutu Ochrony Środowiska i Badań nad Środowiskiem (Istituto Superiore per la protezione e la ricerca ambientale – ISPRA), wydawanego po przeprowadzeniu procedury powiadamiania Komisji Europejskiej zgodnie z dyrektywą 98/34/WE </w:t>
      </w:r>
      <w:r w:rsidRPr="00F93FB5">
        <w:rPr>
          <w:rFonts w:ascii="Times New Roman" w:hAnsi="Times New Roman"/>
          <w:sz w:val="24"/>
          <w:szCs w:val="24"/>
          <w:highlight w:val="yellow"/>
        </w:rPr>
        <w:t>(obecnie dyrektywą 2015/1535/UE)</w:t>
      </w:r>
      <w:r w:rsidRPr="00F93FB5">
        <w:rPr>
          <w:rFonts w:ascii="Times New Roman" w:hAnsi="Times New Roman"/>
          <w:sz w:val="24"/>
          <w:szCs w:val="24"/>
        </w:rPr>
        <w:t xml:space="preserve"> oraz Światowej Organizacji Handlu </w:t>
      </w:r>
      <w:r w:rsidRPr="00F93FB5">
        <w:rPr>
          <w:rFonts w:ascii="Times New Roman" w:hAnsi="Times New Roman"/>
          <w:sz w:val="24"/>
          <w:szCs w:val="24"/>
        </w:rPr>
        <w:lastRenderedPageBreak/>
        <w:t>zgodnie z Porozumieniem w sprawie barier technicznych w handlu obowiązującym od dnia 1 stycznia 1995 r., określa się sposoby stosowania i treść certyfikatów kontroli radiometrycznej oraz wykaz półproduktów metalowych podlegających tej kontroli,</w:t>
      </w:r>
    </w:p>
    <w:p w:rsidR="00A756ED" w:rsidRPr="00F93FB5" w:rsidRDefault="00A756ED" w:rsidP="00146EE7">
      <w:pPr>
        <w:tabs>
          <w:tab w:val="left" w:pos="0"/>
        </w:tabs>
        <w:spacing w:line="240" w:lineRule="auto"/>
        <w:jc w:val="both"/>
        <w:rPr>
          <w:rFonts w:ascii="Times New Roman" w:hAnsi="Times New Roman" w:cs="Times New Roman"/>
          <w:sz w:val="24"/>
          <w:szCs w:val="24"/>
        </w:rPr>
      </w:pPr>
      <w:r w:rsidRPr="00F93FB5">
        <w:rPr>
          <w:rFonts w:ascii="Times New Roman" w:hAnsi="Times New Roman"/>
          <w:sz w:val="24"/>
          <w:szCs w:val="24"/>
        </w:rPr>
        <w:t>UWZGLĘDNIAJĄC w szczególności art. 10 dekretu z mocą ustawy nr 321 z dnia 17 czerwca 1996 r., przekształconego ze zmianami w ustawą nr 421 z dnia 8 sierpnia 1996 r., w sprawie nabywania i instalacji systemów kontroli promieniotwórczości,</w:t>
      </w:r>
    </w:p>
    <w:p w:rsidR="00A756ED" w:rsidRPr="00F93FB5" w:rsidRDefault="00A756ED" w:rsidP="00146EE7">
      <w:pPr>
        <w:tabs>
          <w:tab w:val="left" w:pos="0"/>
        </w:tabs>
        <w:spacing w:line="240" w:lineRule="auto"/>
        <w:jc w:val="both"/>
        <w:rPr>
          <w:rFonts w:ascii="Times New Roman" w:hAnsi="Times New Roman" w:cs="Times New Roman"/>
          <w:sz w:val="24"/>
          <w:szCs w:val="24"/>
        </w:rPr>
      </w:pPr>
      <w:r w:rsidRPr="00F93FB5">
        <w:rPr>
          <w:rFonts w:ascii="Times New Roman" w:hAnsi="Times New Roman"/>
          <w:sz w:val="24"/>
          <w:szCs w:val="24"/>
        </w:rPr>
        <w:t>UWZGLĘDNIAJĄC rozporządzenie ministra finansów z dnia 22 maja 1995 r. w sprawie wyznaczenia przejść granicznych, na których mają zostać zainstalowane detektory scyntylacyjne do automatycznego wykrywania materiałów radioaktywnych,</w:t>
      </w:r>
    </w:p>
    <w:p w:rsidR="00F66476" w:rsidRPr="00F93FB5" w:rsidRDefault="009E4D53" w:rsidP="000501D0">
      <w:pPr>
        <w:tabs>
          <w:tab w:val="left" w:pos="0"/>
        </w:tabs>
        <w:spacing w:line="240" w:lineRule="auto"/>
        <w:jc w:val="both"/>
        <w:rPr>
          <w:rFonts w:ascii="Times New Roman" w:hAnsi="Times New Roman" w:cs="Times New Roman"/>
          <w:sz w:val="24"/>
          <w:szCs w:val="24"/>
        </w:rPr>
      </w:pPr>
      <w:r w:rsidRPr="00F93FB5">
        <w:rPr>
          <w:rFonts w:ascii="Times New Roman" w:hAnsi="Times New Roman"/>
          <w:sz w:val="24"/>
          <w:szCs w:val="24"/>
        </w:rPr>
        <w:t>UWZGLĘDNIAJĄC dekret ustawodawczy nr 52 z dnia 6 lutego 2007 r. wdrażający dyrektywę 2003/122/WE Euratom w sprawie kontroli wysoce radioaktywnych źródeł zamkniętych i odpadów radioaktywnych, a w szczególności jego art. 15 dotyczący wprowadzenia odpowiednich systemów do lokalizacji i oceny odpadów radioaktywnych,</w:t>
      </w:r>
    </w:p>
    <w:p w:rsidR="00BF7796" w:rsidRPr="00F93FB5" w:rsidRDefault="009E4D53" w:rsidP="00687712">
      <w:pPr>
        <w:spacing w:line="240" w:lineRule="auto"/>
        <w:jc w:val="both"/>
        <w:rPr>
          <w:rFonts w:ascii="Times New Roman" w:hAnsi="Times New Roman" w:cs="Times New Roman"/>
          <w:sz w:val="24"/>
          <w:szCs w:val="24"/>
        </w:rPr>
      </w:pPr>
      <w:r w:rsidRPr="00F93FB5">
        <w:rPr>
          <w:rFonts w:ascii="Times New Roman" w:hAnsi="Times New Roman"/>
          <w:sz w:val="24"/>
          <w:szCs w:val="24"/>
        </w:rPr>
        <w:t>UWZGLĘDNIAJĄC art. 174 ust. 2 Traktatu WE dotyczący zasady ostrożności, która przewiduje, że w przypadku jakiegokolwiek zagrożenia, nawet potencjalnego, dla zdrowia ludzkiego i środowiska należy zapewnić wysoki poziom ochrony,</w:t>
      </w:r>
    </w:p>
    <w:p w:rsidR="00F044D6" w:rsidRPr="00F93FB5" w:rsidRDefault="00F044D6"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UWZGLĘDNIAJĄC art. 17 ust. 3 ustawy nr 400 z dnia 23 sierpnia 1988 r.,</w:t>
      </w:r>
    </w:p>
    <w:p w:rsidR="00EC6946" w:rsidRPr="00F93FB5" w:rsidRDefault="001E58F8" w:rsidP="00146EE7">
      <w:pPr>
        <w:spacing w:line="240" w:lineRule="auto"/>
        <w:jc w:val="both"/>
        <w:rPr>
          <w:rFonts w:ascii="Times New Roman" w:eastAsia="Times New Roman" w:hAnsi="Times New Roman"/>
          <w:sz w:val="24"/>
          <w:szCs w:val="24"/>
        </w:rPr>
      </w:pPr>
      <w:r w:rsidRPr="00F93FB5">
        <w:rPr>
          <w:rFonts w:ascii="Times New Roman" w:hAnsi="Times New Roman"/>
          <w:sz w:val="24"/>
          <w:szCs w:val="24"/>
        </w:rPr>
        <w:t>UWZGLĘDNIAJĄC w szczególności art. 6 dekretu ustawodawczego nr 45 z dnia 4 marca 2014 r. powołujący Krajowy Instytut ds. Bezpieczeństwa Jądrowego i Ochrony przed Promieniowaniem (Ispettorato nazionale per la sicurezza nucleare e la radioprotezione – ISIN) do pełnienia funkcji właściwego organu regulacyjnego w zakresie bezpieczeństwa jądrowego i ochrony przed promieniowaniem, w którym określono m.in. zadania Instytutu, oraz art. 9, na podstawie którego zadanie polegające na kontynuacji pełnienia wyżej wskazanych funkcji, w oczekiwaniu na wejście w życie rozporządzenia określającego sposób wewnętrznej organizacji i funkcjonowania Instytutu, powierzono tymczasowo Departamentowi Energii Jądrowej, Zagrożeń Technologicznych i Przemysłowych działającym przy Instytucie Ochrony Środowiska i Badań nad Środowiskiem (ISPRA),</w:t>
      </w:r>
    </w:p>
    <w:p w:rsidR="00B144CD" w:rsidRPr="00F93FB5" w:rsidRDefault="00B144CD"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MAJĄC NA UWADZE, że wydanie niniejszego rozporządzenia kończy okres obowiązywania uregulowań przejściowych dotyczących obowiązku kontroli radiometrycznej półproduktów metalowych, o których mowa w art. 2 dekretu ustawodawczego nr 100 z dnia 1 czerwca 2011 r., i w związku z tym odnośne przepisy zostają zastąpione przepisami niniejszego rozporządzenia od chwili jego wejścia w życie,</w:t>
      </w:r>
    </w:p>
    <w:p w:rsidR="008162CB" w:rsidRPr="00F93FB5" w:rsidRDefault="00E50D7C" w:rsidP="00146EE7">
      <w:pPr>
        <w:spacing w:line="240" w:lineRule="auto"/>
        <w:jc w:val="both"/>
        <w:rPr>
          <w:rFonts w:ascii="Times New Roman" w:hAnsi="Times New Roman" w:cs="Times New Roman"/>
          <w:strike/>
          <w:sz w:val="24"/>
          <w:szCs w:val="24"/>
        </w:rPr>
      </w:pPr>
      <w:r w:rsidRPr="00F93FB5">
        <w:rPr>
          <w:rFonts w:ascii="Times New Roman" w:hAnsi="Times New Roman"/>
          <w:sz w:val="24"/>
          <w:szCs w:val="24"/>
        </w:rPr>
        <w:t xml:space="preserve">MAJĄC NA UWADZE ewolucję, jaka dokonała się w dziedzinie kontroli radiometrycznych dotyczących złomu i innych pozostałości metalowych oraz półproduktów metalowych przeprowadzanych w celu wykrycia obecności nieprawidłowych poziomów radioaktywności lub ewentualnych niewykorzystanych źródeł, </w:t>
      </w:r>
    </w:p>
    <w:p w:rsidR="00231A56" w:rsidRPr="00F93FB5" w:rsidRDefault="00E50D7C"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 xml:space="preserve">MAJĄC NA UWADZE na konieczność dostosowania – w oparciu o zmiany, jakie zaszły na szczeblu międzynarodowym – kodów identyfikacyjnych kategorii towarowych występujących w wykazie półproduktów metalowych, o którym mowa w załączniku I do dekretu ustawodawczego nr 100 z dnia 1 czerwca 2011 r., </w:t>
      </w:r>
    </w:p>
    <w:p w:rsidR="004213AA" w:rsidRPr="00F93FB5" w:rsidRDefault="00146EE7"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PO KONSULTACJI z Urzędem Ceł i Monopoli,</w:t>
      </w:r>
    </w:p>
    <w:p w:rsidR="00836745" w:rsidRPr="00F93FB5" w:rsidRDefault="004F1DE0"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PO KONSULTACJI z Departamentem Energii Jądrowej, Zagrożeń Technologicznych i Przemysłowych Instytutu Ochrony Środowiska i Badań nad Środowiskiem (ISPRA),</w:t>
      </w:r>
    </w:p>
    <w:p w:rsidR="00231A56" w:rsidRPr="00F93FB5" w:rsidRDefault="00231A56"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lastRenderedPageBreak/>
        <w:t>PO UZYSKANIU opinii Stałej Konferencji ds. Stosunków między Państwem, Regionami i Autonomicznymi Prowincjami Trento i Bolzano, zgodnie z art. 161 dekretu ustawodawczego nr 230 z dnia 17 marca 1995 r.,</w:t>
      </w:r>
    </w:p>
    <w:p w:rsidR="00B310BB" w:rsidRPr="00F93FB5" w:rsidRDefault="004213AA" w:rsidP="00146EE7">
      <w:pPr>
        <w:spacing w:line="240" w:lineRule="auto"/>
        <w:jc w:val="both"/>
        <w:rPr>
          <w:rFonts w:ascii="Times New Roman" w:hAnsi="Times New Roman" w:cs="Times New Roman"/>
          <w:sz w:val="24"/>
          <w:szCs w:val="24"/>
        </w:rPr>
      </w:pPr>
      <w:r w:rsidRPr="00F93FB5">
        <w:rPr>
          <w:rFonts w:ascii="Times New Roman" w:hAnsi="Times New Roman"/>
          <w:sz w:val="24"/>
          <w:szCs w:val="24"/>
        </w:rPr>
        <w:t xml:space="preserve">PO PRZEPROWADZENIU procedury powiadamiania Komisji Europejskiej zgodnie z dyrektywą </w:t>
      </w:r>
      <w:r w:rsidRPr="00F93FB5">
        <w:rPr>
          <w:rFonts w:ascii="Times New Roman" w:hAnsi="Times New Roman"/>
          <w:sz w:val="24"/>
          <w:szCs w:val="24"/>
          <w:highlight w:val="yellow"/>
        </w:rPr>
        <w:t>2015/1535/UE</w:t>
      </w:r>
      <w:r w:rsidRPr="00F93FB5">
        <w:rPr>
          <w:rFonts w:ascii="Times New Roman" w:hAnsi="Times New Roman"/>
          <w:sz w:val="24"/>
          <w:szCs w:val="24"/>
        </w:rPr>
        <w:t xml:space="preserve"> oraz Światowej Organizacji Handlu zgodnie z Porozumieniem w sprawie barier technicznych w handlu obowiązującym od dnia 1 stycznia 1995 r., </w:t>
      </w:r>
    </w:p>
    <w:p w:rsidR="00A91928" w:rsidRPr="00F93FB5" w:rsidRDefault="009E4D53" w:rsidP="00146EE7">
      <w:pPr>
        <w:spacing w:line="240" w:lineRule="auto"/>
        <w:jc w:val="both"/>
        <w:rPr>
          <w:rFonts w:ascii="Times New Roman" w:hAnsi="Times New Roman" w:cs="Times New Roman"/>
          <w:sz w:val="24"/>
          <w:szCs w:val="24"/>
        </w:rPr>
      </w:pPr>
      <w:r w:rsidRPr="00F93FB5">
        <w:rPr>
          <w:rFonts w:ascii="Times New Roman" w:hAnsi="Times New Roman"/>
          <w:sz w:val="24"/>
          <w:szCs w:val="24"/>
          <w:highlight w:val="yellow"/>
        </w:rPr>
        <w:t>PO WYSŁUCHANIU opinii Rady Stanu, wyrażonej przez Sekcję Doradczą ds. Aktów Prawnych na posiedzeniu w dniu _________________</w:t>
      </w:r>
    </w:p>
    <w:p w:rsidR="004213AA" w:rsidRPr="00F93FB5" w:rsidRDefault="004213AA" w:rsidP="004213AA">
      <w:pPr>
        <w:jc w:val="center"/>
        <w:rPr>
          <w:rFonts w:ascii="Times New Roman" w:hAnsi="Times New Roman" w:cs="Times New Roman"/>
          <w:b/>
          <w:sz w:val="24"/>
          <w:szCs w:val="24"/>
        </w:rPr>
      </w:pPr>
      <w:r w:rsidRPr="00F93FB5">
        <w:rPr>
          <w:rFonts w:ascii="Times New Roman" w:hAnsi="Times New Roman"/>
          <w:b/>
          <w:sz w:val="24"/>
          <w:szCs w:val="24"/>
        </w:rPr>
        <w:t>WYDAJE NASTĘPUJĄCE ROZPORZĄDZENIE</w:t>
      </w:r>
    </w:p>
    <w:p w:rsidR="002A06FD" w:rsidRPr="00F93FB5" w:rsidRDefault="002A06FD" w:rsidP="00160CDF">
      <w:pPr>
        <w:spacing w:after="0" w:line="240" w:lineRule="auto"/>
        <w:jc w:val="center"/>
        <w:rPr>
          <w:rFonts w:ascii="Times New Roman" w:hAnsi="Times New Roman" w:cs="Times New Roman"/>
          <w:sz w:val="24"/>
          <w:szCs w:val="24"/>
        </w:rPr>
      </w:pPr>
      <w:r w:rsidRPr="00F93FB5">
        <w:rPr>
          <w:rFonts w:ascii="Times New Roman" w:hAnsi="Times New Roman"/>
          <w:sz w:val="24"/>
          <w:szCs w:val="24"/>
        </w:rPr>
        <w:t>Artykuł 1</w:t>
      </w:r>
    </w:p>
    <w:p w:rsidR="001E58F8" w:rsidRPr="00F93FB5" w:rsidRDefault="001E58F8" w:rsidP="001E58F8">
      <w:pPr>
        <w:jc w:val="center"/>
        <w:rPr>
          <w:rFonts w:ascii="Times New Roman" w:hAnsi="Times New Roman"/>
          <w:i/>
          <w:sz w:val="24"/>
          <w:szCs w:val="24"/>
        </w:rPr>
      </w:pPr>
      <w:r w:rsidRPr="00F93FB5">
        <w:rPr>
          <w:rFonts w:ascii="Times New Roman" w:hAnsi="Times New Roman"/>
          <w:i/>
          <w:sz w:val="24"/>
          <w:szCs w:val="24"/>
        </w:rPr>
        <w:t>Cel i zakres stosowania</w:t>
      </w:r>
    </w:p>
    <w:p w:rsidR="001E58F8" w:rsidRPr="00F93FB5"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F93FB5">
        <w:rPr>
          <w:rFonts w:ascii="Times New Roman" w:hAnsi="Times New Roman"/>
          <w:sz w:val="24"/>
          <w:szCs w:val="24"/>
        </w:rPr>
        <w:t>W niniejszym rozporządzeniu ustanawia się zasady wykonywania kontroli radiometrycznych, o których mowa w art. 157 ust. 1 dekretu ustawodawczego nr 230 z dnia 17 marca 1995 r., mających na celu wykrycie obecności nieprawidłowych poziomów radioaktywności lub ewentualnych niewykorzystanych źródeł w celu zapewnienia ochrony sanitarnej pracowników i ludności przed narażeniem na promieniowanie jonizujące oraz w celu zapobiegania zanieczyszczeniu środowiska, przez podmioty, które w celach przemysłowych lub handlowych prowadzą działalność związaną z przywozem, odbiorem, składowaniem lub przetopem złomu lub innych pozostałości metalowych, lub podmioty, które w celach przemysłowych lub handlowych prowadzą działalność związaną z przywozem półproduktów metalowych.</w:t>
      </w:r>
    </w:p>
    <w:p w:rsidR="00224337" w:rsidRPr="00F93FB5"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Ponadto w niniejszym rozporządzeniu określa się treść certyfikatów dokonania kontroli radiometrycznej, o których mowa w art. 157 ust. 2 dekretu ustawodawczego nr 230 z dnia 17 marca 1995 r., wykaz półproduktów metalowych podlegających kontroli radiometrycznej, uchylający załącznik I do dekretu ustawodawczego nr 100 z dnia 1 czerwca 2011 r., a także ustanawia się przepisy w zakresie wzajemnego uznawania certyfikatów kontroli radiometrycznych dotyczących ładunków zawierających przywożony złom metalowy lub inne pozostałości metalowe oraz metalowe półprodukty, dokonywanych w miejscu pochodzenia w celu dopełnienia formalności celnych.</w:t>
      </w:r>
    </w:p>
    <w:p w:rsidR="00146EE7" w:rsidRPr="00F93FB5" w:rsidRDefault="00146EE7" w:rsidP="00160CDF">
      <w:pPr>
        <w:spacing w:after="0"/>
        <w:ind w:left="360"/>
        <w:jc w:val="both"/>
        <w:rPr>
          <w:rFonts w:ascii="Times New Roman" w:hAnsi="Times New Roman" w:cs="Times New Roman"/>
          <w:i/>
          <w:sz w:val="24"/>
          <w:szCs w:val="24"/>
        </w:rPr>
      </w:pPr>
    </w:p>
    <w:p w:rsidR="006F7602" w:rsidRPr="00F93FB5" w:rsidRDefault="002028A7" w:rsidP="00160CDF">
      <w:pPr>
        <w:spacing w:after="0" w:line="240" w:lineRule="auto"/>
        <w:ind w:left="360"/>
        <w:jc w:val="center"/>
        <w:rPr>
          <w:rFonts w:ascii="Times New Roman" w:hAnsi="Times New Roman" w:cs="Times New Roman"/>
          <w:sz w:val="24"/>
          <w:szCs w:val="24"/>
        </w:rPr>
      </w:pPr>
      <w:r w:rsidRPr="00F93FB5">
        <w:rPr>
          <w:rFonts w:ascii="Times New Roman" w:hAnsi="Times New Roman"/>
          <w:sz w:val="24"/>
          <w:szCs w:val="24"/>
        </w:rPr>
        <w:t>Artykuł 2</w:t>
      </w:r>
    </w:p>
    <w:p w:rsidR="00231A56" w:rsidRPr="00F93FB5" w:rsidRDefault="00EC26E1" w:rsidP="00160CDF">
      <w:pPr>
        <w:spacing w:after="0" w:line="240" w:lineRule="auto"/>
        <w:ind w:left="360"/>
        <w:jc w:val="center"/>
        <w:rPr>
          <w:rFonts w:ascii="Times New Roman" w:hAnsi="Times New Roman" w:cs="Times New Roman"/>
          <w:i/>
          <w:sz w:val="24"/>
          <w:szCs w:val="24"/>
        </w:rPr>
      </w:pPr>
      <w:r w:rsidRPr="00F93FB5">
        <w:rPr>
          <w:rFonts w:ascii="Times New Roman" w:hAnsi="Times New Roman"/>
          <w:i/>
          <w:sz w:val="24"/>
          <w:szCs w:val="24"/>
        </w:rPr>
        <w:t>Kryteria kontroli radiometrycznej</w:t>
      </w:r>
    </w:p>
    <w:p w:rsidR="00EC26E1" w:rsidRPr="00F93FB5" w:rsidRDefault="00EC26E1" w:rsidP="00160CDF">
      <w:pPr>
        <w:spacing w:after="0" w:line="240" w:lineRule="auto"/>
        <w:ind w:left="360"/>
        <w:jc w:val="center"/>
        <w:rPr>
          <w:rFonts w:ascii="Times New Roman" w:hAnsi="Times New Roman" w:cs="Times New Roman"/>
          <w:sz w:val="24"/>
          <w:szCs w:val="24"/>
        </w:rPr>
      </w:pPr>
    </w:p>
    <w:p w:rsidR="003B3C39" w:rsidRPr="00F93FB5" w:rsidRDefault="00D24F86" w:rsidP="00D24F86">
      <w:pPr>
        <w:pStyle w:val="Footer"/>
        <w:numPr>
          <w:ilvl w:val="0"/>
          <w:numId w:val="11"/>
        </w:numPr>
        <w:jc w:val="both"/>
        <w:rPr>
          <w:rFonts w:ascii="Times New Roman" w:hAnsi="Times New Roman" w:cs="Times New Roman"/>
          <w:sz w:val="24"/>
        </w:rPr>
      </w:pPr>
      <w:r w:rsidRPr="00F93FB5">
        <w:rPr>
          <w:rFonts w:ascii="Times New Roman" w:hAnsi="Times New Roman"/>
          <w:sz w:val="24"/>
        </w:rPr>
        <w:t xml:space="preserve">Kontrolę radiometryczną ładunków zawierających złom lub inne pozostałości metalowe oraz metalowe półprodukty przeprowadza się przez pomiar mocy dawki pochłoniętej w powietrzu dokonywany na zewnątrz ładunku w celu wykrycia ewentualnej obecności odpadów radioaktywnych lub jakichkolwiek nieprawidłowych poziomów radioaktywności, które ustala się zgodnie z zasadami dobrej praktyki w tym zakresie lub na podstawie wytycznych technicznych wydanych zgodnie z art. 153 dekretu ustawodawczego nr 230 z dnia 17 marca 1995 r., o ile są dostępne, a także w celach związanych z dopełnieniem obowiązków określonych w art. 157 ust. 4 wyżej wskazanego dekretu ustawodawczego. Jako ładunek należy rozumieć kontener, pojazd, wagon kolejowy lub jakikolwiek inny pojemnik na wyżej wskazany złom, materiały lub półprodukty metalowe. </w:t>
      </w:r>
    </w:p>
    <w:p w:rsidR="00D24F86" w:rsidRPr="00F93FB5" w:rsidRDefault="00707A33" w:rsidP="00D24F86">
      <w:pPr>
        <w:pStyle w:val="Footer"/>
        <w:numPr>
          <w:ilvl w:val="0"/>
          <w:numId w:val="11"/>
        </w:numPr>
        <w:jc w:val="both"/>
        <w:rPr>
          <w:rFonts w:ascii="Times New Roman" w:hAnsi="Times New Roman" w:cs="Times New Roman"/>
          <w:sz w:val="24"/>
        </w:rPr>
      </w:pPr>
      <w:r w:rsidRPr="00F93FB5">
        <w:rPr>
          <w:rFonts w:ascii="Times New Roman" w:hAnsi="Times New Roman"/>
          <w:sz w:val="24"/>
        </w:rPr>
        <w:t>Kontrolę radiometryczną przeprowadza się również w trakcie rozładunku lub przeładunku przez pomiar mocy dawki pochłoniętej w powietrzu dokonywany na zewnątrz złomu lub innych metalowych pozostałości oraz metalowych półproduktów.</w:t>
      </w:r>
    </w:p>
    <w:p w:rsidR="00707A33" w:rsidRPr="00F93FB5" w:rsidRDefault="00707A33" w:rsidP="00D24F86">
      <w:pPr>
        <w:pStyle w:val="Footer"/>
        <w:numPr>
          <w:ilvl w:val="0"/>
          <w:numId w:val="11"/>
        </w:numPr>
        <w:jc w:val="both"/>
        <w:rPr>
          <w:rFonts w:ascii="Times New Roman" w:hAnsi="Times New Roman" w:cs="Times New Roman"/>
          <w:sz w:val="24"/>
        </w:rPr>
      </w:pPr>
      <w:r w:rsidRPr="00F93FB5">
        <w:rPr>
          <w:rFonts w:ascii="Times New Roman" w:hAnsi="Times New Roman"/>
          <w:sz w:val="24"/>
        </w:rPr>
        <w:lastRenderedPageBreak/>
        <w:t>W przypadku wykrycia źródeł promieniotwórczych lub jeśli pomiary radiometryczne wskazują na obecność nieprawidłowych poziomów radioaktywności, należy przeprowadzić kontrolę skażenia powierzchniowego ścian wewnętrznych pojemników użytych do przewozu materiałów.</w:t>
      </w:r>
    </w:p>
    <w:p w:rsidR="00EC26E1" w:rsidRPr="00F93FB5" w:rsidRDefault="00D138EC" w:rsidP="00D24F86">
      <w:pPr>
        <w:pStyle w:val="Footer"/>
        <w:numPr>
          <w:ilvl w:val="0"/>
          <w:numId w:val="11"/>
        </w:numPr>
        <w:jc w:val="both"/>
        <w:rPr>
          <w:rFonts w:ascii="Times New Roman" w:hAnsi="Times New Roman" w:cs="Times New Roman"/>
          <w:sz w:val="24"/>
        </w:rPr>
      </w:pPr>
      <w:r w:rsidRPr="00F93FB5">
        <w:rPr>
          <w:rFonts w:ascii="Times New Roman" w:hAnsi="Times New Roman"/>
          <w:sz w:val="24"/>
        </w:rPr>
        <w:t>W ramach zaplanowanej kontroli jakości próbek odlewniczych lub w przypadku każdego podejrzanego przetopu źródeł promieniotwórczych lub skażonego materiału należy dokonać pomiaru stężenia promieniotwórczego na jednostkę masy w wyrobie oraz w żużlu odlewniczym, a także w pyłach pochodzących z zakładowego systemu redukcji dymów.</w:t>
      </w:r>
    </w:p>
    <w:p w:rsidR="00D24F86" w:rsidRPr="00F93FB5" w:rsidRDefault="00F32D90" w:rsidP="00D24F86">
      <w:pPr>
        <w:pStyle w:val="Footer"/>
        <w:numPr>
          <w:ilvl w:val="0"/>
          <w:numId w:val="11"/>
        </w:numPr>
        <w:jc w:val="both"/>
        <w:rPr>
          <w:rFonts w:ascii="Times New Roman" w:hAnsi="Times New Roman" w:cs="Times New Roman"/>
          <w:sz w:val="24"/>
        </w:rPr>
      </w:pPr>
      <w:r w:rsidRPr="00F93FB5">
        <w:rPr>
          <w:rFonts w:ascii="Times New Roman" w:hAnsi="Times New Roman"/>
          <w:sz w:val="24"/>
        </w:rPr>
        <w:t>W przypadku złomu i innych pozostałości metalowych transportowanych drogą morską kontrola radiometryczna przeprowadzana jest na stopniowo tworzonych ładunkach.</w:t>
      </w:r>
    </w:p>
    <w:p w:rsidR="00EC26E1" w:rsidRPr="00F93FB5" w:rsidRDefault="00EC26E1" w:rsidP="00160CDF">
      <w:pPr>
        <w:spacing w:after="0" w:line="240" w:lineRule="auto"/>
        <w:ind w:left="360"/>
        <w:jc w:val="center"/>
        <w:rPr>
          <w:rFonts w:ascii="Times New Roman" w:hAnsi="Times New Roman" w:cs="Times New Roman"/>
          <w:sz w:val="24"/>
          <w:szCs w:val="24"/>
        </w:rPr>
      </w:pPr>
    </w:p>
    <w:p w:rsidR="00F32D90" w:rsidRPr="00F93FB5" w:rsidRDefault="00F32D90" w:rsidP="00223553">
      <w:pPr>
        <w:keepNext/>
        <w:spacing w:after="0" w:line="240" w:lineRule="auto"/>
        <w:ind w:left="357"/>
        <w:jc w:val="center"/>
        <w:rPr>
          <w:rFonts w:ascii="Times New Roman" w:hAnsi="Times New Roman" w:cs="Times New Roman"/>
          <w:sz w:val="24"/>
          <w:szCs w:val="24"/>
        </w:rPr>
      </w:pPr>
      <w:r w:rsidRPr="00F93FB5">
        <w:rPr>
          <w:rFonts w:ascii="Times New Roman" w:hAnsi="Times New Roman"/>
          <w:sz w:val="24"/>
          <w:szCs w:val="24"/>
        </w:rPr>
        <w:t>Artykuł 3</w:t>
      </w:r>
    </w:p>
    <w:p w:rsidR="002028A7" w:rsidRPr="00F93FB5" w:rsidRDefault="002028A7" w:rsidP="00223553">
      <w:pPr>
        <w:keepNext/>
        <w:spacing w:after="0" w:line="240" w:lineRule="auto"/>
        <w:ind w:left="357"/>
        <w:jc w:val="center"/>
        <w:rPr>
          <w:rFonts w:ascii="Times New Roman" w:hAnsi="Times New Roman" w:cs="Times New Roman"/>
          <w:i/>
          <w:sz w:val="24"/>
          <w:szCs w:val="24"/>
        </w:rPr>
      </w:pPr>
      <w:r w:rsidRPr="00F93FB5">
        <w:rPr>
          <w:rFonts w:ascii="Times New Roman" w:hAnsi="Times New Roman"/>
          <w:i/>
          <w:sz w:val="24"/>
          <w:szCs w:val="24"/>
        </w:rPr>
        <w:t>Sposoby przeprowadzania kontroli radiometrycznej</w:t>
      </w:r>
    </w:p>
    <w:p w:rsidR="003B3C39" w:rsidRPr="00F93FB5" w:rsidRDefault="003B3C39" w:rsidP="00223553">
      <w:pPr>
        <w:keepNext/>
        <w:spacing w:after="0" w:line="240" w:lineRule="auto"/>
        <w:ind w:left="357"/>
        <w:jc w:val="center"/>
        <w:rPr>
          <w:rFonts w:ascii="Times New Roman" w:hAnsi="Times New Roman" w:cs="Times New Roman"/>
          <w:i/>
          <w:sz w:val="24"/>
          <w:szCs w:val="24"/>
        </w:rPr>
      </w:pPr>
    </w:p>
    <w:p w:rsidR="00586CE6" w:rsidRPr="00F93FB5" w:rsidRDefault="00E976DA">
      <w:pPr>
        <w:pStyle w:val="ListParagraph"/>
        <w:numPr>
          <w:ilvl w:val="0"/>
          <w:numId w:val="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 xml:space="preserve">Podmioty wskazane w art. 157 ust. 1 dekretu ustawodawczego nr 230 z dnia 17 marca 1995 r., które w celach przemysłowych lub handlowych prowadzą działalność związaną z odbiorem i składowaniem złomu lub innych pozostałości metalowych, muszą przeprowadzać kontrolę radiometryczną na wejściu do zakładu docelowego przez pomiar mocy dawki pochłoniętej w powietrzu dokonywany na zewnątrz każdego ładunku. </w:t>
      </w:r>
    </w:p>
    <w:p w:rsidR="00760AF9" w:rsidRPr="00F93FB5" w:rsidRDefault="00D27263">
      <w:pPr>
        <w:pStyle w:val="ListParagraph"/>
        <w:numPr>
          <w:ilvl w:val="0"/>
          <w:numId w:val="5"/>
        </w:numPr>
        <w:spacing w:after="0" w:line="240" w:lineRule="auto"/>
        <w:jc w:val="both"/>
        <w:rPr>
          <w:rFonts w:ascii="Times New Roman" w:hAnsi="Times New Roman" w:cs="Times New Roman"/>
          <w:sz w:val="24"/>
          <w:szCs w:val="24"/>
        </w:rPr>
      </w:pPr>
      <w:r w:rsidRPr="00F93FB5">
        <w:rPr>
          <w:rFonts w:ascii="Times New Roman" w:hAnsi="Times New Roman"/>
          <w:sz w:val="24"/>
        </w:rPr>
        <w:t>Podmioty wskazane w ust. 1, oprócz obowiązków wynikających z ust. 1, podczas rozładunku lub przeładunku wyżej wskazanych materiałów muszą również przeprowadzić wstępną kontrolę wzrokową – uwzględniając powszechnie znane właściwości źródeł promieniotwórczych oraz ich pojemników – w celu stwierdzenia ewentualnej obecności podejrzanych materiałów, a także dokonać pomiaru mocy dawki pochłoniętej w powietrzu na zewnątrz rozładowywanego materiału.</w:t>
      </w:r>
    </w:p>
    <w:p w:rsidR="00BF09C2" w:rsidRPr="00F93FB5" w:rsidRDefault="00BF09C2">
      <w:pPr>
        <w:pStyle w:val="ListParagraph"/>
        <w:numPr>
          <w:ilvl w:val="0"/>
          <w:numId w:val="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Podmioty, które w celach przemysłowych lub handlowych prowadzą działalność związaną z przetopem złomu lub innych pozostałości metalowych, muszą dokonać – w ramach zaplanowanej kontroli jakości próbek odlewniczych lub zawsze w przypadku podejrzenia przetopu źródeł promieniotwórczych lub skażonego materiału – pomiaru stężenia promieniotwórczego na jednostkę masy w próbkach jakościowych i wydajnościowych pobranych z każdego wsadu do pieca do topienia. Podmioty te mają również obowiązek przeprowadzać kontrole radiometryczne na reprezentatywnych próbkach zgarów i pyłów pochodzących z systemu redukcji dymów danej instalacji. Częstotliwość przeprowadzania kontroli oraz liczba próbek niezbędna w celu uzyskania reprezentatywnych danych należy określić na podstawie odpowiedniej procedury zakładowej, opracowanej w oparciu o charakterystykę samego zakładu oraz wykonywane w nim procesy. Organy nadzoru mogą ustanowić inną częstotliwość przeprowadzania kontroli.</w:t>
      </w:r>
    </w:p>
    <w:p w:rsidR="00D27263" w:rsidRPr="00F93FB5" w:rsidRDefault="00D138EC">
      <w:pPr>
        <w:pStyle w:val="ListParagraph"/>
        <w:numPr>
          <w:ilvl w:val="0"/>
          <w:numId w:val="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Kontrole, o których mowa w powyższych ust. 1 i 3, należy przeprowadzić zanim materiały lub wyroby zostaną przetransportowane poza zakład.</w:t>
      </w:r>
    </w:p>
    <w:p w:rsidR="00D27263" w:rsidRPr="00F93FB5" w:rsidRDefault="00D27263">
      <w:pPr>
        <w:pStyle w:val="ListParagraph"/>
        <w:numPr>
          <w:ilvl w:val="0"/>
          <w:numId w:val="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Podmioty, które w celach przemysłowych lub handlowych prowadzą działalność związaną z przywozem złomu lub innych pozostałości metalowych oraz półproduktów metalowych, z zastrzeżeniem przepisów art. 7 niniejszego rozporządzenia, mają obowiązek przeprowadzać kontrolę radiometryczną na wejściu do zakładu docelowego oraz w chwili rozładunku złomu lub wyrobów przez pomiar mocy dawki pochłoniętej w powietrzu na zewnątrz każdego ładunku oraz na zewnątrz rozładowywanych materiałów.</w:t>
      </w:r>
    </w:p>
    <w:p w:rsidR="00BF09C2" w:rsidRPr="00F93FB5"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F93FB5" w:rsidRDefault="008E72DD" w:rsidP="00F93FB5">
      <w:pPr>
        <w:keepNext/>
        <w:keepLines/>
        <w:spacing w:after="0" w:line="240" w:lineRule="auto"/>
        <w:ind w:left="360"/>
        <w:jc w:val="center"/>
        <w:rPr>
          <w:rFonts w:ascii="Times New Roman" w:hAnsi="Times New Roman" w:cs="Times New Roman"/>
          <w:sz w:val="24"/>
          <w:szCs w:val="24"/>
        </w:rPr>
      </w:pPr>
      <w:r w:rsidRPr="00F93FB5">
        <w:rPr>
          <w:rFonts w:ascii="Times New Roman" w:hAnsi="Times New Roman"/>
          <w:sz w:val="24"/>
          <w:szCs w:val="24"/>
        </w:rPr>
        <w:lastRenderedPageBreak/>
        <w:t>Artykuł 4</w:t>
      </w:r>
    </w:p>
    <w:p w:rsidR="008E72DD" w:rsidRPr="00F93FB5" w:rsidRDefault="008E72DD" w:rsidP="00F93FB5">
      <w:pPr>
        <w:keepNext/>
        <w:keepLines/>
        <w:spacing w:after="0" w:line="240" w:lineRule="auto"/>
        <w:ind w:left="360"/>
        <w:jc w:val="center"/>
        <w:rPr>
          <w:rFonts w:ascii="Times New Roman" w:hAnsi="Times New Roman" w:cs="Times New Roman"/>
          <w:i/>
          <w:sz w:val="24"/>
          <w:szCs w:val="24"/>
        </w:rPr>
      </w:pPr>
      <w:r w:rsidRPr="00F93FB5">
        <w:rPr>
          <w:rFonts w:ascii="Times New Roman" w:hAnsi="Times New Roman"/>
          <w:i/>
          <w:sz w:val="24"/>
          <w:szCs w:val="24"/>
        </w:rPr>
        <w:t>Certyfikacja kontroli radiometrycznej</w:t>
      </w:r>
    </w:p>
    <w:p w:rsidR="00502D9D" w:rsidRPr="00F93FB5" w:rsidRDefault="00502D9D" w:rsidP="00F93FB5">
      <w:pPr>
        <w:keepNext/>
        <w:keepLines/>
        <w:spacing w:after="0" w:line="240" w:lineRule="auto"/>
        <w:jc w:val="both"/>
        <w:rPr>
          <w:rFonts w:ascii="Times New Roman" w:hAnsi="Times New Roman" w:cs="Times New Roman"/>
          <w:sz w:val="24"/>
          <w:szCs w:val="24"/>
        </w:rPr>
      </w:pPr>
    </w:p>
    <w:p w:rsidR="00BD4BEC" w:rsidRPr="00F93FB5"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F93FB5">
        <w:rPr>
          <w:rFonts w:ascii="Times New Roman" w:hAnsi="Times New Roman"/>
          <w:sz w:val="24"/>
          <w:szCs w:val="24"/>
        </w:rPr>
        <w:t>Certyfikat dokonania kontroli radiometrycznej wydawany przez wykwalifikowanych specjalistów, o których mowa w art. 157 ust. 2 dekretu ustawodawczego nr 230 z dnia 17 marca 1995 r., musi zawierać przynajmniej następujące informacje:</w:t>
      </w:r>
    </w:p>
    <w:p w:rsidR="00C0795E" w:rsidRPr="00F93FB5"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dane identyfikacyjne ładunku;</w:t>
      </w:r>
    </w:p>
    <w:p w:rsidR="00085F28" w:rsidRPr="00F93FB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rodzaj metalu;</w:t>
      </w:r>
    </w:p>
    <w:p w:rsidR="00C0795E" w:rsidRPr="00F93FB5"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miejsce pochodzenia;</w:t>
      </w:r>
    </w:p>
    <w:p w:rsidR="00C0795E" w:rsidRPr="00F93FB5"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data przeprowadzenia kontroli radiometrycznej;</w:t>
      </w:r>
    </w:p>
    <w:p w:rsidR="00085F28" w:rsidRPr="00F93FB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wartość naturalnego tła promieniowania zmierzona przed przeprowadzeniem kontroli radiometrycznej;</w:t>
      </w:r>
    </w:p>
    <w:p w:rsidR="00C0795E" w:rsidRPr="00F93FB5"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rodzaj wykonanych pomiarów radiometrycznych i użytego sprzętu;</w:t>
      </w:r>
    </w:p>
    <w:p w:rsidR="00085F28" w:rsidRPr="00F93FB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ostatnia kontrola użytego urządzenia pomiarowego pod względem poprawności działania;</w:t>
      </w:r>
    </w:p>
    <w:p w:rsidR="00085F28" w:rsidRPr="00F93FB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imię i nazwisko operatora wykonującego pomiar radiometryczny;</w:t>
      </w:r>
    </w:p>
    <w:p w:rsidR="00C0795E" w:rsidRPr="00F93FB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wyniki dokonanych pomiarów;</w:t>
      </w:r>
    </w:p>
    <w:p w:rsidR="00C0795E" w:rsidRPr="00F93FB5"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F93FB5">
        <w:rPr>
          <w:rFonts w:ascii="Times New Roman" w:hAnsi="Times New Roman"/>
          <w:sz w:val="24"/>
          <w:szCs w:val="24"/>
        </w:rPr>
        <w:t>decyzje dotyczące przyjęcia / odrzucenia ładunku / materiału.</w:t>
      </w:r>
    </w:p>
    <w:p w:rsidR="00577A7D" w:rsidRPr="00F93FB5" w:rsidRDefault="00577A7D" w:rsidP="00577A7D">
      <w:pPr>
        <w:spacing w:after="0" w:line="240" w:lineRule="auto"/>
        <w:ind w:left="709"/>
        <w:jc w:val="both"/>
        <w:rPr>
          <w:rFonts w:ascii="Times New Roman" w:hAnsi="Times New Roman" w:cs="Times New Roman"/>
          <w:sz w:val="24"/>
          <w:szCs w:val="24"/>
        </w:rPr>
      </w:pPr>
      <w:r w:rsidRPr="00F93FB5">
        <w:rPr>
          <w:rFonts w:ascii="Times New Roman" w:hAnsi="Times New Roman"/>
          <w:sz w:val="24"/>
          <w:szCs w:val="24"/>
        </w:rPr>
        <w:t>Jeżeli w zakładzie przetapiany jest złom lub inne pozostałości metalowe, certyfikat musi zawierać także istotne informacje dotyczące kontroli radiometrycznej oraz wyniki pomiarów stężenia promieniotwórczego na jednostkę masy w wyrobie oraz w żużlu odlewniczym, a także w pyłach pochodzących z zakładowego systemu redukcji dymów.</w:t>
      </w:r>
    </w:p>
    <w:p w:rsidR="00C0795E" w:rsidRPr="00F93FB5"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F93FB5">
        <w:rPr>
          <w:rFonts w:ascii="Times New Roman" w:hAnsi="Times New Roman"/>
          <w:sz w:val="24"/>
          <w:szCs w:val="24"/>
        </w:rPr>
        <w:t>Certyfikat, o którym mowa w ust. 1, należy załączyć do specjalnego rejestru utworzonego przez wykwalifikowanego specjalistę wyznaczonego przez podmiot, o którym mowa w art. 157 ust. 1 dekretu ustawodawczego nr 230 z dnia 17 marca 1995 r. Rejestr ten należy przechowywać co najmniej przez pięć lat w miejscu dostępnym dla organów nadzoru, w siedzibie zakładu lub – w przypadku konieczności zapewnienia lepszych warunków przechowywania – w siedzibie prawnej podmiotu, o którym mowa w art. 157 ust. 1 wyżej wskazanego dekretu ustawodawczego.</w:t>
      </w:r>
    </w:p>
    <w:p w:rsidR="00C0795E" w:rsidRPr="00F93FB5" w:rsidRDefault="00C0795E" w:rsidP="00502D9D">
      <w:pPr>
        <w:spacing w:after="0" w:line="240" w:lineRule="auto"/>
        <w:jc w:val="both"/>
        <w:rPr>
          <w:rFonts w:ascii="Times New Roman" w:hAnsi="Times New Roman" w:cs="Times New Roman"/>
          <w:sz w:val="24"/>
          <w:szCs w:val="24"/>
        </w:rPr>
      </w:pPr>
    </w:p>
    <w:p w:rsidR="00C0795E" w:rsidRPr="00F93FB5" w:rsidRDefault="00C0795E" w:rsidP="00C0795E">
      <w:pPr>
        <w:spacing w:after="0" w:line="240" w:lineRule="auto"/>
        <w:ind w:left="360"/>
        <w:jc w:val="center"/>
        <w:rPr>
          <w:rFonts w:ascii="Times New Roman" w:hAnsi="Times New Roman" w:cs="Times New Roman"/>
          <w:sz w:val="24"/>
          <w:szCs w:val="24"/>
        </w:rPr>
      </w:pPr>
      <w:r w:rsidRPr="00F93FB5">
        <w:rPr>
          <w:rFonts w:ascii="Times New Roman" w:hAnsi="Times New Roman"/>
          <w:sz w:val="24"/>
          <w:szCs w:val="24"/>
        </w:rPr>
        <w:t>Artykuł 5</w:t>
      </w:r>
    </w:p>
    <w:p w:rsidR="00C0795E" w:rsidRPr="00F93FB5" w:rsidRDefault="00C0795E" w:rsidP="00C0795E">
      <w:pPr>
        <w:spacing w:after="0" w:line="240" w:lineRule="auto"/>
        <w:ind w:left="360"/>
        <w:jc w:val="center"/>
        <w:rPr>
          <w:rFonts w:ascii="Times New Roman" w:hAnsi="Times New Roman" w:cs="Times New Roman"/>
          <w:i/>
          <w:sz w:val="24"/>
          <w:szCs w:val="24"/>
        </w:rPr>
      </w:pPr>
      <w:r w:rsidRPr="00F93FB5">
        <w:rPr>
          <w:rFonts w:ascii="Times New Roman" w:hAnsi="Times New Roman"/>
          <w:i/>
          <w:sz w:val="24"/>
          <w:szCs w:val="24"/>
        </w:rPr>
        <w:t>Personel upoważniony do przeprowadzania kontroli radiometrycznej</w:t>
      </w:r>
    </w:p>
    <w:p w:rsidR="00C0795E" w:rsidRPr="00F93FB5" w:rsidRDefault="00C0795E" w:rsidP="00502D9D">
      <w:pPr>
        <w:spacing w:after="0" w:line="240" w:lineRule="auto"/>
        <w:jc w:val="both"/>
        <w:rPr>
          <w:rFonts w:ascii="Times New Roman" w:hAnsi="Times New Roman" w:cs="Times New Roman"/>
          <w:sz w:val="24"/>
          <w:szCs w:val="24"/>
        </w:rPr>
      </w:pPr>
    </w:p>
    <w:p w:rsidR="006D4BF0" w:rsidRPr="00F93FB5"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Pomiary radiometryczne mogą wykonywać również pracownicy nieposiadający specjalistycznych uprawnień zawodowych, pod warunkiem że:</w:t>
      </w:r>
    </w:p>
    <w:p w:rsidR="006D4BF0" w:rsidRPr="00F93FB5"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podlegają oni bezpośrednio pod zwierzchnictwo podmiotu, o którym mowa w art. 157 ust. 1 dekretu ustawodawczego nr 230 z dnia 17 marca 1995 r.;</w:t>
      </w:r>
    </w:p>
    <w:p w:rsidR="00C87594" w:rsidRPr="00F93FB5"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zostali wybrani przez pracodawcę danego zakładu w porozumieniu z wykwalifikowanym specjalistą wyznaczonym do tego celu;</w:t>
      </w:r>
    </w:p>
    <w:p w:rsidR="00C87594" w:rsidRPr="00F93FB5"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zostali uprzednio objęci odpowiednim programem informacyjno-szkoleniowym;</w:t>
      </w:r>
    </w:p>
    <w:p w:rsidR="00C87594" w:rsidRPr="00F93FB5"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powierzone czynności wykonywane są zgodnie z wytycznymi i wskazówkami uzyskanymi od wykwalifikowanego specjalisty oraz na jego odpowiedzialność;</w:t>
      </w:r>
    </w:p>
    <w:p w:rsidR="00C87594" w:rsidRPr="00F93FB5"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przestrzegają oni procedur wskazanych przez wykwalifikowanego specjalistę, a w przypadku podejrzenia wystąpienia źródeł niekontrolowanych lub skażonego materiału – wewnętrznych zasad ustalonych przed pracodawcę w porozumieniu z wykwalifikowanym specjalistą.</w:t>
      </w:r>
    </w:p>
    <w:p w:rsidR="00C0795E" w:rsidRPr="00F93FB5"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F93FB5">
        <w:rPr>
          <w:rFonts w:ascii="Times New Roman" w:hAnsi="Times New Roman"/>
          <w:sz w:val="24"/>
          <w:szCs w:val="24"/>
        </w:rPr>
        <w:t xml:space="preserve">Wykwalifikowany specjalista wyznaczony przez podmiot, o którym mowa w art. 157 ust. 1 dekretu ustawodawczego nr 230 z dnia 17 marca 1995 r., musi w szczególności przekazać pracodawcy wskazówki dotyczące zabezpieczenia przed promieniowaniem, niezbędne w celu opracowania procedur przeprowadzania pomiarów radiometrycznych oraz opracowania środków bezpieczeństwa i ochrony podejmowanych w razie wykrycia źródeł </w:t>
      </w:r>
      <w:r w:rsidRPr="00F93FB5">
        <w:rPr>
          <w:rFonts w:ascii="Times New Roman" w:hAnsi="Times New Roman"/>
          <w:sz w:val="24"/>
          <w:szCs w:val="24"/>
        </w:rPr>
        <w:lastRenderedPageBreak/>
        <w:t>niekontrolowanych lub skażonego materiału metalowego, a także w celu wypełnienia zobowiązań nałożonych przez art. 157 ust. 4 wyżej wskazanego dekretu ustawodawczego.</w:t>
      </w:r>
    </w:p>
    <w:p w:rsidR="00C0795E" w:rsidRPr="00F93FB5" w:rsidRDefault="00C0795E" w:rsidP="00502D9D">
      <w:pPr>
        <w:spacing w:after="0" w:line="240" w:lineRule="auto"/>
        <w:jc w:val="both"/>
        <w:rPr>
          <w:rFonts w:ascii="Times New Roman" w:hAnsi="Times New Roman" w:cs="Times New Roman"/>
          <w:sz w:val="24"/>
          <w:szCs w:val="24"/>
        </w:rPr>
      </w:pPr>
    </w:p>
    <w:p w:rsidR="008E72DD" w:rsidRPr="00F93FB5" w:rsidRDefault="00C0795E" w:rsidP="008E72DD">
      <w:pPr>
        <w:spacing w:after="0" w:line="240" w:lineRule="auto"/>
        <w:ind w:left="360"/>
        <w:jc w:val="center"/>
        <w:rPr>
          <w:rFonts w:ascii="Times New Roman" w:hAnsi="Times New Roman" w:cs="Times New Roman"/>
          <w:sz w:val="24"/>
          <w:szCs w:val="24"/>
        </w:rPr>
      </w:pPr>
      <w:r w:rsidRPr="00F93FB5">
        <w:rPr>
          <w:rFonts w:ascii="Times New Roman" w:hAnsi="Times New Roman"/>
          <w:sz w:val="24"/>
          <w:szCs w:val="24"/>
        </w:rPr>
        <w:t>Artykuł 6</w:t>
      </w:r>
    </w:p>
    <w:p w:rsidR="008E72DD" w:rsidRPr="00F93FB5" w:rsidRDefault="008E72DD" w:rsidP="006270DA">
      <w:pPr>
        <w:spacing w:after="0" w:line="240" w:lineRule="auto"/>
        <w:ind w:left="426"/>
        <w:jc w:val="center"/>
        <w:rPr>
          <w:rFonts w:ascii="Times New Roman" w:hAnsi="Times New Roman" w:cs="Times New Roman"/>
          <w:sz w:val="24"/>
          <w:szCs w:val="24"/>
        </w:rPr>
      </w:pPr>
      <w:r w:rsidRPr="00F93FB5">
        <w:rPr>
          <w:rFonts w:ascii="Times New Roman" w:hAnsi="Times New Roman"/>
          <w:i/>
          <w:sz w:val="24"/>
          <w:szCs w:val="24"/>
        </w:rPr>
        <w:t>Szkolenie personelu</w:t>
      </w:r>
    </w:p>
    <w:p w:rsidR="008E72DD" w:rsidRPr="00F93FB5" w:rsidRDefault="008E72DD" w:rsidP="00502D9D">
      <w:pPr>
        <w:spacing w:after="0" w:line="240" w:lineRule="auto"/>
        <w:jc w:val="both"/>
        <w:rPr>
          <w:rFonts w:ascii="Times New Roman" w:hAnsi="Times New Roman" w:cs="Times New Roman"/>
          <w:sz w:val="24"/>
          <w:szCs w:val="24"/>
        </w:rPr>
      </w:pPr>
    </w:p>
    <w:p w:rsidR="003D7DE6" w:rsidRPr="00F93FB5"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Podmioty, o których mowa w art. 157 ust. 1 dekretu ustawodawczego nr 230 z dnia 17 marca 1995 r., mają obowiązek przeszkolić pracowników w zakresie rozpoznawania najbardziej powszechnych rodzajów źródeł promieniotwórczych, ich pojemników oraz sprzętów zawierającej wskazania i oznaczenia, na podstawie których można założyć występowanie radioaktywności.</w:t>
      </w:r>
    </w:p>
    <w:p w:rsidR="00742F89" w:rsidRPr="00F93FB5"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F93FB5">
        <w:rPr>
          <w:rFonts w:ascii="Times New Roman" w:hAnsi="Times New Roman"/>
          <w:sz w:val="24"/>
          <w:szCs w:val="24"/>
        </w:rPr>
        <w:t>Podmioty, o których mowa w ust. 1, muszą ponadto przeprowadzić specjalne, udokumentowane szkolenie pracowników odpowiedzialnych za przeprowadzanie kontroli radiometrycznych, tak aby umożliwić im jak najdokładniejsze wykonywanie wyznaczonych zadań, w tym także zadań polegających na kontroli wzrokowej. W szczególności pracownicy odpowiedzialni za rozładunek, przeładunek i wszelkie inne zadania związane z przemieszczaniem złomu lub innych pozostałości metalowych oraz półproduktów metalowych muszą zostać poinformowani i przeszkoleni w zakresie procedur bezpieczeństwa i procedur ochronnych stosowanych w przypadku wykrycia źródeł niekontrolowanych lub skażonego materiału metalowego.</w:t>
      </w:r>
    </w:p>
    <w:p w:rsidR="00F66476" w:rsidRPr="00F93FB5" w:rsidRDefault="00F66476">
      <w:pPr>
        <w:spacing w:after="0" w:line="240" w:lineRule="auto"/>
        <w:jc w:val="both"/>
        <w:rPr>
          <w:rFonts w:ascii="Times New Roman" w:hAnsi="Times New Roman" w:cs="Times New Roman"/>
          <w:sz w:val="24"/>
          <w:szCs w:val="24"/>
        </w:rPr>
      </w:pPr>
    </w:p>
    <w:p w:rsidR="00F66476" w:rsidRPr="00F93FB5" w:rsidRDefault="009E4D53" w:rsidP="00223553">
      <w:pPr>
        <w:keepNext/>
        <w:spacing w:after="0" w:line="240" w:lineRule="auto"/>
        <w:jc w:val="center"/>
        <w:rPr>
          <w:rFonts w:ascii="Times New Roman" w:hAnsi="Times New Roman" w:cs="Times New Roman"/>
          <w:sz w:val="24"/>
          <w:szCs w:val="24"/>
        </w:rPr>
      </w:pPr>
      <w:r w:rsidRPr="00F93FB5">
        <w:rPr>
          <w:rFonts w:ascii="Times New Roman" w:hAnsi="Times New Roman"/>
          <w:sz w:val="24"/>
          <w:szCs w:val="24"/>
        </w:rPr>
        <w:t>Artykuł 7</w:t>
      </w:r>
    </w:p>
    <w:p w:rsidR="00F66476" w:rsidRPr="00F93FB5" w:rsidRDefault="00A505F5" w:rsidP="00223553">
      <w:pPr>
        <w:keepNext/>
        <w:spacing w:after="0" w:line="240" w:lineRule="auto"/>
        <w:jc w:val="center"/>
        <w:rPr>
          <w:rFonts w:ascii="Times New Roman" w:hAnsi="Times New Roman" w:cs="Times New Roman"/>
          <w:i/>
          <w:sz w:val="24"/>
          <w:szCs w:val="24"/>
        </w:rPr>
      </w:pPr>
      <w:r w:rsidRPr="00F93FB5">
        <w:rPr>
          <w:rFonts w:ascii="Times New Roman" w:hAnsi="Times New Roman"/>
          <w:i/>
          <w:sz w:val="24"/>
          <w:szCs w:val="24"/>
        </w:rPr>
        <w:t>Wzajemne uznawanie certyfikatów kontroli radiometrycznych dotyczących złomu lub innych pozostałości metalowych oraz półproduktów metalowych pochodzących z państw trzecich</w:t>
      </w:r>
    </w:p>
    <w:p w:rsidR="000D519B" w:rsidRPr="00F93FB5" w:rsidRDefault="000D519B" w:rsidP="00223553">
      <w:pPr>
        <w:keepNext/>
        <w:spacing w:after="0" w:line="240" w:lineRule="auto"/>
        <w:jc w:val="center"/>
        <w:rPr>
          <w:rFonts w:ascii="Times New Roman" w:hAnsi="Times New Roman" w:cs="Times New Roman"/>
          <w:sz w:val="24"/>
          <w:szCs w:val="24"/>
        </w:rPr>
      </w:pPr>
    </w:p>
    <w:p w:rsidR="000D519B" w:rsidRPr="00F93FB5"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F93FB5">
        <w:rPr>
          <w:rFonts w:ascii="Times New Roman" w:hAnsi="Times New Roman"/>
          <w:sz w:val="24"/>
          <w:szCs w:val="24"/>
        </w:rPr>
        <w:t>W przypadku złomu metalowego lub innych metalowych pozostałości oraz metalowych półproduktów pochodzących z państw trzecich, w odniesieniu do których istnieją równoważne poziomy ochrony uznawane na podstawie certyfikatów zgodnych ze wzorem z załącznika I do niniejszego rozporządzenia, do celów dopełnienia formalności celnych zamiast certyfikatu wydanego na podstawie celnej kontroli radiometrycznej można przyjąć – w oparciu o zasadę wzajemności – oświadczenie wydane w państwie pochodzenia przez odpowiednie podmioty, uprzednio do tego upoważnione na podstawie przepisów właściwego organu państwa, z którego pochodzą wyżej wskazane materiały.</w:t>
      </w:r>
    </w:p>
    <w:p w:rsidR="000D519B" w:rsidRPr="00F93FB5"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F93FB5">
        <w:rPr>
          <w:rFonts w:ascii="Times New Roman" w:hAnsi="Times New Roman"/>
          <w:sz w:val="24"/>
          <w:szCs w:val="24"/>
        </w:rPr>
        <w:t>Wykaz państw, z którymi zawarto porozumienie o wzajemnym uznawaniu, zostanie opublikowany przez Ministerstwo Rozwoju Gospodarczego i będzie przez nie okresowo aktualizowany.</w:t>
      </w:r>
    </w:p>
    <w:p w:rsidR="002028A7" w:rsidRPr="00F93FB5" w:rsidRDefault="002028A7" w:rsidP="00160CDF">
      <w:pPr>
        <w:spacing w:after="0" w:line="240" w:lineRule="auto"/>
        <w:ind w:left="360"/>
        <w:jc w:val="center"/>
        <w:rPr>
          <w:rFonts w:ascii="Times New Roman" w:hAnsi="Times New Roman" w:cs="Times New Roman"/>
          <w:sz w:val="24"/>
          <w:szCs w:val="24"/>
        </w:rPr>
      </w:pPr>
      <w:r w:rsidRPr="00F93FB5">
        <w:rPr>
          <w:rFonts w:ascii="Times New Roman" w:hAnsi="Times New Roman"/>
          <w:sz w:val="24"/>
          <w:szCs w:val="24"/>
        </w:rPr>
        <w:t>Artykuł 8</w:t>
      </w:r>
    </w:p>
    <w:p w:rsidR="00B310BB" w:rsidRPr="00F93FB5" w:rsidRDefault="003D7DE6" w:rsidP="00160CDF">
      <w:pPr>
        <w:spacing w:after="0" w:line="240" w:lineRule="auto"/>
        <w:jc w:val="center"/>
        <w:rPr>
          <w:rFonts w:ascii="Times New Roman" w:hAnsi="Times New Roman" w:cs="Times New Roman"/>
          <w:i/>
          <w:sz w:val="24"/>
          <w:szCs w:val="24"/>
        </w:rPr>
      </w:pPr>
      <w:r w:rsidRPr="00F93FB5">
        <w:rPr>
          <w:rFonts w:ascii="Times New Roman" w:hAnsi="Times New Roman"/>
          <w:i/>
          <w:sz w:val="24"/>
          <w:szCs w:val="24"/>
        </w:rPr>
        <w:t>Półprodukty metalowe podlegające kontroli radiometrycznej</w:t>
      </w:r>
    </w:p>
    <w:p w:rsidR="003D7DE6" w:rsidRPr="00F93FB5" w:rsidRDefault="003D7DE6" w:rsidP="00160CDF">
      <w:pPr>
        <w:spacing w:after="0" w:line="240" w:lineRule="auto"/>
        <w:jc w:val="center"/>
        <w:rPr>
          <w:rFonts w:ascii="Times New Roman" w:hAnsi="Times New Roman" w:cs="Times New Roman"/>
          <w:i/>
          <w:sz w:val="24"/>
          <w:szCs w:val="24"/>
        </w:rPr>
      </w:pPr>
    </w:p>
    <w:p w:rsidR="003D7DE6" w:rsidRPr="00F93FB5" w:rsidRDefault="003D7DE6" w:rsidP="001C7D7C">
      <w:pPr>
        <w:spacing w:line="240" w:lineRule="auto"/>
        <w:ind w:left="709" w:hanging="357"/>
        <w:jc w:val="both"/>
        <w:rPr>
          <w:rFonts w:ascii="Times New Roman" w:hAnsi="Times New Roman" w:cs="Times New Roman"/>
          <w:sz w:val="24"/>
          <w:szCs w:val="24"/>
        </w:rPr>
      </w:pPr>
      <w:r w:rsidRPr="00F93FB5">
        <w:rPr>
          <w:rFonts w:ascii="Times New Roman" w:hAnsi="Times New Roman"/>
          <w:sz w:val="24"/>
          <w:szCs w:val="24"/>
        </w:rPr>
        <w:t>1.</w:t>
      </w:r>
      <w:r w:rsidRPr="00F93FB5">
        <w:rPr>
          <w:rFonts w:ascii="Times New Roman" w:hAnsi="Times New Roman"/>
          <w:sz w:val="24"/>
          <w:szCs w:val="24"/>
        </w:rPr>
        <w:tab/>
        <w:t>Wykaz półproduktów metalowych podlegających kontroli radiometrycznej znajduje się w załączniku II do niniejszego rozporządzenia.</w:t>
      </w:r>
    </w:p>
    <w:p w:rsidR="00C75963" w:rsidRPr="00F93FB5" w:rsidRDefault="00C75963" w:rsidP="001C7D7C">
      <w:pPr>
        <w:spacing w:line="240" w:lineRule="auto"/>
        <w:ind w:left="709" w:hanging="357"/>
        <w:jc w:val="both"/>
        <w:rPr>
          <w:rFonts w:ascii="Times New Roman" w:hAnsi="Times New Roman" w:cs="Times New Roman"/>
          <w:sz w:val="24"/>
          <w:szCs w:val="24"/>
        </w:rPr>
      </w:pPr>
      <w:r w:rsidRPr="00F93FB5">
        <w:rPr>
          <w:rFonts w:ascii="Times New Roman" w:hAnsi="Times New Roman"/>
          <w:sz w:val="24"/>
          <w:szCs w:val="24"/>
        </w:rPr>
        <w:t>2.</w:t>
      </w:r>
      <w:r w:rsidRPr="00F93FB5">
        <w:rPr>
          <w:rFonts w:ascii="Times New Roman" w:hAnsi="Times New Roman"/>
          <w:sz w:val="24"/>
          <w:szCs w:val="24"/>
        </w:rPr>
        <w:tab/>
        <w:t>Aktualizacja załącznika II do niniejszego rozporządzenia odbywa się na podstawie zmian w nomenklaturze scalonej określanych w rozporządzeniach unijnych dotyczących tych produktów, w drodze rozporządzenia ministra rozwoju gospodarczego wydawanego na wniosek Urzędu Ceł i Monopoli.</w:t>
      </w:r>
    </w:p>
    <w:p w:rsidR="00F66476" w:rsidRPr="00F93FB5" w:rsidRDefault="009E4D53" w:rsidP="00F93FB5">
      <w:pPr>
        <w:keepNext/>
        <w:keepLines/>
        <w:spacing w:after="0" w:line="240" w:lineRule="auto"/>
        <w:jc w:val="center"/>
        <w:rPr>
          <w:rFonts w:ascii="Times New Roman" w:hAnsi="Times New Roman" w:cs="Times New Roman"/>
          <w:sz w:val="24"/>
          <w:szCs w:val="24"/>
        </w:rPr>
      </w:pPr>
      <w:r w:rsidRPr="00F93FB5">
        <w:rPr>
          <w:rFonts w:ascii="Times New Roman" w:hAnsi="Times New Roman"/>
          <w:sz w:val="24"/>
          <w:szCs w:val="24"/>
        </w:rPr>
        <w:lastRenderedPageBreak/>
        <w:t>Artykuł 9</w:t>
      </w:r>
    </w:p>
    <w:p w:rsidR="00C01A69" w:rsidRPr="00F93FB5" w:rsidRDefault="00ED32D2" w:rsidP="00F93FB5">
      <w:pPr>
        <w:keepNext/>
        <w:keepLines/>
        <w:spacing w:after="0" w:line="240" w:lineRule="auto"/>
        <w:jc w:val="center"/>
        <w:rPr>
          <w:rFonts w:ascii="Times New Roman" w:hAnsi="Times New Roman" w:cs="Times New Roman"/>
          <w:i/>
          <w:sz w:val="24"/>
          <w:szCs w:val="24"/>
        </w:rPr>
      </w:pPr>
      <w:r w:rsidRPr="00F93FB5">
        <w:rPr>
          <w:rFonts w:ascii="Times New Roman" w:hAnsi="Times New Roman"/>
          <w:i/>
          <w:sz w:val="24"/>
          <w:szCs w:val="24"/>
        </w:rPr>
        <w:t xml:space="preserve">Brak dodatkowych obciążeń </w:t>
      </w:r>
    </w:p>
    <w:p w:rsidR="00D00006" w:rsidRPr="00F93FB5" w:rsidRDefault="00D00006" w:rsidP="00F93FB5">
      <w:pPr>
        <w:keepNext/>
        <w:keepLines/>
        <w:spacing w:after="0" w:line="240" w:lineRule="auto"/>
        <w:jc w:val="center"/>
        <w:rPr>
          <w:rFonts w:ascii="Times New Roman" w:hAnsi="Times New Roman" w:cs="Times New Roman"/>
          <w:i/>
          <w:sz w:val="24"/>
          <w:szCs w:val="24"/>
        </w:rPr>
      </w:pPr>
    </w:p>
    <w:p w:rsidR="00DD1C06" w:rsidRPr="00F93FB5" w:rsidRDefault="009E4D53" w:rsidP="00175273">
      <w:pPr>
        <w:spacing w:line="240" w:lineRule="auto"/>
        <w:ind w:left="709" w:hanging="357"/>
        <w:jc w:val="both"/>
        <w:rPr>
          <w:rFonts w:ascii="Times New Roman" w:hAnsi="Times New Roman" w:cs="Times New Roman"/>
          <w:sz w:val="24"/>
          <w:szCs w:val="24"/>
        </w:rPr>
      </w:pPr>
      <w:r w:rsidRPr="00F93FB5">
        <w:rPr>
          <w:rFonts w:ascii="Times New Roman" w:hAnsi="Times New Roman"/>
          <w:sz w:val="24"/>
          <w:szCs w:val="24"/>
        </w:rPr>
        <w:t xml:space="preserve">1. </w:t>
      </w:r>
      <w:r w:rsidRPr="00F93FB5">
        <w:rPr>
          <w:rFonts w:ascii="Times New Roman" w:hAnsi="Times New Roman"/>
          <w:sz w:val="24"/>
          <w:szCs w:val="24"/>
        </w:rPr>
        <w:tab/>
        <w:t xml:space="preserve">Wdrożenie przepisów niniejszego rozporządzenia nie wiąże się z nowymi lub większymi obciążeniami dla finansów publicznych. </w:t>
      </w:r>
    </w:p>
    <w:p w:rsidR="00D00006" w:rsidRPr="00F93FB5" w:rsidRDefault="00ED32D2" w:rsidP="00175273">
      <w:pPr>
        <w:spacing w:line="240" w:lineRule="auto"/>
        <w:ind w:left="709" w:hanging="357"/>
        <w:jc w:val="both"/>
        <w:rPr>
          <w:rFonts w:ascii="Times New Roman" w:hAnsi="Times New Roman" w:cs="Times New Roman"/>
          <w:sz w:val="24"/>
          <w:szCs w:val="24"/>
        </w:rPr>
      </w:pPr>
      <w:r w:rsidRPr="00F93FB5">
        <w:rPr>
          <w:rFonts w:ascii="Times New Roman" w:hAnsi="Times New Roman"/>
          <w:sz w:val="24"/>
          <w:szCs w:val="24"/>
        </w:rPr>
        <w:t xml:space="preserve">2. </w:t>
      </w:r>
      <w:r w:rsidRPr="00F93FB5">
        <w:rPr>
          <w:rFonts w:ascii="Times New Roman" w:hAnsi="Times New Roman"/>
          <w:sz w:val="24"/>
          <w:szCs w:val="24"/>
        </w:rPr>
        <w:tab/>
        <w:t xml:space="preserve">Właściwe podmioty państwowe zapewniają wypełnienie obowiązków wynikających z niniejszego rozporządzenia przy wykorzystaniu zasobów ludzkich, technicznych i finansowych znajdujących się w ich dyspozycji na podstawie obowiązującego prawodawstwa. </w:t>
      </w:r>
    </w:p>
    <w:p w:rsidR="00F66476" w:rsidRPr="00F93FB5" w:rsidRDefault="00ED32D2">
      <w:pPr>
        <w:spacing w:after="0" w:line="240" w:lineRule="auto"/>
        <w:jc w:val="center"/>
        <w:rPr>
          <w:rFonts w:ascii="Times New Roman" w:hAnsi="Times New Roman" w:cs="Times New Roman"/>
          <w:sz w:val="24"/>
          <w:szCs w:val="24"/>
        </w:rPr>
      </w:pPr>
      <w:r w:rsidRPr="00F93FB5">
        <w:rPr>
          <w:rFonts w:ascii="Times New Roman" w:hAnsi="Times New Roman"/>
          <w:sz w:val="24"/>
          <w:szCs w:val="24"/>
        </w:rPr>
        <w:t>Artykuł 10</w:t>
      </w:r>
    </w:p>
    <w:p w:rsidR="00F66476" w:rsidRPr="00F93FB5" w:rsidRDefault="00ED32D2">
      <w:pPr>
        <w:spacing w:after="0" w:line="240" w:lineRule="auto"/>
        <w:jc w:val="center"/>
        <w:rPr>
          <w:rFonts w:ascii="Times New Roman" w:hAnsi="Times New Roman" w:cs="Times New Roman"/>
          <w:i/>
          <w:sz w:val="24"/>
          <w:szCs w:val="24"/>
        </w:rPr>
      </w:pPr>
      <w:r w:rsidRPr="00F93FB5">
        <w:rPr>
          <w:rFonts w:ascii="Times New Roman" w:hAnsi="Times New Roman"/>
          <w:i/>
          <w:sz w:val="24"/>
          <w:szCs w:val="24"/>
        </w:rPr>
        <w:t>Wejście w życie</w:t>
      </w:r>
    </w:p>
    <w:p w:rsidR="008311D0" w:rsidRPr="00F93FB5" w:rsidRDefault="008311D0">
      <w:pPr>
        <w:spacing w:after="0" w:line="240" w:lineRule="auto"/>
        <w:jc w:val="center"/>
        <w:rPr>
          <w:rFonts w:ascii="Times New Roman" w:hAnsi="Times New Roman" w:cs="Times New Roman"/>
          <w:i/>
          <w:sz w:val="24"/>
          <w:szCs w:val="24"/>
        </w:rPr>
      </w:pPr>
    </w:p>
    <w:p w:rsidR="00915B27" w:rsidRPr="00F93FB5" w:rsidRDefault="009E4D53" w:rsidP="00CF773E">
      <w:pPr>
        <w:spacing w:line="240" w:lineRule="auto"/>
        <w:ind w:left="708" w:hanging="356"/>
        <w:jc w:val="both"/>
        <w:rPr>
          <w:rFonts w:ascii="Times New Roman" w:hAnsi="Times New Roman" w:cs="Times New Roman"/>
          <w:sz w:val="24"/>
          <w:szCs w:val="24"/>
        </w:rPr>
      </w:pPr>
      <w:r w:rsidRPr="00F93FB5">
        <w:rPr>
          <w:rFonts w:ascii="Times New Roman" w:hAnsi="Times New Roman"/>
          <w:sz w:val="24"/>
          <w:szCs w:val="24"/>
        </w:rPr>
        <w:t xml:space="preserve">1. </w:t>
      </w:r>
      <w:r w:rsidRPr="00F93FB5">
        <w:rPr>
          <w:rFonts w:ascii="Times New Roman" w:hAnsi="Times New Roman"/>
          <w:sz w:val="24"/>
          <w:szCs w:val="24"/>
        </w:rPr>
        <w:tab/>
        <w:t>Niniejsze rozporządzenie wchodzi w życie 90 dni po jego opublikowaniu w Dzienniku Urzędowym Republiki Włoskiej.</w:t>
      </w:r>
    </w:p>
    <w:p w:rsidR="00F265F4" w:rsidRPr="00F93FB5" w:rsidRDefault="00F265F4" w:rsidP="00CF773E">
      <w:pPr>
        <w:spacing w:line="240" w:lineRule="auto"/>
        <w:ind w:left="708" w:hanging="356"/>
        <w:jc w:val="both"/>
        <w:rPr>
          <w:rFonts w:ascii="Times New Roman" w:hAnsi="Times New Roman" w:cs="Times New Roman"/>
          <w:sz w:val="24"/>
          <w:szCs w:val="24"/>
        </w:rPr>
        <w:sectPr w:rsidR="00F265F4" w:rsidRPr="00F93FB5" w:rsidSect="003A3BF5">
          <w:footerReference w:type="default" r:id="rId9"/>
          <w:pgSz w:w="11906" w:h="16838"/>
          <w:pgMar w:top="1417" w:right="1134" w:bottom="1134" w:left="1134" w:header="708" w:footer="708" w:gutter="0"/>
          <w:cols w:space="708"/>
          <w:docGrid w:linePitch="360"/>
        </w:sectPr>
      </w:pPr>
    </w:p>
    <w:p w:rsidR="00F265F4" w:rsidRPr="00F93FB5" w:rsidRDefault="00F265F4" w:rsidP="00F265F4">
      <w:pPr>
        <w:pStyle w:val="Style1"/>
        <w:widowControl/>
        <w:jc w:val="center"/>
        <w:rPr>
          <w:rStyle w:val="FontStyle18"/>
          <w:rFonts w:ascii="Arial" w:hAnsi="Arial" w:cs="Arial"/>
          <w:b/>
          <w:sz w:val="18"/>
          <w:szCs w:val="18"/>
        </w:rPr>
      </w:pPr>
      <w:r w:rsidRPr="00F93FB5">
        <w:rPr>
          <w:rStyle w:val="FontStyle18"/>
          <w:rFonts w:ascii="Arial" w:hAnsi="Arial"/>
          <w:b/>
          <w:sz w:val="18"/>
          <w:szCs w:val="18"/>
        </w:rPr>
        <w:lastRenderedPageBreak/>
        <w:t>Form. IRME90 - DOKUMENT TOWARZYSZĄCY DO CELÓW PRZYWOZU DO WŁOCH</w:t>
      </w:r>
    </w:p>
    <w:p w:rsidR="00F265F4" w:rsidRPr="00F93FB5" w:rsidRDefault="00F265F4" w:rsidP="00F265F4">
      <w:pPr>
        <w:pStyle w:val="Style1"/>
        <w:widowControl/>
        <w:jc w:val="center"/>
        <w:rPr>
          <w:rStyle w:val="FontStyle18"/>
          <w:rFonts w:ascii="Arial" w:hAnsi="Arial" w:cs="Arial"/>
          <w:b/>
          <w:sz w:val="18"/>
          <w:szCs w:val="18"/>
        </w:rPr>
      </w:pPr>
      <w:r w:rsidRPr="00F93FB5">
        <w:rPr>
          <w:rStyle w:val="FontStyle18"/>
          <w:rFonts w:ascii="Arial" w:hAnsi="Arial"/>
          <w:b/>
          <w:sz w:val="18"/>
          <w:szCs w:val="18"/>
        </w:rPr>
        <w:t>ZŁOMU LUB INNYCH POZOSTAŁOŚCI METALOWYCH ORAZ PÓŁPRODUKTÓW METALOWYCH</w:t>
      </w:r>
    </w:p>
    <w:p w:rsidR="00F265F4" w:rsidRPr="00F93FB5" w:rsidRDefault="00F93FB5" w:rsidP="00F265F4">
      <w:pPr>
        <w:pStyle w:val="Style1"/>
        <w:widowControl/>
        <w:jc w:val="center"/>
        <w:rPr>
          <w:rStyle w:val="FontStyle18"/>
          <w:rFonts w:ascii="Arial" w:hAnsi="Arial" w:cs="Arial"/>
        </w:rPr>
      </w:pPr>
      <w:r w:rsidRPr="00F93FB5">
        <w:rPr>
          <w:rFonts w:ascii="Book Antiqua" w:hAnsi="Book Antiqua" w:cs="Book Antiqua"/>
          <w:b/>
          <w:bCs/>
          <w:color w:val="000000"/>
          <w:sz w:val="16"/>
          <w:szCs w:val="16"/>
        </w:rPr>
        <w:pict>
          <v:group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rsidR="00F265F4" w:rsidRPr="00F93FB5" w:rsidRDefault="00F265F4" w:rsidP="00F265F4">
      <w:pPr>
        <w:pStyle w:val="Style8"/>
        <w:widowControl/>
        <w:spacing w:line="360" w:lineRule="auto"/>
        <w:rPr>
          <w:rStyle w:val="FontStyle21"/>
        </w:rPr>
      </w:pPr>
      <w:r w:rsidRPr="00F93FB5">
        <w:rPr>
          <w:rStyle w:val="FontStyle21"/>
        </w:rPr>
        <w:t>Sekcja 1.</w:t>
      </w:r>
    </w:p>
    <w:p w:rsidR="00F265F4" w:rsidRPr="00F93FB5" w:rsidRDefault="00F265F4" w:rsidP="00F265F4">
      <w:pPr>
        <w:pStyle w:val="Style8"/>
        <w:widowControl/>
        <w:rPr>
          <w:rStyle w:val="FontStyle21"/>
        </w:rPr>
      </w:pPr>
      <w:r w:rsidRPr="00F93FB5">
        <w:rPr>
          <w:rStyle w:val="FontStyle21"/>
        </w:rPr>
        <w:t>Nadawca (nazwa, adres, kraj)</w:t>
      </w:r>
      <w:r w:rsidRPr="00F93FB5">
        <w:rPr>
          <w:rStyle w:val="FontStyle21"/>
          <w:lang w:val="de-DE"/>
        </w:rPr>
        <w:t>/ Expéditeur (Nom, Adresse, Pays) / Absender (Name, Anschrift, Land)</w:t>
      </w:r>
      <w:r w:rsidRPr="00F93FB5">
        <w:rPr>
          <w:rStyle w:val="FontStyle21"/>
        </w:rPr>
        <w:t>:</w:t>
      </w:r>
    </w:p>
    <w:p w:rsidR="00F265F4" w:rsidRPr="00F93FB5" w:rsidRDefault="00F265F4" w:rsidP="00F265F4">
      <w:pPr>
        <w:pStyle w:val="Style8"/>
        <w:widowControl/>
        <w:rPr>
          <w:rStyle w:val="FontStyle21"/>
          <w:lang w:val="de-DE"/>
        </w:rPr>
      </w:pPr>
    </w:p>
    <w:p w:rsidR="00F265F4" w:rsidRPr="00F93FB5" w:rsidRDefault="00F265F4" w:rsidP="00F265F4">
      <w:pPr>
        <w:pStyle w:val="Style8"/>
        <w:widowControl/>
        <w:rPr>
          <w:rStyle w:val="FontStyle21"/>
        </w:rPr>
      </w:pPr>
      <w:r w:rsidRPr="00F93FB5">
        <w:rPr>
          <w:rStyle w:val="FontStyle21"/>
        </w:rPr>
        <w:t>....................................................................................................................................................................................................</w:t>
      </w:r>
    </w:p>
    <w:p w:rsidR="00F265F4" w:rsidRPr="00F93FB5" w:rsidRDefault="00F265F4" w:rsidP="00F265F4">
      <w:pPr>
        <w:pStyle w:val="Style8"/>
        <w:widowControl/>
        <w:rPr>
          <w:rStyle w:val="FontStyle21"/>
          <w:lang w:val="de-DE"/>
        </w:rPr>
      </w:pPr>
    </w:p>
    <w:p w:rsidR="00F265F4" w:rsidRPr="00F93FB5" w:rsidRDefault="00F265F4" w:rsidP="00F265F4">
      <w:pPr>
        <w:pStyle w:val="Style8"/>
        <w:widowControl/>
        <w:rPr>
          <w:rStyle w:val="FontStyle21"/>
        </w:rPr>
      </w:pPr>
      <w:r w:rsidRPr="00F93FB5">
        <w:rPr>
          <w:rStyle w:val="FontStyle21"/>
        </w:rPr>
        <w:t xml:space="preserve">Tel.: ..................................................................... </w:t>
      </w:r>
      <w:r w:rsidRPr="00F93FB5">
        <w:rPr>
          <w:rStyle w:val="FontStyle21"/>
        </w:rPr>
        <w:tab/>
        <w:t>Faks: ...........................................................................</w:t>
      </w:r>
    </w:p>
    <w:p w:rsidR="00F265F4" w:rsidRPr="00F93FB5" w:rsidRDefault="00F265F4" w:rsidP="00F265F4">
      <w:pPr>
        <w:pStyle w:val="Style8"/>
        <w:widowControl/>
        <w:rPr>
          <w:rStyle w:val="FontStyle21"/>
          <w:sz w:val="8"/>
          <w:lang w:val="de-DE"/>
        </w:rPr>
      </w:pPr>
    </w:p>
    <w:p w:rsidR="00F265F4" w:rsidRPr="00F93FB5" w:rsidRDefault="00F265F4" w:rsidP="00F265F4">
      <w:pPr>
        <w:pStyle w:val="Style8"/>
        <w:widowControl/>
        <w:rPr>
          <w:rStyle w:val="FontStyle21"/>
        </w:rPr>
      </w:pPr>
      <w:r w:rsidRPr="00F93FB5">
        <w:rPr>
          <w:rStyle w:val="FontStyle21"/>
        </w:rPr>
        <w:t>Odbiorca (nazwa, adres, kraj)</w:t>
      </w:r>
      <w:r w:rsidRPr="00F93FB5">
        <w:rPr>
          <w:rStyle w:val="FontStyle21"/>
          <w:lang w:val="de-DE"/>
        </w:rPr>
        <w:t>/ Destinataire (Nom, Adresse, Pays) / Empfänger (Name, Anschrift, Land)</w:t>
      </w:r>
      <w:r w:rsidRPr="00F93FB5">
        <w:rPr>
          <w:rStyle w:val="FontStyle21"/>
        </w:rPr>
        <w:t>:</w:t>
      </w:r>
    </w:p>
    <w:p w:rsidR="00F265F4" w:rsidRPr="00F93FB5" w:rsidRDefault="00F265F4" w:rsidP="00F265F4">
      <w:pPr>
        <w:pStyle w:val="Style8"/>
        <w:widowControl/>
        <w:rPr>
          <w:rStyle w:val="FontStyle21"/>
          <w:lang w:val="de-DE"/>
        </w:rPr>
      </w:pPr>
    </w:p>
    <w:p w:rsidR="00F265F4" w:rsidRPr="00F93FB5" w:rsidRDefault="00F265F4" w:rsidP="00F265F4">
      <w:pPr>
        <w:pStyle w:val="Style8"/>
        <w:widowControl/>
        <w:rPr>
          <w:rStyle w:val="FontStyle21"/>
        </w:rPr>
      </w:pPr>
      <w:r w:rsidRPr="00F93FB5">
        <w:rPr>
          <w:rStyle w:val="FontStyle21"/>
        </w:rPr>
        <w:t>....................................................................................................................................................................................................</w:t>
      </w:r>
    </w:p>
    <w:p w:rsidR="00F265F4" w:rsidRPr="00F93FB5" w:rsidRDefault="00F265F4" w:rsidP="00F265F4">
      <w:pPr>
        <w:pStyle w:val="Style8"/>
        <w:widowControl/>
        <w:rPr>
          <w:rStyle w:val="FontStyle21"/>
          <w:lang w:val="de-DE"/>
        </w:rPr>
      </w:pPr>
    </w:p>
    <w:p w:rsidR="00F265F4" w:rsidRPr="00F93FB5" w:rsidRDefault="00F265F4" w:rsidP="00F265F4">
      <w:pPr>
        <w:pStyle w:val="Style8"/>
        <w:widowControl/>
        <w:rPr>
          <w:rStyle w:val="FontStyle21"/>
        </w:rPr>
      </w:pPr>
      <w:r w:rsidRPr="00F93FB5">
        <w:rPr>
          <w:rStyle w:val="FontStyle21"/>
        </w:rPr>
        <w:t xml:space="preserve">Tel.: ..................................................................... </w:t>
      </w:r>
      <w:r w:rsidRPr="00F93FB5">
        <w:rPr>
          <w:rStyle w:val="FontStyle21"/>
        </w:rPr>
        <w:tab/>
        <w:t xml:space="preserve">Faks: ........................................................................... </w:t>
      </w:r>
    </w:p>
    <w:p w:rsidR="00F265F4" w:rsidRPr="00F93FB5" w:rsidRDefault="00F265F4" w:rsidP="00F265F4">
      <w:pPr>
        <w:pStyle w:val="Style8"/>
        <w:widowControl/>
        <w:rPr>
          <w:rStyle w:val="FontStyle21"/>
          <w:sz w:val="8"/>
          <w:lang w:val="de-DE"/>
        </w:rPr>
      </w:pPr>
    </w:p>
    <w:p w:rsidR="00F265F4" w:rsidRPr="00F93FB5" w:rsidRDefault="00F265F4" w:rsidP="00F265F4">
      <w:pPr>
        <w:pStyle w:val="Style8"/>
        <w:widowControl/>
        <w:rPr>
          <w:rStyle w:val="FontStyle21"/>
        </w:rPr>
      </w:pPr>
      <w:r w:rsidRPr="00F93FB5">
        <w:rPr>
          <w:rStyle w:val="FontStyle21"/>
        </w:rPr>
        <w:t>Rodzaj towaru</w:t>
      </w:r>
      <w:r w:rsidRPr="00F93FB5">
        <w:rPr>
          <w:rStyle w:val="FontStyle21"/>
          <w:lang w:val="de-DE"/>
        </w:rPr>
        <w:t>/ Nature de la marchandise / Warenbezeichnung</w:t>
      </w:r>
      <w:r w:rsidRPr="00F93FB5">
        <w:rPr>
          <w:rStyle w:val="FontStyle21"/>
        </w:rPr>
        <w:t>:</w:t>
      </w:r>
    </w:p>
    <w:p w:rsidR="00F265F4" w:rsidRPr="00F93FB5" w:rsidRDefault="00F265F4" w:rsidP="00F265F4">
      <w:pPr>
        <w:pStyle w:val="Style8"/>
        <w:widowControl/>
        <w:rPr>
          <w:rStyle w:val="FontStyle21"/>
          <w:lang w:val="de-DE"/>
        </w:rPr>
      </w:pPr>
    </w:p>
    <w:p w:rsidR="00F265F4" w:rsidRPr="00F93FB5" w:rsidRDefault="00F265F4" w:rsidP="00F265F4">
      <w:pPr>
        <w:pStyle w:val="Style8"/>
        <w:widowControl/>
        <w:rPr>
          <w:rStyle w:val="FontStyle21"/>
          <w:sz w:val="10"/>
        </w:rPr>
      </w:pPr>
      <w:r w:rsidRPr="00F93FB5">
        <w:rPr>
          <w:rStyle w:val="FontStyle21"/>
        </w:rPr>
        <w:t>....................................................................................................................................................................................................</w:t>
      </w:r>
    </w:p>
    <w:p w:rsidR="00F265F4" w:rsidRPr="00F93FB5" w:rsidRDefault="00F265F4" w:rsidP="00F265F4">
      <w:pPr>
        <w:pStyle w:val="Style8"/>
        <w:widowControl/>
        <w:spacing w:line="360" w:lineRule="auto"/>
        <w:rPr>
          <w:rStyle w:val="FontStyle21"/>
          <w:sz w:val="10"/>
        </w:rPr>
      </w:pPr>
    </w:p>
    <w:p w:rsidR="00F265F4" w:rsidRPr="00F93FB5" w:rsidRDefault="00F265F4" w:rsidP="00F265F4">
      <w:pPr>
        <w:pStyle w:val="Style8"/>
        <w:widowControl/>
        <w:ind w:right="-752"/>
        <w:jc w:val="center"/>
        <w:rPr>
          <w:rStyle w:val="FontStyle21"/>
        </w:rPr>
      </w:pPr>
      <w:r w:rsidRPr="00F93FB5">
        <w:rPr>
          <w:rStyle w:val="FontStyle21"/>
        </w:rPr>
        <w:t>INFORMACJE DOTYCZĄCE TRANSPORTU / INFORMATIONS RELATIVES AU TRANSPORT / ANGABEN ZUM TRANSPORT</w:t>
      </w:r>
    </w:p>
    <w:p w:rsidR="00F265F4" w:rsidRPr="00F93FB5" w:rsidRDefault="00F265F4" w:rsidP="00F265F4">
      <w:pPr>
        <w:pStyle w:val="Style12"/>
        <w:widowControl/>
        <w:numPr>
          <w:ilvl w:val="0"/>
          <w:numId w:val="17"/>
        </w:numPr>
        <w:ind w:left="426" w:hanging="426"/>
        <w:rPr>
          <w:rStyle w:val="FontStyle21"/>
        </w:rPr>
      </w:pPr>
      <w:r w:rsidRPr="00F93FB5">
        <w:rPr>
          <w:rStyle w:val="FontStyle21"/>
        </w:rPr>
        <w:t>Przywóz drogą morską</w:t>
      </w:r>
      <w:r w:rsidRPr="00F93FB5">
        <w:rPr>
          <w:rStyle w:val="FontStyle21"/>
          <w:lang w:val="de-DE"/>
        </w:rPr>
        <w:t xml:space="preserve">/ provenance par mer / Herkunft auf dem Seeweg </w:t>
      </w:r>
    </w:p>
    <w:p w:rsidR="00F265F4" w:rsidRPr="00F93FB5" w:rsidRDefault="00F265F4" w:rsidP="00F265F4">
      <w:pPr>
        <w:pStyle w:val="Style12"/>
        <w:widowControl/>
        <w:tabs>
          <w:tab w:val="left" w:pos="4962"/>
        </w:tabs>
        <w:spacing w:line="480" w:lineRule="auto"/>
        <w:ind w:left="426"/>
        <w:rPr>
          <w:rStyle w:val="FontStyle21"/>
        </w:rPr>
      </w:pPr>
      <w:r w:rsidRPr="00F93FB5">
        <w:rPr>
          <w:rStyle w:val="FontStyle21"/>
        </w:rPr>
        <w:t>Nazwa statku</w:t>
      </w:r>
      <w:r w:rsidRPr="00F93FB5">
        <w:rPr>
          <w:rStyle w:val="FontStyle21"/>
          <w:lang w:val="fr-FR"/>
        </w:rPr>
        <w:t>/ Nom du navire / Name des Schiffes</w:t>
      </w:r>
      <w:r w:rsidRPr="00F93FB5">
        <w:rPr>
          <w:rStyle w:val="FontStyle21"/>
        </w:rPr>
        <w:t>:</w:t>
      </w:r>
      <w:r w:rsidRPr="00F93FB5">
        <w:rPr>
          <w:rStyle w:val="FontStyle21"/>
        </w:rPr>
        <w:tab/>
        <w:t>Bandera</w:t>
      </w:r>
      <w:r w:rsidRPr="00F93FB5">
        <w:rPr>
          <w:rStyle w:val="FontStyle21"/>
          <w:lang w:val="fr-FR"/>
        </w:rPr>
        <w:t>/ Nationalité / Nationalität</w:t>
      </w:r>
      <w:r w:rsidRPr="00F93FB5">
        <w:rPr>
          <w:rStyle w:val="FontStyle21"/>
        </w:rPr>
        <w:t>:</w:t>
      </w:r>
    </w:p>
    <w:p w:rsidR="00F265F4" w:rsidRPr="00F93FB5" w:rsidRDefault="00F265F4" w:rsidP="00F265F4">
      <w:pPr>
        <w:pStyle w:val="Style8"/>
        <w:widowControl/>
        <w:tabs>
          <w:tab w:val="left" w:pos="4962"/>
        </w:tabs>
        <w:spacing w:line="480" w:lineRule="auto"/>
        <w:ind w:firstLine="426"/>
        <w:rPr>
          <w:rStyle w:val="FontStyle21"/>
        </w:rPr>
      </w:pPr>
      <w:r w:rsidRPr="00F93FB5">
        <w:rPr>
          <w:rStyle w:val="FontStyle21"/>
        </w:rPr>
        <w:t xml:space="preserve">................................................................................................. </w:t>
      </w:r>
      <w:r w:rsidRPr="00F93FB5">
        <w:rPr>
          <w:rStyle w:val="FontStyle21"/>
        </w:rPr>
        <w:tab/>
        <w:t>.................................................................................................</w:t>
      </w:r>
    </w:p>
    <w:p w:rsidR="00F265F4" w:rsidRPr="00F93FB5" w:rsidRDefault="00F265F4" w:rsidP="00F265F4">
      <w:pPr>
        <w:pStyle w:val="Style12"/>
        <w:widowControl/>
        <w:tabs>
          <w:tab w:val="left" w:pos="4962"/>
        </w:tabs>
        <w:spacing w:line="480" w:lineRule="auto"/>
        <w:ind w:left="426"/>
        <w:rPr>
          <w:rStyle w:val="FontStyle21"/>
        </w:rPr>
      </w:pPr>
      <w:r w:rsidRPr="00F93FB5">
        <w:rPr>
          <w:rStyle w:val="FontStyle21"/>
        </w:rPr>
        <w:t>Port wyjścia/ Port de départ / Abfahrtshafen:</w:t>
      </w:r>
      <w:r w:rsidRPr="00F93FB5">
        <w:rPr>
          <w:rStyle w:val="FontStyle21"/>
        </w:rPr>
        <w:tab/>
        <w:t>Port przybycia/ Port d’arrivée / Ankunftshafen:</w:t>
      </w:r>
    </w:p>
    <w:p w:rsidR="00F265F4" w:rsidRPr="00F93FB5" w:rsidRDefault="00F265F4" w:rsidP="00F265F4">
      <w:pPr>
        <w:pStyle w:val="Style8"/>
        <w:widowControl/>
        <w:tabs>
          <w:tab w:val="left" w:pos="4962"/>
        </w:tabs>
        <w:spacing w:line="480" w:lineRule="auto"/>
        <w:ind w:firstLine="426"/>
        <w:rPr>
          <w:rStyle w:val="FontStyle21"/>
        </w:rPr>
      </w:pPr>
      <w:r w:rsidRPr="00F93FB5">
        <w:rPr>
          <w:rStyle w:val="FontStyle21"/>
        </w:rPr>
        <w:t xml:space="preserve">................................................................................................. </w:t>
      </w:r>
      <w:r w:rsidRPr="00F93FB5">
        <w:rPr>
          <w:rStyle w:val="FontStyle21"/>
        </w:rPr>
        <w:tab/>
        <w:t>.................................................................................................</w:t>
      </w:r>
    </w:p>
    <w:p w:rsidR="00F265F4" w:rsidRPr="00F93FB5"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F93FB5">
        <w:rPr>
          <w:rStyle w:val="FontStyle21"/>
        </w:rPr>
        <w:t xml:space="preserve">Przywóz drogą lądową lub </w:t>
      </w:r>
      <w:r w:rsidRPr="00F93FB5">
        <w:rPr>
          <w:rStyle w:val="FontStyle21"/>
        </w:rPr>
        <w:tab/>
      </w:r>
      <w:r w:rsidR="00F93FB5" w:rsidRPr="00F93FB5">
        <w:rPr>
          <w:rStyle w:val="FontStyle21"/>
          <w:sz w:val="40"/>
        </w:rPr>
        <w:t>□</w:t>
      </w:r>
      <w:r w:rsidRPr="00F93FB5">
        <w:rPr>
          <w:rStyle w:val="FontStyle21"/>
        </w:rPr>
        <w:t xml:space="preserve"> Rozładowano ze statku </w:t>
      </w:r>
    </w:p>
    <w:p w:rsidR="00F265F4" w:rsidRPr="00F93FB5" w:rsidRDefault="00F265F4" w:rsidP="00F265F4">
      <w:pPr>
        <w:pStyle w:val="Style12"/>
        <w:widowControl/>
        <w:tabs>
          <w:tab w:val="left" w:pos="426"/>
          <w:tab w:val="left" w:pos="2835"/>
          <w:tab w:val="left" w:pos="4962"/>
        </w:tabs>
        <w:rPr>
          <w:rStyle w:val="FontStyle21"/>
        </w:rPr>
      </w:pPr>
      <w:r w:rsidRPr="00F93FB5">
        <w:rPr>
          <w:rStyle w:val="FontStyle21"/>
        </w:rPr>
        <w:t>Przewóz na terytorium Włoch odbywa się:</w:t>
      </w:r>
    </w:p>
    <w:p w:rsidR="00F265F4" w:rsidRPr="00F93FB5" w:rsidRDefault="00F265F4" w:rsidP="00F265F4">
      <w:pPr>
        <w:pStyle w:val="Style12"/>
        <w:widowControl/>
        <w:numPr>
          <w:ilvl w:val="0"/>
          <w:numId w:val="17"/>
        </w:numPr>
        <w:tabs>
          <w:tab w:val="left" w:pos="426"/>
          <w:tab w:val="left" w:pos="3119"/>
        </w:tabs>
        <w:ind w:left="426" w:hanging="426"/>
        <w:rPr>
          <w:rStyle w:val="FontStyle21"/>
        </w:rPr>
      </w:pPr>
      <w:r w:rsidRPr="00F93FB5">
        <w:rPr>
          <w:rStyle w:val="FontStyle21"/>
        </w:rPr>
        <w:t xml:space="preserve">w / par / </w:t>
      </w:r>
      <w:r w:rsidRPr="00F93FB5">
        <w:rPr>
          <w:rStyle w:val="FontStyle21"/>
          <w:lang w:val="de-DE"/>
        </w:rPr>
        <w:t>durch</w:t>
      </w:r>
      <w:r w:rsidRPr="00F93FB5">
        <w:rPr>
          <w:rStyle w:val="FontStyle21"/>
        </w:rPr>
        <w:t xml:space="preserve"> kontenerze</w:t>
      </w:r>
      <w:r w:rsidRPr="00F93FB5">
        <w:rPr>
          <w:rStyle w:val="FontStyle21"/>
        </w:rPr>
        <w:tab/>
      </w:r>
      <w:r w:rsidRPr="00F93FB5">
        <w:rPr>
          <w:rStyle w:val="FontStyle21"/>
          <w:sz w:val="40"/>
        </w:rPr>
        <w:t>□</w:t>
      </w:r>
      <w:r w:rsidRPr="00F93FB5">
        <w:rPr>
          <w:rStyle w:val="FontStyle21"/>
        </w:rPr>
        <w:t xml:space="preserve"> luzem / en vrac / </w:t>
      </w:r>
      <w:r w:rsidRPr="00F93FB5">
        <w:rPr>
          <w:rStyle w:val="FontStyle21"/>
          <w:lang w:val="de-DE"/>
        </w:rPr>
        <w:t>in loser Schüttung</w:t>
      </w:r>
    </w:p>
    <w:p w:rsidR="00F265F4" w:rsidRPr="00F93FB5" w:rsidRDefault="00F265F4" w:rsidP="00F93FB5">
      <w:pPr>
        <w:pStyle w:val="Style3"/>
        <w:widowControl/>
        <w:tabs>
          <w:tab w:val="left" w:pos="3510"/>
          <w:tab w:val="left" w:pos="6390"/>
        </w:tabs>
        <w:ind w:left="426"/>
        <w:rPr>
          <w:rStyle w:val="FontStyle21"/>
        </w:rPr>
      </w:pPr>
      <w:r w:rsidRPr="00F93FB5">
        <w:rPr>
          <w:rStyle w:val="FontStyle21"/>
        </w:rPr>
        <w:t xml:space="preserve">Numer kontenera </w:t>
      </w:r>
      <w:r w:rsidRPr="00F93FB5">
        <w:rPr>
          <w:rStyle w:val="FontStyle21"/>
          <w:lang w:val="fr-FR"/>
        </w:rPr>
        <w:t>/ Matricule / Matrikel</w:t>
      </w:r>
      <w:r w:rsidRPr="00F93FB5">
        <w:rPr>
          <w:rStyle w:val="FontStyle21"/>
        </w:rPr>
        <w:tab/>
      </w:r>
      <w:bookmarkStart w:id="0" w:name="_GoBack"/>
      <w:bookmarkEnd w:id="0"/>
      <w:r w:rsidRPr="00F93FB5">
        <w:rPr>
          <w:rStyle w:val="FontStyle21"/>
          <w:sz w:val="40"/>
        </w:rPr>
        <w:t>□</w:t>
      </w:r>
      <w:r w:rsidRPr="00F93FB5">
        <w:rPr>
          <w:rStyle w:val="FontStyle21"/>
        </w:rPr>
        <w:t xml:space="preserve"> koleją </w:t>
      </w:r>
      <w:r w:rsidRPr="00F93FB5">
        <w:rPr>
          <w:rStyle w:val="FontStyle21"/>
          <w:lang w:val="fr-FR"/>
        </w:rPr>
        <w:t>/ Chemin de fer / Eisenach</w:t>
      </w:r>
      <w:r w:rsidRPr="00F93FB5">
        <w:rPr>
          <w:rStyle w:val="FontStyle21"/>
        </w:rPr>
        <w:tab/>
      </w:r>
      <w:r w:rsidRPr="00F93FB5">
        <w:rPr>
          <w:rStyle w:val="FontStyle21"/>
          <w:sz w:val="40"/>
        </w:rPr>
        <w:t>□</w:t>
      </w:r>
      <w:r w:rsidRPr="00F93FB5">
        <w:rPr>
          <w:rStyle w:val="FontStyle21"/>
        </w:rPr>
        <w:t xml:space="preserve"> transport drogowy </w:t>
      </w:r>
      <w:r w:rsidRPr="00F93FB5">
        <w:rPr>
          <w:rStyle w:val="FontStyle21"/>
          <w:lang w:val="fr-FR"/>
        </w:rPr>
        <w:t>/ Par route / Auf der Strasse</w:t>
      </w:r>
    </w:p>
    <w:p w:rsidR="00F265F4" w:rsidRPr="00F93FB5" w:rsidRDefault="00F265F4" w:rsidP="00E1152D">
      <w:pPr>
        <w:pStyle w:val="Style3"/>
        <w:widowControl/>
        <w:tabs>
          <w:tab w:val="left" w:pos="3402"/>
          <w:tab w:val="left" w:pos="6946"/>
        </w:tabs>
        <w:rPr>
          <w:rStyle w:val="FontStyle21"/>
        </w:rPr>
      </w:pPr>
      <w:r w:rsidRPr="00F93FB5">
        <w:rPr>
          <w:rStyle w:val="FontStyle21"/>
        </w:rPr>
        <w:tab/>
        <w:t xml:space="preserve">Nr wagonu/ Wagon : </w:t>
      </w:r>
      <w:r w:rsidRPr="00F93FB5">
        <w:rPr>
          <w:rStyle w:val="FontStyle21"/>
        </w:rPr>
        <w:tab/>
        <w:t>Nr rejestracyjny / Transporteur / Beförderer:</w:t>
      </w:r>
    </w:p>
    <w:p w:rsidR="00F265F4" w:rsidRPr="00F93FB5" w:rsidRDefault="00F265F4" w:rsidP="00F265F4">
      <w:pPr>
        <w:pStyle w:val="Style3"/>
        <w:widowControl/>
        <w:tabs>
          <w:tab w:val="left" w:pos="3119"/>
          <w:tab w:val="left" w:pos="6663"/>
        </w:tabs>
        <w:spacing w:line="360" w:lineRule="auto"/>
        <w:rPr>
          <w:rStyle w:val="FontStyle21"/>
          <w:sz w:val="12"/>
        </w:rPr>
      </w:pPr>
    </w:p>
    <w:p w:rsidR="00F265F4" w:rsidRPr="00F93FB5" w:rsidRDefault="00F265F4" w:rsidP="00F265F4">
      <w:pPr>
        <w:pStyle w:val="Style8"/>
        <w:widowControl/>
        <w:tabs>
          <w:tab w:val="left" w:pos="3119"/>
          <w:tab w:val="left" w:pos="4962"/>
          <w:tab w:val="left" w:pos="6804"/>
        </w:tabs>
        <w:spacing w:line="360" w:lineRule="auto"/>
        <w:rPr>
          <w:rStyle w:val="FontStyle21"/>
          <w:sz w:val="8"/>
        </w:rPr>
      </w:pPr>
      <w:r w:rsidRPr="00F93FB5">
        <w:rPr>
          <w:rStyle w:val="FontStyle21"/>
        </w:rPr>
        <w:t xml:space="preserve">................................................... </w:t>
      </w:r>
      <w:r w:rsidRPr="00F93FB5">
        <w:rPr>
          <w:rStyle w:val="FontStyle21"/>
        </w:rPr>
        <w:tab/>
        <w:t>...................................................</w:t>
      </w:r>
      <w:r w:rsidRPr="00F93FB5">
        <w:rPr>
          <w:rStyle w:val="FontStyle21"/>
        </w:rPr>
        <w:tab/>
        <w:t>...................................................</w:t>
      </w:r>
    </w:p>
    <w:p w:rsidR="00F265F4" w:rsidRPr="00F93FB5" w:rsidRDefault="00F265F4" w:rsidP="00F265F4">
      <w:pPr>
        <w:pStyle w:val="Style13"/>
        <w:widowControl/>
        <w:spacing w:line="360" w:lineRule="auto"/>
        <w:rPr>
          <w:rStyle w:val="FontStyle21"/>
          <w:sz w:val="8"/>
        </w:rPr>
      </w:pPr>
    </w:p>
    <w:p w:rsidR="00F265F4" w:rsidRPr="00F93FB5" w:rsidRDefault="00F265F4" w:rsidP="00F265F4">
      <w:pPr>
        <w:pStyle w:val="Style13"/>
        <w:widowControl/>
        <w:jc w:val="center"/>
        <w:rPr>
          <w:rStyle w:val="FontStyle21"/>
          <w:sz w:val="12"/>
        </w:rPr>
      </w:pPr>
      <w:r w:rsidRPr="00F93FB5">
        <w:rPr>
          <w:rStyle w:val="FontStyle21"/>
        </w:rPr>
        <w:t>WYNIKI KONTROLI / RESULTATS DES CONTRÔLES / ERGEBNISSE DER KONTROLLE</w:t>
      </w:r>
    </w:p>
    <w:p w:rsidR="00F265F4" w:rsidRPr="00F93FB5" w:rsidRDefault="00F265F4" w:rsidP="00F265F4">
      <w:pPr>
        <w:pStyle w:val="Style13"/>
        <w:widowControl/>
        <w:spacing w:line="360" w:lineRule="auto"/>
        <w:jc w:val="center"/>
        <w:rPr>
          <w:rStyle w:val="FontStyle21"/>
          <w:sz w:val="12"/>
        </w:rPr>
      </w:pPr>
    </w:p>
    <w:p w:rsidR="00F265F4" w:rsidRPr="00F93FB5" w:rsidRDefault="00F265F4" w:rsidP="00F265F4">
      <w:pPr>
        <w:pStyle w:val="Style8"/>
        <w:widowControl/>
        <w:spacing w:line="360" w:lineRule="auto"/>
        <w:rPr>
          <w:rStyle w:val="FontStyle21"/>
        </w:rPr>
      </w:pPr>
      <w:r w:rsidRPr="00F93FB5">
        <w:rPr>
          <w:rStyle w:val="FontStyle21"/>
        </w:rPr>
        <w:t xml:space="preserve">Naturalne tło promieniowania w chwili kontroli </w:t>
      </w:r>
      <w:r w:rsidR="002D091D" w:rsidRPr="00F93FB5">
        <w:rPr>
          <w:noProof/>
          <w:lang w:val="en-US" w:eastAsia="en-US"/>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F93FB5">
        <w:rPr>
          <w:rStyle w:val="FontStyle21"/>
        </w:rPr>
        <w:t xml:space="preserve"> = ....................................................... µGy/h</w:t>
      </w:r>
    </w:p>
    <w:p w:rsidR="00F265F4" w:rsidRPr="00F93FB5" w:rsidRDefault="00F265F4" w:rsidP="00F265F4">
      <w:pPr>
        <w:pStyle w:val="Style8"/>
        <w:widowControl/>
        <w:spacing w:line="360" w:lineRule="auto"/>
        <w:rPr>
          <w:rStyle w:val="FontStyle21"/>
          <w:sz w:val="12"/>
        </w:rPr>
      </w:pPr>
      <w:r w:rsidRPr="00F93FB5">
        <w:rPr>
          <w:rStyle w:val="FontStyle21"/>
          <w:lang w:val="de-DE"/>
        </w:rPr>
        <w:t>(Fond naturel local moyen au moment du contrôle / Mittelwert der natürlichen lokalen Strahlung im Moment der Kontrolle)</w:t>
      </w:r>
    </w:p>
    <w:p w:rsidR="00F265F4" w:rsidRPr="00F93FB5" w:rsidRDefault="00F265F4" w:rsidP="00F265F4">
      <w:pPr>
        <w:pStyle w:val="Style8"/>
        <w:widowControl/>
        <w:spacing w:line="360" w:lineRule="auto"/>
        <w:rPr>
          <w:rStyle w:val="FontStyle21"/>
          <w:sz w:val="12"/>
          <w:lang w:val="de-DE"/>
        </w:rPr>
      </w:pPr>
    </w:p>
    <w:p w:rsidR="00F265F4" w:rsidRPr="00F93FB5" w:rsidRDefault="00F265F4" w:rsidP="00F265F4">
      <w:pPr>
        <w:pStyle w:val="Style8"/>
        <w:widowControl/>
        <w:spacing w:line="360" w:lineRule="auto"/>
        <w:rPr>
          <w:rStyle w:val="FontStyle21"/>
        </w:rPr>
      </w:pPr>
      <w:r w:rsidRPr="00F93FB5">
        <w:rPr>
          <w:rStyle w:val="FontStyle21"/>
        </w:rPr>
        <w:t>Maksymalna wartość zmierzona w powietrzu w odległości 20 cm od ścian ładunku: ................................................ µGy/h</w:t>
      </w:r>
    </w:p>
    <w:p w:rsidR="00F265F4" w:rsidRPr="00F93FB5" w:rsidRDefault="00F265F4" w:rsidP="00F265F4">
      <w:pPr>
        <w:pStyle w:val="Style6"/>
        <w:widowControl/>
        <w:rPr>
          <w:rStyle w:val="FontStyle21"/>
        </w:rPr>
      </w:pPr>
      <w:r w:rsidRPr="00F93FB5">
        <w:rPr>
          <w:rStyle w:val="FontStyle21"/>
          <w:lang w:val="fr-FR"/>
        </w:rPr>
        <w:t>Valeur maximale relevée en air dans 20 cm des parois du chargement / Grösster Wert gemessen in der Luft binnen 20 cm von den Wänden der Ladung)</w:t>
      </w:r>
    </w:p>
    <w:p w:rsidR="00F265F4" w:rsidRPr="00F93FB5" w:rsidRDefault="00F265F4" w:rsidP="00B76C36">
      <w:pPr>
        <w:pStyle w:val="Style5"/>
        <w:widowControl/>
        <w:spacing w:before="120" w:line="360" w:lineRule="auto"/>
        <w:jc w:val="center"/>
        <w:rPr>
          <w:rStyle w:val="FontStyle21"/>
        </w:rPr>
      </w:pPr>
      <w:r w:rsidRPr="00F93FB5">
        <w:rPr>
          <w:rStyle w:val="FontStyle21"/>
        </w:rPr>
        <w:t xml:space="preserve">OŚWIADCZENIE / DECLARATION / ERKLARUNG </w:t>
      </w:r>
    </w:p>
    <w:p w:rsidR="00F265F4" w:rsidRPr="00F93FB5" w:rsidRDefault="00F265F4" w:rsidP="00F265F4">
      <w:pPr>
        <w:pStyle w:val="Style5"/>
        <w:widowControl/>
        <w:spacing w:line="360" w:lineRule="auto"/>
        <w:rPr>
          <w:rStyle w:val="FontStyle21"/>
        </w:rPr>
      </w:pPr>
      <w:r w:rsidRPr="00F93FB5">
        <w:rPr>
          <w:rStyle w:val="FontStyle21"/>
        </w:rPr>
        <w:t>Niżej podpisany / Le soussigné / Der Unterzeichner:</w:t>
      </w:r>
    </w:p>
    <w:p w:rsidR="00F265F4" w:rsidRPr="00F93FB5" w:rsidRDefault="00F265F4" w:rsidP="00F265F4">
      <w:pPr>
        <w:pStyle w:val="Style4"/>
        <w:widowControl/>
        <w:spacing w:line="360" w:lineRule="auto"/>
        <w:rPr>
          <w:rStyle w:val="FontStyle21"/>
        </w:rPr>
      </w:pPr>
      <w:r w:rsidRPr="00F93FB5">
        <w:rPr>
          <w:rStyle w:val="FontStyle21"/>
        </w:rPr>
        <w:t xml:space="preserve">Zamieszkały (adres, kraj) </w:t>
      </w:r>
      <w:r w:rsidRPr="00F93FB5">
        <w:rPr>
          <w:rStyle w:val="FontStyle21"/>
          <w:lang w:val="de-DE"/>
        </w:rPr>
        <w:t>/ Résident (Adresse, Pays) / Wohnhaft (Anschrift, Land)</w:t>
      </w:r>
      <w:r w:rsidRPr="00F93FB5">
        <w:rPr>
          <w:rStyle w:val="FontStyle21"/>
        </w:rPr>
        <w:t xml:space="preserve">: </w:t>
      </w:r>
    </w:p>
    <w:p w:rsidR="00F265F4" w:rsidRPr="00F93FB5" w:rsidRDefault="00F265F4" w:rsidP="00F265F4">
      <w:pPr>
        <w:pStyle w:val="Style4"/>
        <w:widowControl/>
        <w:tabs>
          <w:tab w:val="left" w:pos="5387"/>
        </w:tabs>
        <w:spacing w:line="360" w:lineRule="auto"/>
        <w:rPr>
          <w:rStyle w:val="FontStyle21"/>
        </w:rPr>
      </w:pPr>
      <w:r w:rsidRPr="00F93FB5">
        <w:rPr>
          <w:rStyle w:val="FontStyle21"/>
        </w:rPr>
        <w:t xml:space="preserve">Podmiot: </w:t>
      </w:r>
      <w:r w:rsidRPr="00F93FB5">
        <w:rPr>
          <w:rStyle w:val="FontStyle21"/>
        </w:rPr>
        <w:tab/>
        <w:t xml:space="preserve">Stanowisko: </w:t>
      </w:r>
    </w:p>
    <w:p w:rsidR="00F265F4" w:rsidRPr="00F93FB5" w:rsidRDefault="00F265F4" w:rsidP="00F265F4">
      <w:pPr>
        <w:pStyle w:val="Style4"/>
        <w:widowControl/>
        <w:tabs>
          <w:tab w:val="left" w:pos="5387"/>
        </w:tabs>
        <w:spacing w:line="360" w:lineRule="auto"/>
        <w:rPr>
          <w:rStyle w:val="FontStyle21"/>
        </w:rPr>
      </w:pPr>
      <w:r w:rsidRPr="00F93FB5">
        <w:rPr>
          <w:rStyle w:val="FontStyle21"/>
        </w:rPr>
        <w:t xml:space="preserve">Tel.: </w:t>
      </w:r>
      <w:r w:rsidRPr="00F93FB5">
        <w:rPr>
          <w:rStyle w:val="FontStyle21"/>
        </w:rPr>
        <w:tab/>
        <w:t>Faks:</w:t>
      </w:r>
    </w:p>
    <w:p w:rsidR="00F265F4" w:rsidRPr="00F93FB5" w:rsidRDefault="00F265F4" w:rsidP="00F265F4">
      <w:pPr>
        <w:pStyle w:val="Style6"/>
        <w:widowControl/>
        <w:rPr>
          <w:rStyle w:val="FontStyle21"/>
        </w:rPr>
      </w:pPr>
      <w:r w:rsidRPr="00F93FB5">
        <w:rPr>
          <w:rStyle w:val="FontStyle21"/>
        </w:rPr>
        <w:t>Specjalista z zakresu pomiarów radiometrycznych oświadcza, że pomiary wykonane na ładunku, którego dotyczy formularz, nie wykazały wartości przewyższających średnie wahanie naturalnego tła promieniowania. Niniejszym zaświadczam.</w:t>
      </w:r>
    </w:p>
    <w:p w:rsidR="00F265F4" w:rsidRPr="00F93FB5" w:rsidRDefault="00F265F4" w:rsidP="00F265F4">
      <w:pPr>
        <w:pStyle w:val="Style6"/>
        <w:widowControl/>
        <w:rPr>
          <w:rStyle w:val="FontStyle21"/>
        </w:rPr>
      </w:pPr>
      <w:r w:rsidRPr="00F93FB5">
        <w:rPr>
          <w:rStyle w:val="FontStyle21"/>
          <w:lang w:val="fr-FR"/>
        </w:rPr>
        <w:t xml:space="preserve">Expert en mesures radiométriques, déclare que les mesures exécutées sur le chargement, dont au présent formulaire, n'ont pas relevé des valeurs supérieures à la fluctuation moyenne du fond naturel local de rayonnement. </w:t>
      </w:r>
      <w:r w:rsidRPr="00F93FB5">
        <w:rPr>
          <w:rStyle w:val="FontStyle21"/>
          <w:lang w:val="de-DE"/>
        </w:rPr>
        <w:t>Fait de bonne foi.</w:t>
      </w:r>
    </w:p>
    <w:p w:rsidR="00F265F4" w:rsidRPr="00F93FB5" w:rsidRDefault="00F265F4" w:rsidP="00F265F4">
      <w:pPr>
        <w:pStyle w:val="Style6"/>
        <w:widowControl/>
        <w:rPr>
          <w:rStyle w:val="FontStyle21"/>
        </w:rPr>
      </w:pPr>
      <w:r w:rsidRPr="00F93FB5">
        <w:rPr>
          <w:rStyle w:val="FontStyle21"/>
          <w:lang w:val="de-DE"/>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F93FB5" w:rsidRDefault="00F265F4" w:rsidP="00F265F4">
      <w:pPr>
        <w:pStyle w:val="Style6"/>
        <w:widowControl/>
        <w:spacing w:line="360" w:lineRule="auto"/>
        <w:rPr>
          <w:rStyle w:val="FontStyle21"/>
          <w:lang w:val="de-DE"/>
        </w:rPr>
      </w:pPr>
    </w:p>
    <w:p w:rsidR="00F265F4" w:rsidRPr="00F93FB5" w:rsidRDefault="00F265F4" w:rsidP="00F265F4">
      <w:pPr>
        <w:pStyle w:val="Style8"/>
        <w:widowControl/>
        <w:tabs>
          <w:tab w:val="left" w:pos="5387"/>
        </w:tabs>
        <w:spacing w:line="360" w:lineRule="auto"/>
        <w:rPr>
          <w:rStyle w:val="FontStyle21"/>
        </w:rPr>
      </w:pPr>
      <w:r w:rsidRPr="00F93FB5">
        <w:rPr>
          <w:rStyle w:val="FontStyle21"/>
        </w:rPr>
        <w:t xml:space="preserve">Data </w:t>
      </w:r>
      <w:r w:rsidRPr="00F93FB5">
        <w:rPr>
          <w:rStyle w:val="FontStyle21"/>
          <w:lang w:val="de-DE"/>
        </w:rPr>
        <w:t>/ Date / Datum</w:t>
      </w:r>
      <w:r w:rsidRPr="00F93FB5">
        <w:rPr>
          <w:rStyle w:val="FontStyle21"/>
        </w:rPr>
        <w:t xml:space="preserve">: ............................................... </w:t>
      </w:r>
      <w:r w:rsidRPr="00F93FB5">
        <w:rPr>
          <w:rStyle w:val="FontStyle21"/>
        </w:rPr>
        <w:tab/>
        <w:t xml:space="preserve">Podpis </w:t>
      </w:r>
      <w:r w:rsidRPr="00F93FB5">
        <w:rPr>
          <w:rStyle w:val="FontStyle21"/>
          <w:lang w:val="de-DE"/>
        </w:rPr>
        <w:t>/ Signature / Unterschrift</w:t>
      </w:r>
      <w:r w:rsidRPr="00F93FB5">
        <w:rPr>
          <w:rStyle w:val="FontStyle21"/>
        </w:rPr>
        <w:t>: ..........................................................</w:t>
      </w:r>
    </w:p>
    <w:p w:rsidR="00F265F4" w:rsidRPr="00F93FB5" w:rsidRDefault="00F265F4" w:rsidP="00F265F4">
      <w:pPr>
        <w:pStyle w:val="Style8"/>
        <w:widowControl/>
        <w:spacing w:line="360" w:lineRule="auto"/>
        <w:rPr>
          <w:rStyle w:val="FontStyle21"/>
          <w:lang w:val="de-DE"/>
        </w:rPr>
      </w:pPr>
    </w:p>
    <w:p w:rsidR="00F265F4" w:rsidRPr="00F93FB5" w:rsidRDefault="00F265F4" w:rsidP="00F93FB5">
      <w:pPr>
        <w:pStyle w:val="Style8"/>
        <w:widowControl/>
        <w:spacing w:line="360" w:lineRule="auto"/>
        <w:rPr>
          <w:rFonts w:ascii="Times New Roman" w:hAnsi="Times New Roman"/>
        </w:rPr>
      </w:pPr>
      <w:r w:rsidRPr="00F93FB5">
        <w:rPr>
          <w:rStyle w:val="FontStyle21"/>
        </w:rPr>
        <w:t>Sekcja 2. Pieczęcie właściwego organu</w:t>
      </w:r>
    </w:p>
    <w:p w:rsidR="00F265F4" w:rsidRPr="00F93FB5" w:rsidRDefault="00F265F4" w:rsidP="00CF773E">
      <w:pPr>
        <w:spacing w:line="240" w:lineRule="auto"/>
        <w:ind w:left="708" w:hanging="356"/>
        <w:jc w:val="both"/>
        <w:rPr>
          <w:rFonts w:ascii="Times New Roman" w:hAnsi="Times New Roman" w:cs="Times New Roman"/>
          <w:sz w:val="24"/>
          <w:szCs w:val="24"/>
        </w:rPr>
        <w:sectPr w:rsidR="00F265F4" w:rsidRPr="00F93FB5"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389"/>
      </w:tblGrid>
      <w:tr w:rsidR="00F265F4" w:rsidRPr="00F93FB5"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lastRenderedPageBreak/>
              <w:t xml:space="preserve">OPIS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KOD CN</w:t>
            </w:r>
          </w:p>
        </w:tc>
      </w:tr>
      <w:tr w:rsidR="00F265F4" w:rsidRPr="00F93FB5"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F93FB5" w:rsidRDefault="00F265F4" w:rsidP="00F265F4">
            <w:pPr>
              <w:spacing w:after="0" w:line="240" w:lineRule="auto"/>
              <w:rPr>
                <w:rFonts w:ascii="Calibri" w:eastAsia="Times New Roman" w:hAnsi="Calibri" w:cs="Calibri"/>
                <w:b/>
                <w:bCs/>
                <w:color w:val="000000"/>
                <w:lang w:val="en-US"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F93FB5" w:rsidRDefault="00F265F4" w:rsidP="00F265F4">
            <w:pPr>
              <w:spacing w:after="0" w:line="240" w:lineRule="auto"/>
              <w:rPr>
                <w:rFonts w:ascii="Calibri" w:eastAsia="Times New Roman" w:hAnsi="Calibri" w:cs="Calibri"/>
                <w:b/>
                <w:bCs/>
                <w:color w:val="000000"/>
                <w:lang w:val="en-US" w:eastAsia="zh-CN"/>
              </w:rPr>
            </w:pPr>
          </w:p>
        </w:tc>
      </w:tr>
      <w:tr w:rsidR="00F265F4" w:rsidRPr="00F93FB5"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ODLEWNICTWO</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lang w:val="en-US" w:eastAsia="zh-CN"/>
              </w:rPr>
            </w:pPr>
          </w:p>
        </w:tc>
      </w:tr>
      <w:tr w:rsidR="00F265F4" w:rsidRPr="00F93FB5"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F93FB5" w:rsidRDefault="00F265F4" w:rsidP="00F265F4">
            <w:pPr>
              <w:spacing w:after="0" w:line="240" w:lineRule="auto"/>
              <w:rPr>
                <w:rFonts w:ascii="Calibri" w:eastAsia="Times New Roman" w:hAnsi="Calibri" w:cs="Calibri"/>
                <w:b/>
                <w:bCs/>
                <w:color w:val="000000"/>
                <w:lang w:val="en-US" w:eastAsia="zh-CN"/>
              </w:rPr>
            </w:pPr>
          </w:p>
        </w:tc>
        <w:tc>
          <w:tcPr>
            <w:tcW w:w="1800" w:type="dxa"/>
            <w:vMerge/>
            <w:tcBorders>
              <w:top w:val="nil"/>
              <w:left w:val="single" w:sz="4" w:space="0" w:color="auto"/>
              <w:bottom w:val="nil"/>
              <w:right w:val="single" w:sz="4" w:space="0" w:color="auto"/>
            </w:tcBorders>
            <w:vAlign w:val="center"/>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rPr>
              <w:t xml:space="preserve">Iglice zwrotnicowe, krzyżownice, pręty zwrotnicowe i pozostałe elementy skrzyżowań lub rozjazdów kolejowych z żeliwa lub stali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73023000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nieogrzewanych elektrycznie urządzeń stosowanych w gospodarstwie domowym, objęte pozycją 7321, z żeliwa lub stali, gdzie indziej niewymienione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73219000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Grzejniki centralnego ogrzewania, nieogrzewane elektrycznie oraz ich części, z żeliwa (inne niż części, gdzie indziej wymienione lub włączone i kotły centralnego ogrzewania)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73221100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2D091D">
            <w:pPr>
              <w:spacing w:after="0" w:line="240" w:lineRule="auto"/>
              <w:rPr>
                <w:rFonts w:ascii="Calibri" w:eastAsia="Times New Roman" w:hAnsi="Calibri" w:cs="Calibri"/>
                <w:color w:val="000000"/>
              </w:rPr>
            </w:pPr>
            <w:r w:rsidRPr="00F93FB5">
              <w:rPr>
                <w:rFonts w:ascii="Calibri" w:hAnsi="Calibri"/>
                <w:color w:val="000000"/>
              </w:rPr>
              <w:t>Stołowe, kuchenne lub pozostałe artykuły gospodarstwa domowego i ich części, żeliwne, nieemaliowane</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73239100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2D091D">
            <w:pPr>
              <w:spacing w:after="0" w:line="240" w:lineRule="auto"/>
              <w:rPr>
                <w:rFonts w:ascii="Calibri" w:eastAsia="Times New Roman" w:hAnsi="Calibri" w:cs="Calibri"/>
                <w:color w:val="000000"/>
              </w:rPr>
            </w:pPr>
            <w:r w:rsidRPr="00F93FB5">
              <w:rPr>
                <w:rFonts w:ascii="Calibri" w:hAnsi="Calibri"/>
                <w:color w:val="000000"/>
              </w:rPr>
              <w:t xml:space="preserve">Wyroby ze stali, odlewane, gdzie indziej niewymienione (z wyłączeniem wyrobów z żeliwa nieciągliwego lub ciągliwego oraz kuli mielących i podobnych artykułów dla młynów)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73259990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Artykuły odlewane z aluminium, gdzie indziej niewymienione</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76169910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Artykuły z magnezu, gdzie indziej niewymienione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81049000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kotłów centralnego ogrzewania, z żeliwa, gdzie indziej niewymienione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84039010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turbin hydraulicznych i kół wodnych, gdzie indziej nieklasyfikowane, oraz regulatory turbin hydraulicznych,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84109000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objętych pozycją 8426, 8429 i 8430, odlewane z żeliwa lub staliwa, gdzie indziej niewymienione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84314920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do wytwarzania masy włóknistego materiału celulozowego, gdzie indziej niewymienione,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84399100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do wytwarzania lub obróbki wykańczającej papieru lub tektury,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84399900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Części maszyn pralniczych, gdzie indziej niewymienione</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84509000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do szycia, gdzie indziej niewymienione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84529000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i akcesoria, inne niż wymienione w pozycjach 8466, do maszyn objętych pozycją 8464,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84669120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i akcesoria, inne niż wymienione w pozycjach 8466, do maszyn objętych pozycją 8465,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84669220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do obróbki substancji mineralnych objętych pozycją 8474, gdzie indziej niewymienione,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84749010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Części automatów do rozmieniania pieniędzy</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84769010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Pozostałe części maszyn</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84769090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do obróbki gumy lub tworzyw sztucznych, odlewane z żeliwa lub staliwa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84779010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mechanicznych o funkcjach </w:t>
            </w:r>
            <w:r w:rsidRPr="00F93FB5">
              <w:rPr>
                <w:rFonts w:ascii="Calibri" w:hAnsi="Calibri"/>
                <w:color w:val="000000"/>
              </w:rPr>
              <w:lastRenderedPageBreak/>
              <w:t>indywidualnych, odlewane z żeliwa lub staliwa, gdzie indziej niewymienione</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lastRenderedPageBreak/>
              <w:t>84799020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Koła zamachowe i koła pasowe lub linowe, włączając wielokrążki i zblocza, odlewane z żeliwa lub staliwa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84835020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Sprzęgła rozłączne i nierozłączne, włączając przeguby uniwersalne, do maszyn, odlewane z żeliwa lub staliwa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84836020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Pozostałe elementy wałów napędowych, przekładni, sprzęgieł i pozostałych części objętych pozycją 8483, odlewane z żeliwa lub staliwa, gdzie indziej niewymienione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84839081</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maszyn i urządzeń sklasyfikowanych w dziale 84, nieposiadające właściwości elektrycznych, z żeliwa, gdzie indziej niewymienione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84879040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do maszyn i urządzeń sklasyfikowanych w dziale 84, nieposiadające właściwości elektrycznych, odlewane ze staliwa, gdzie indziej niewymienione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84879051</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nadające się wyłącznie lub głównie do silników elektrycznych i prądnic, zespołów prądotwórczych i przetwornic jednotwornikowych, gdzie indziej niewymienione,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85030091</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Osie, zmontowane lub nie, koła i ich części, odlewane z żeliwa lub staliwa </w:t>
            </w:r>
          </w:p>
        </w:tc>
        <w:tc>
          <w:tcPr>
            <w:tcW w:w="1800" w:type="dxa"/>
            <w:tcBorders>
              <w:top w:val="nil"/>
              <w:left w:val="nil"/>
              <w:bottom w:val="single" w:sz="4" w:space="0" w:color="auto"/>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86071910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do hamulców tarczowych do ciągników, pojazdów silnikowych do przewozu 10 lub więcej osób, pojazdów samochodowych i pozostałych pojazdów silnikowych przeznaczonych zasadniczo do przewozu osób, pojazdów specjalnego przeznaczenia do przewozu towarów, gdzie indziej niesklasyfikowane (z wyłączeniem części do montażu pojazdów silnikowych objętych pozycją 8708.30.10)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87083091</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Hamulce i hamulce ze wspomaganiem i ich części do ciągników, pojazdów silnikowych do przewozu 10 lub więcej osób, pojazdów samochodowych i pozostałych pojazdów silnikowych przeznaczonych zasadniczo do przewozu osób, pojazdów specjalnego przeznaczenia do przewozu towarów, gdzie indziej niesklasyfikowane (z wyłączeniem części do montażu pojazdów silnikowych objętych pozycją 8708.30.10 i części do hamulców tarczowych)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87083099</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Mosty napędowe z mechanizmem różnicowym, w tym wyposażone w inne elementy przekładniowe, osie nienapędzane i ich części, do montażu przemysłowego: pojazdów samochodowych objętych pozycją 8703, 8704 z silnikiem tłokowym wewnętrznego spalania z zapłonem samoczynnym (wysokoprężnym lub średnioprężnym), o pojemności skokowej nieprzekraczającej 2 500 cm³ lub z silnikiem tłokowym wewnętrznego spalania z zapłonem iskrowym, o pojemności skokowej nieprzekraczającej 2 800 cm³, i pojazdów silnikowych specjalnego przeznaczenia objętych pozycją 8705, gdzie indziej niesklasyfikowane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87085020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Mosty napędowe z mechanizmem różnicowym, w tym wyposażone w inne elementy przekładniowe, osie nienapędzane i ich części do ciągników, pojazdów </w:t>
            </w:r>
            <w:r w:rsidRPr="00F93FB5">
              <w:rPr>
                <w:rFonts w:ascii="Calibri" w:hAnsi="Calibri"/>
                <w:color w:val="000000"/>
              </w:rPr>
              <w:lastRenderedPageBreak/>
              <w:t xml:space="preserve">silnikowych do przewozu 10 lub więcej osób, pojazdów samochodowych i pozostałych pojazdów silnikowych przeznaczonych zasadniczo do przewozu osób, pojazdów silnikowych specjalnego przeznaczenia do przewozu towarów (z wyłączeniem części do montażu pojazdów objętych pozycją 8708.50.20)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lastRenderedPageBreak/>
              <w:t>87085035</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osi nienapędzanych do ciągników, pojazdów silnikowych do przewozu 10 lub więcej osób, pojazdów samochodowych i pozostałych pojazdów silnikowych przeznaczonych zasadniczo do przewozu osób, pojazdów specjalnego przeznaczenia do przewozu towarów (z wyłączeniem części do montażu pojazdów objętych pozycją 8708.50.20 i części stalowych, odkutych w matrycy zamkniętej), gdzie indziej niesklasyfikowane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87085091</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Części mostów napędowych z mechanizmem różnicowym, w tym wyposażonych w inne elementy przekładniowe, do ciągników, pojazdów silnikowych do przewozu 10 lub więcej osób, pojazdów samochodowych i pozostałych pojazdów silnikowych przeznaczonych zasadniczo do przewozu osób, pojazdów specjalnego przeznaczenia do przewozu towarów (z wyłączeniem części do montażu pojazdów objętych pozycją 8708.50.20 i części stalowych, odkutych w matrycy zamkniętej), gdzie indziej niesklasyfikowane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87085099</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Koła jezdne oraz ich części i akcesoria do montażu przemysłowego: ciągników kierowanych przez pieszego objętych pozycją 8701.10, pojazdów samochodowych objętych pozycją 8703, pojazdów silnikowych do przewozu towarów, z silnikiem tłokowym wewnętrznego spalania z zapłonem samoczynnym (wysokoprężnym lub średnioprężnym), o pojemności skokowej nieprzekraczającej 2 500 cm³ lub z silnikiem tłokowym wewnętrznego spalania z zapłonem iskrowym, o pojemności skokowej nieprzekraczającej 2 800 cm³, pojazdów silnikowych specjalnego przeznaczenia objętych pozycją 8705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87087010</w:t>
            </w:r>
          </w:p>
        </w:tc>
      </w:tr>
      <w:tr w:rsidR="00F265F4" w:rsidRPr="00F93FB5"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Koła jezdne oraz ich części i akcesoria do ciągników i pojazdów silnikowych do przewozu 10 lub więcej osób itp. </w:t>
            </w:r>
          </w:p>
        </w:tc>
        <w:tc>
          <w:tcPr>
            <w:tcW w:w="1800" w:type="dxa"/>
            <w:tcBorders>
              <w:top w:val="nil"/>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87087050</w:t>
            </w:r>
          </w:p>
        </w:tc>
      </w:tr>
      <w:tr w:rsidR="00F265F4" w:rsidRPr="00F93FB5"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Piasty kół w kształcie gwiazdy itp. </w:t>
            </w:r>
          </w:p>
        </w:tc>
        <w:tc>
          <w:tcPr>
            <w:tcW w:w="1800" w:type="dxa"/>
            <w:tcBorders>
              <w:top w:val="nil"/>
              <w:left w:val="nil"/>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87087091</w:t>
            </w:r>
          </w:p>
        </w:tc>
      </w:tr>
      <w:tr w:rsidR="00F265F4" w:rsidRPr="00F93FB5"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Pozostałe części do przyczep i naczep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87169090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PÓŁPRODUKTY Z METALI NIEŻELAZNYCH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MIEDŹ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MIEDŹ </w:t>
            </w: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i kształtowniki z miedzi rafinowanej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7407 10 00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ze stopów miedzi z cynkiem (mosiądzu)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7407 21 10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Kształtowniki ze stopów miedzi z cynkiem (mosiądzu)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7407 21 90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i kształtowniki ze stopów miedzi z niklem (stopów miedziowo-niklowych) lub ze stopów miedzi z niklem i cynkiem </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7407 29 00</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i kształtowniki z innych stopów miedzi </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7407 29 00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 miedziany z miedzi rafinowanej, którego maksymalny wymiar przekroju poprzecznego przekracza 6 mm</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7408 11 00</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miedziany z miedzi rafinowanej, którego </w:t>
            </w:r>
            <w:r w:rsidRPr="00F93FB5">
              <w:rPr>
                <w:rFonts w:ascii="Calibri" w:hAnsi="Calibri"/>
                <w:color w:val="000000"/>
              </w:rPr>
              <w:lastRenderedPageBreak/>
              <w:t xml:space="preserve">maksymalny wymiar przekroju poprzecznego przekracza 0,5 mm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lastRenderedPageBreak/>
              <w:t xml:space="preserve">7408 19 10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miedziany z miedzi rafinowanej, którego maksymalny wymiar przekroju poprzecznego nie przekracza 0,5 mm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7408 19 90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miedziany ze stopów miedzi z cynkiem (mosiądzu)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7408 21 00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miedziany ze stopów miedzi z niklem (stop miedziowo-niklowy) lub stopów miedzi z niklem i cynkiem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7408 22 00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Druty z innych stopów miedzi</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da-DK" w:eastAsia="zh-CN"/>
              </w:rPr>
              <w:t xml:space="preserve"> </w:t>
            </w:r>
            <w:r w:rsidRPr="00F93FB5">
              <w:rPr>
                <w:rFonts w:ascii="Calibri" w:hAnsi="Calibri"/>
                <w:color w:val="000000"/>
                <w:lang w:val="en-US" w:eastAsia="zh-CN"/>
              </w:rPr>
              <w:t xml:space="preserve">7408 29 00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z miedzi rafinowanej, o grubości &gt; 0,15 mm, w zwojach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7409 11 00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z miedzi rafinowanej, o grubości &gt; 0,15 mm, nie w zwojach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7409 19 00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o grubości &gt; 0,15 mm, ze stopów miedzi z cynkiem (mosiądz), w zwojach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7409 21 00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o grubości &gt; 0,15 mm, ze stopów miedzi z cynkiem (mosiądz), nie w zwojach</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7409 29 00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miedziane, o grubości &gt; 0,15 mm, ze stopów miedzi z cyną (brąz), w zwojach</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7409 31 00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miedziane, o grubości &gt; 0,15 mm, ze stopów miedzi z cyną (brąz), nie w zwojach</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7409 39 00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miedziane, o grubości &gt; 0,15 mm, ze stopów miedzi z niklem (stop miedziowo-niklowy) lub stopów miedzi z niklem i cynkiem (alpaka) </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7409 40 00</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z innych stopów miedzi, o grubości &gt; 0,15 mm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7409 90 00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z miedzi rafinowanej, o grubości ≤ 0,15 mm, bez podłoża</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7410 11 00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ze stopów miedzi, o grubości ≤ 0,15 mm, bez podłoża</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7410 12 00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z miedzi rafinowanej, o grubości ≤ 0,15 mm, na podłożu</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7410 21 00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ze stopów miedzi, o grubości ≤ 0,15 mm, na podłożu</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7410 22 00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NIKIEL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NIKIEL</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i kształtowniki z niklu niestopowego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7505 11 00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Sztaby, pręty i kształtowniki ze stopów niklu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7505 12 00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z niklu niestopowego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7505 21 00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ze stopów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7505 22 00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taśmy i folie z niklu niestopowego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7506 10 00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taśmy i folie ze stopów niklu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7506 20 00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ALUMINIUM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ALUMINIUM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z aluminium niestopowego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7604 10 10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Kształtowniki z aluminium niestopowego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7604 10 90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Kształtowniki drążone ze stopów aluminium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7604 21 00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ze stopów aluminium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7604 29 10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Kształtowniki ze stopów aluminium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7604 29 90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z aluminium niestopowego, którego maksymalny wymiar przekroju poprzecznego przekracza 7 mm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7605 11 00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 z aluminium niestopowego, inne</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fr-BE" w:eastAsia="zh-CN"/>
              </w:rPr>
              <w:t xml:space="preserve"> </w:t>
            </w:r>
            <w:r w:rsidRPr="00F93FB5">
              <w:rPr>
                <w:rFonts w:ascii="Calibri" w:hAnsi="Calibri"/>
                <w:color w:val="000000"/>
                <w:lang w:val="en-US" w:eastAsia="zh-CN"/>
              </w:rPr>
              <w:t xml:space="preserve">7605 19 00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ze stopów aluminium, którego maksymalny wymiar przekroju poprzecznego przekracza 7 mm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pt-PT" w:eastAsia="zh-CN"/>
              </w:rPr>
              <w:t xml:space="preserve"> </w:t>
            </w:r>
            <w:r w:rsidRPr="00F93FB5">
              <w:rPr>
                <w:rFonts w:ascii="Calibri" w:hAnsi="Calibri"/>
                <w:color w:val="000000"/>
                <w:lang w:val="en-US" w:eastAsia="zh-CN"/>
              </w:rPr>
              <w:t xml:space="preserve">7605 21 00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Drut ze stopów aluminium, inne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7605 29 00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 aluminium niestopowego, kwadratowe lub prostokątne, malowane, lakierowane lub powleczone tworzywami sztucznymi</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7606 11 10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 aluminium niestopowego, kwadratowe lub prostokątne, inne, o grubości mniejszej niż 3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7606 11 91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 aluminium niestopowego, kwadratowe lub prostokątne, inne, o grubości nie mniejszej niż 3 mm, ale nie większej niż 6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7606 11 93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 aluminium niestopowego, kwadratowe lub prostokątne, inne, o grubości większej niż 6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7606 11 99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Taśmy ze stopów aluminium, kwadratowe lub prostokątne, malowane, lakierowane lub powleczone tworzywami sztucznymi</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7606 12 20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ze stopów aluminium, kwadratowe lub prostokątne, inne, o grubości mniejszej niż 3 mm</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7606 12 92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ze stopów aluminium, kwadratowe lub prostokątne, inne, o grubości nie mniejszej niż 3 mm, ale nie większej niż 6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7606 12 93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 i taśmy ze stopów aluminium, kwadratowe lub prostokątne, inne, o grubości nie mniejszej niż 6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7606 12 99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z aluminium niestopowego, inne niż prostokątne lub kwadratowe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7606 91 00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i taśmy ze stopów aluminium, inne niż prostokątne lub kwadratowe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7606 92 00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aluminiowe, bez podłoża, tylko walcowane, o grubości mniejszej niż 0,021 mm, w kręgach o wadze nieprzekraczającej 10 kg</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7607 11 11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Folie i cienkie taśmy aluminiowe, bez podłoża, tylko walcowane, o grubości mniejszej niż 0,021 mm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7607 11 19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aluminiowe, bez podłoża, tylko walcowane, o grubości nie mniejszej niż 0,021 mm, lecz nie większej niż 0,2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7607 11 90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aluminiowe, bez podłoża, inne, o grubości mniejszej niż 0,021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7607 19 10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aluminiowe, bez podłoża, inne, o grubości nie mniejszej niż 0,021 mm, lecz nie mniejszej niż 0,2 mm</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7607 19 90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aluminiowe, na podłożu, o grubości (z wyłączeniem podłoża) mniejszej niż 0,021 mm</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pt-PT" w:eastAsia="zh-CN"/>
              </w:rPr>
              <w:t xml:space="preserve"> </w:t>
            </w:r>
            <w:r w:rsidRPr="00F93FB5">
              <w:rPr>
                <w:rFonts w:ascii="Calibri" w:hAnsi="Calibri"/>
                <w:color w:val="000000"/>
                <w:lang w:val="en-US" w:eastAsia="zh-CN"/>
              </w:rPr>
              <w:t xml:space="preserve">7607 20 10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cienkie taśmy aluminiowe, na podłożu, o grubości (z wyłączeniem podłoża) nie mniejszej niż 0,021 mm, lecz nie większej niż 0,2 mm</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7607 20 90</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OŁÓW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OŁÓW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Folie i taśmy ołowiane, o grubości nie większej niż 0,2 mm (z wyłączeniem podłoża)</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7804 11 00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Blacha ołowiana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7804 19 00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Proszki i płatki ołowiu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7804 20 00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CYNK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CYNK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i druty z cynku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7904 00 00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folie i taśmy z cynku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7905 00 00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lastRenderedPageBreak/>
              <w:t xml:space="preserve">CYNA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CYNA</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i druty z cyny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8003 00 00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INNE METALE NIESZLACHETNE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INNE METALE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wolframowy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8101 96 00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z wolframu, inne niż te otrzymane przez zwykłe spiekanie, kształtowniki, blachy, taśmy i folie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8101 99 10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molibdenu, inne niż te otrzymane przez zwykłe spiekanie, kształtowniki, blachy, taśmy i folie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8102 95 00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 molibdenowy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8102 96 00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z tantalu, inne niż te otrzymane przez zwykłe spiekanie, kształtowniki, blachy, taśmy i folie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8103 90 10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magnezu)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ex 81049000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kobaltu)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ex 81059000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bizmutu)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ex 81060090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kadmu)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ex 81079000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Sztaby, pręty, kształtowniki i druty z tytanu</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8108 90 30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 taśmy i folie z tytanu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8108 90 50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cyrkonu)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8109 90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antymonu)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8110 90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manganu)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8111 00 90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berylu)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8112 19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chromu)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8112 29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talu)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8112 59 00 </w:t>
            </w:r>
          </w:p>
        </w:tc>
      </w:tr>
      <w:tr w:rsidR="00F265F4" w:rsidRPr="00F93FB5" w:rsidTr="00223553">
        <w:tc>
          <w:tcPr>
            <w:tcW w:w="5320" w:type="dxa"/>
            <w:tcBorders>
              <w:top w:val="nil"/>
              <w:left w:val="single" w:sz="4" w:space="0" w:color="auto"/>
              <w:bottom w:val="nil"/>
              <w:right w:val="nil"/>
            </w:tcBorders>
            <w:shd w:val="clear" w:color="auto" w:fill="auto"/>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hafnu (celtium), germanu)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8112 99 20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niobu (columbium), renu)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8112 99 30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galu, indu, wanadu)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8112 99 70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 kształtowniki, druty i blachy z cermetali)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8113 00 90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Stopy miedzi z cynkiem (mosiądz)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7403 21 00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Stopy miedzi z cyną (brąz)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7403 22 00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Pozostałe stopy miedzi (inne niż stopy wstępne objęte pozycją 7405)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7403 29 00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Stopy niklu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7502 20 00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Stopy aluminium w postaci blach i kęsów</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7601 20 20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Stopy aluminium w innej postaci </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7601 20 80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Ołów nierafinowany, niezawierający antymonu, inny </w:t>
            </w:r>
          </w:p>
        </w:tc>
        <w:tc>
          <w:tcPr>
            <w:tcW w:w="1800" w:type="dxa"/>
            <w:tcBorders>
              <w:top w:val="nil"/>
              <w:left w:val="single" w:sz="4" w:space="0" w:color="auto"/>
              <w:bottom w:val="nil"/>
              <w:right w:val="single" w:sz="4" w:space="0" w:color="auto"/>
            </w:tcBorders>
            <w:shd w:val="clear" w:color="000000" w:fill="CCE8CF"/>
            <w:noWrap/>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pt-PT" w:eastAsia="zh-CN"/>
              </w:rPr>
              <w:t xml:space="preserve"> </w:t>
            </w:r>
            <w:r w:rsidRPr="00F93FB5">
              <w:rPr>
                <w:rFonts w:ascii="Calibri" w:hAnsi="Calibri"/>
                <w:lang w:val="en-US" w:eastAsia="zh-CN"/>
              </w:rPr>
              <w:t>7801 99 90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Stopy cynku</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 7901 20 00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Stopy cyny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8001 20 00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Magnez nieobrobiony plastycznie, inne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ex 8104 19 00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C – WYKAZ KODÓW I WYROBÓW NIEOBROBIONYCH Z METALI TOWARZYSZĄCYCH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rPr>
              <w:t xml:space="preserve">C – WYKAZ </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Wolfram nieobrobiony plastycznie, włączając sztaby i pręty otrzymane przez zwykłe spiekanie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8101 94 00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Molibden nieobrobiony plastycznie, włączając sztaby i pręty otrzymane przez zwykłe spiekanie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8102 94 00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Tantal nieobrobiony plastycznie, włączając sztaby i pręty otrzymane przez zwykłe spiekanie;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8103 20 00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Kamienie kobaltowe i pozostałe produkty pośrednie </w:t>
            </w:r>
            <w:r w:rsidRPr="00F93FB5">
              <w:rPr>
                <w:rFonts w:ascii="Calibri" w:hAnsi="Calibri"/>
                <w:color w:val="000000"/>
              </w:rPr>
              <w:lastRenderedPageBreak/>
              <w:t xml:space="preserve">hutnictwa kobaltu; kobalt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lastRenderedPageBreak/>
              <w:t xml:space="preserve">8105 20 00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Bizmut nieobrobiony plastycznie; odpady i złom; proszki</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pt-PT" w:eastAsia="zh-CN"/>
              </w:rPr>
              <w:t xml:space="preserve"> </w:t>
            </w:r>
            <w:r w:rsidRPr="00F93FB5">
              <w:rPr>
                <w:rFonts w:ascii="Calibri" w:hAnsi="Calibri"/>
                <w:color w:val="000000"/>
                <w:lang w:val="en-US" w:eastAsia="zh-CN"/>
              </w:rPr>
              <w:t xml:space="preserve">8106 00 10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Kadm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8107 20 00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Tytan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8108 20 00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Cyrkon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8109 20 00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Antymon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8110 10 00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Mangan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8111 00 11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Beryl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8112 12 00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Stopy chromu nieobrobionego plastycznie, proszki zawierające więcej niż 10% masy niklu</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8112 2110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Chrom nieobrobiony plastycznie; proszki; inne</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81122190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Tal nieobrobiony plastycznie;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8112 51 00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Hafn (celtium) nieobrobiony plastycznie; odpady i złom;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8112 92 10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Niob (columbium), ren nieobrobione plastycznie; odpady i złom;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8112 92 31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Ind nieobrobiony plastycznie; odpady i złom; proszki</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pt-PT" w:eastAsia="zh-CN"/>
              </w:rPr>
              <w:t xml:space="preserve"> </w:t>
            </w:r>
            <w:r w:rsidRPr="00F93FB5">
              <w:rPr>
                <w:rFonts w:ascii="Calibri" w:hAnsi="Calibri"/>
                <w:color w:val="000000"/>
                <w:lang w:val="en-US" w:eastAsia="zh-CN"/>
              </w:rPr>
              <w:t xml:space="preserve">8112 92 81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Gal nieobrobiony plastycznie; odpady i złom;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8112 92 89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Wanad nieobrobiony plastycznie; odpady i złom; proszki</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pt-PT" w:eastAsia="zh-CN"/>
              </w:rPr>
              <w:t xml:space="preserve"> </w:t>
            </w:r>
            <w:r w:rsidRPr="00F93FB5">
              <w:rPr>
                <w:rFonts w:ascii="Calibri" w:hAnsi="Calibri"/>
                <w:color w:val="000000"/>
                <w:lang w:val="en-US" w:eastAsia="zh-CN"/>
              </w:rPr>
              <w:t xml:space="preserve">8112 92 91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German nieobrobiony plastycznie; odpady i złom; proszki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 xml:space="preserve">8112 92 95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Cermetal nieobrobiony plastycznie </w:t>
            </w:r>
          </w:p>
        </w:tc>
        <w:tc>
          <w:tcPr>
            <w:tcW w:w="1800" w:type="dxa"/>
            <w:tcBorders>
              <w:top w:val="nil"/>
              <w:left w:val="single" w:sz="4" w:space="0" w:color="auto"/>
              <w:bottom w:val="nil"/>
              <w:right w:val="single" w:sz="4" w:space="0" w:color="auto"/>
            </w:tcBorders>
            <w:shd w:val="clear" w:color="auto" w:fill="auto"/>
            <w:noWrap/>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8113 00 20</w:t>
            </w: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PÓŁPRODUKTY HUTNICZE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FF0000"/>
              </w:rPr>
            </w:pPr>
            <w:r w:rsidRPr="00F93FB5">
              <w:rPr>
                <w:rFonts w:ascii="Calibri" w:hAnsi="Calibri"/>
                <w:b/>
                <w:bCs/>
                <w:color w:val="FF0000"/>
                <w:lang w:val="en-US" w:eastAsia="zh-CN"/>
              </w:rPr>
              <w:t xml:space="preserv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sz w:val="20"/>
                <w:szCs w:val="20"/>
              </w:rPr>
            </w:pPr>
            <w:r w:rsidRPr="00F93FB5">
              <w:rPr>
                <w:rFonts w:ascii="Calibri" w:hAnsi="Calibri"/>
                <w:color w:val="000000"/>
                <w:sz w:val="20"/>
                <w:szCs w:val="20"/>
              </w:rPr>
              <w:t xml:space="preserve">ŻELIWO I STAL NIESTOPOWA W POSTACI WLEWKÓW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72061000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ŻELIWO I STAL NIESTOPOWA W POZOSTAŁYCH FORMACH PIERWOTNYCH</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72069000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WLEWKI I POZOSTAŁE FORMY PIERWOTNE ZE STALI NIERDZEWNEJ</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WLEWKI I POZOSTAŁE FORMY PIERWOTNE ZE STALI NARZĘDZIOWEJ STOPOWEJ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72241010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WLEWKI I POZOSTAŁE FORMY PIERWOTNE ZE STALI STOPOWEJ, INNE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72241090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DA7421"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SLABY</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FF0000"/>
              </w:rPr>
            </w:pPr>
            <w:r w:rsidRPr="00F93FB5">
              <w:rPr>
                <w:rFonts w:ascii="Calibri" w:hAnsi="Calibri"/>
              </w:rPr>
              <w:t>SLABY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72071210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FF0000"/>
              </w:rPr>
            </w:pPr>
            <w:r w:rsidRPr="00F93FB5">
              <w:rPr>
                <w:rFonts w:ascii="Calibri" w:hAnsi="Calibri"/>
              </w:rPr>
              <w:t>SLABY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72072032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DA7421" w:rsidP="00F265F4">
            <w:pPr>
              <w:spacing w:after="0" w:line="240" w:lineRule="auto"/>
              <w:rPr>
                <w:rFonts w:ascii="Calibri" w:eastAsia="Times New Roman" w:hAnsi="Calibri" w:cs="Calibri"/>
                <w:color w:val="000000"/>
              </w:rPr>
            </w:pPr>
            <w:r w:rsidRPr="00F93FB5">
              <w:rPr>
                <w:rFonts w:ascii="Calibri" w:hAnsi="Calibri"/>
                <w:color w:val="000000"/>
              </w:rPr>
              <w:t>SLABY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72189110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DA7421" w:rsidP="00F265F4">
            <w:pPr>
              <w:spacing w:after="0" w:line="240" w:lineRule="auto"/>
              <w:rPr>
                <w:rFonts w:ascii="Calibri" w:eastAsia="Times New Roman" w:hAnsi="Calibri" w:cs="Calibri"/>
                <w:color w:val="000000"/>
              </w:rPr>
            </w:pPr>
            <w:r w:rsidRPr="00F93FB5">
              <w:rPr>
                <w:rFonts w:ascii="Calibri" w:hAnsi="Calibri"/>
                <w:color w:val="000000"/>
              </w:rPr>
              <w:t>SLABY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72189180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FF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FF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DA7421"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KĘSISKA</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DA7421"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KĘSY</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72071111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72071114</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72071116</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72071912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72071980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72072015</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KĘSISKA KĘSY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72072017</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72072052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72189911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72189920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72249002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72249003</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72249005</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72249007</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72249014</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KĘSISKA KĘSY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72249031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KĘSISKA KĘSY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72249038</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DA7421"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KRĘGI</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KRĘGI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KRĘGI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72082500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72082600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KRĘGI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72082700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72083600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72083700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72083800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72083900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72191210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72191290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72191310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72191390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72191410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72191490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72251910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72253010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KRĘGI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72253030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KRĘGI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72253090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b/>
                <w:bCs/>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SZYNY I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NAWIERZCHNIA KOLEJOWA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SZYNY I NAWIERZCHNIA KOLEJOWA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73021022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SZYNY I NAWIERZCHNIA KOLEJOWA</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F93FB5" w:rsidRDefault="00F265F4" w:rsidP="00F265F4">
            <w:pPr>
              <w:spacing w:after="0" w:line="240" w:lineRule="auto"/>
              <w:jc w:val="center"/>
              <w:rPr>
                <w:rFonts w:ascii="Calibri" w:eastAsia="Times New Roman" w:hAnsi="Calibri" w:cs="Calibri"/>
              </w:rPr>
            </w:pPr>
            <w:r w:rsidRPr="00F93FB5">
              <w:rPr>
                <w:rFonts w:ascii="Calibri" w:hAnsi="Calibri"/>
                <w:lang w:val="en-US" w:eastAsia="zh-CN"/>
              </w:rPr>
              <w:t>73021028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SZYNY I NAWIERZCHNIA KOLEJOWA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73021040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SZYNY I NAWIERZCHNIA KOLEJOWA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73021050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SZYNY I NAWIERZCHNIA KOLEJOWA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73024000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F93FB5" w:rsidRDefault="00F265F4" w:rsidP="00F265F4">
            <w:pPr>
              <w:spacing w:after="0" w:line="240" w:lineRule="auto"/>
              <w:rPr>
                <w:rFonts w:ascii="Calibri" w:eastAsia="Times New Roman" w:hAnsi="Calibri" w:cs="Calibri"/>
                <w:color w:val="00B05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F93FB5" w:rsidRDefault="00F265F4" w:rsidP="00F265F4">
            <w:pPr>
              <w:spacing w:after="0" w:line="240" w:lineRule="auto"/>
              <w:rPr>
                <w:rFonts w:ascii="Calibri" w:eastAsia="Times New Roman" w:hAnsi="Calibri" w:cs="Calibri"/>
                <w:color w:val="00B05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GRODZICE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b/>
                <w:bCs/>
                <w:color w:val="000000"/>
              </w:rPr>
            </w:pPr>
            <w:r w:rsidRPr="00F93FB5">
              <w:rPr>
                <w:rFonts w:ascii="Calibri" w:hAnsi="Calibri"/>
                <w:b/>
                <w:bCs/>
                <w:color w:val="000000"/>
              </w:rPr>
              <w:t xml:space="preserve">GRODZICE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73011000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ZBROJENIE BETONU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W POSTACI PRĘTÓW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ZBROJENIE BETONU W POSTACI PRĘTÓW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ZBROJENIE BETONU W POSTACI PRĘTÓW</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72149910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WALCÓWKA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72139120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72139141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72139149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72139170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72139990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72210010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WALCÓWKA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72210090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72271000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72272000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72279010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72279050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WALCÓWKA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72279095</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b/>
                <w:bCs/>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SZTABY I PRĘTY GORĄCOWALCOWANE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ZWYKŁEJ JAKOŚCI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SZTABY I PRĘTY GORĄCOWALCOWANE ZWYKŁEJ JAKOŚCI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72143000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72149931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72149939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72149971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72149979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72149995</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72221111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72221119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72221181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SZTABY I PRĘTY GORĄCOWALCOWANE ZWYKŁEJ JAKOŚCI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72221189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72221910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72221990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72281020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72282091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72283041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72283049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72283061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72283069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72283089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I PRĘTY GORĄCOWALCOWANE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72288000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ZWYKŁEJ JAKOŚCI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PŁASKOWNIKI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PŁASKOWNIKI ZWYKŁEJ JAKOŚCI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PŁASKOWNIKI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72149190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PŁASKOWNIKI ZWYKŁEJ JAKOŚCI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72282010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PŁASKOWNIKI ZWYKŁEJ JAKOŚCI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72283070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TAŚMY GORĄCOWALCOWANE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&lt; 600 mm.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72111400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72111900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72126000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72201200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72261910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72269120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72269191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GORĄCOWALCOWANE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72269199</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CIENKIE BLACHY GORĄCOWALCOWANE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I BLACHY GRUBE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72084000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72085120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72085191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72085198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72085210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72085291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72085299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72085310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72085390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72085400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CIENKIE BLACHY GORĄCOWALCOWANE I BLACHY GRUBE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72089080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72109030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72111300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72192110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72192190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72192210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72192290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72192300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72192400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72254012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72254015</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72254040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72254060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GORĄCOWALCOWANE I BLACHY GRUBE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72254090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CIENKIE BLACHY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ZIMNOWALCOWANE &gt;600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72091500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72091690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72091790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72091891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72092500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72092690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72092790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CIENKIE BLACHY ZIMNOWALCOWANE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72092890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72099080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CIENKIE BLACHY ZIMNOWALCOWANE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72193210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CIENKIE BLACHY ZIMNOWALCOWANE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72193290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72193310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72193390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72193410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CIENKIE BLACHY ZIMNOWALCOWANE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72193490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72193510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72193590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72199080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72255020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CIENKIE BLACHY ZIMNOWALCOWANE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72255080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BLACHA CZARNA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BLACHA CZARNA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72091899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BLACHA CZARNA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72112380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BLACHY/TAŚMY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MAGNETYCZNE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BLACHY/TAŚMY MAGNETYCZNE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72091610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72091710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72091810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72092610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BLACHY/TAŚMY MAGNETYCZNE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72092710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72092810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72112320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72251990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BLACHY/TAŚMY MAGNETYCZNE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MAGNETYCZNE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72261980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BLACHY/TAŚMY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CYNOWANE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72101220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72101280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72107010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72109040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72121010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72121090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CYNOWANE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72124020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BLACHA BIAŁA BEZCYNOWA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BLACHA BIAŁA BEZCYNOWA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72105000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BLACHA BIAŁA BEZCYNOWA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72125020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BLACHY/TAŚMY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OCYNKOWANE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72104100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72104900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BLACHY/TAŚMY OCYNKOWANE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72123000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BLACHY/TAŚMY 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72259200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72269930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BLACHY/TAŚMY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ELEKTROCYNKOWANE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ELEKTROCYNKOWANE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72103000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ELEKTROCYNKOWANE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ELEKTROCYNKOWANE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72259100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ELEKTROCYNKOWANE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72269910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BLACHY/TAŚMY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 POWŁOKĄ ORGANICZNĄ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ORGANICZNĄ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72107080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ORGANICZNĄ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72124080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ORGANICZNĄ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72259900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ORGANICZNĄ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72269970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BLACHY/TAŚMY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 POWŁOKĄ METALICZNĄ INNEGO TYPU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72106100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72106900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72109080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72125030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72125040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72125061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72125069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BLACHY/TAŚMY Z POWŁOKĄ METALICZNĄ INNEGO TYPU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72125090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RURY I PRZEWODY RUROWE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BEZ SZWU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73041910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BEZ SZWU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73041930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73041990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73042200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73042300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73042400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73042910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73042930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73042990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73043120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73043180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73043952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73043958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73043992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73043993</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73043998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73044100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73044910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73044993</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BEZ SZWU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73044995</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73044999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73045112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73045118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73045181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73045189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73045932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73045938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73045992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73045993</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73045999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BEZ SZWU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73049000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RURY I PRZEWODY RUROWE SPAWANE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73051100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73051200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73051900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SPAWANE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SPAWANE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73053100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SPAWANE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73053900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73059000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SPAWANE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73061110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73061190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73061910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RURY I PRZEWODY RUROWE SPAWANE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73061990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73062100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73062900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73063041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73063049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73063072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73063077</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73063080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73064020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73064080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73065020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73065080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73066110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73066192</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73066199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73066910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73066990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RURY I PRZEWODY RUROWE SPAWANE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73069000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WYROBY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KUTE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WYROBY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72141000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WYROBY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72223051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WYROBY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72223091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WYROBY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72281050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WYROBY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72284010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WYROBY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72284090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SZTABY, PRĘTY/KSZTAŁTOWNIKI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ZIMNOCIĄGNIONE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72151000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72155011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72155019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72155080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72159000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72166110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72166190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72166900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72169110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72169180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72222021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72222029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72222031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72222039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72222081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72222089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72223097</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72224050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72224090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72281090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72282099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72285020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72285040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72285061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72285069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72285080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72286020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72286080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SZTABY, PRĘTY/KSZTAŁTOWNIKI ZIMNOCIĄGNIONE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72287090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DRUTY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CIĄGNIONE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72171010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DRUTY CIĄGNIONE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72171031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72171039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DRUTY CIĄGNIONE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72171050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72171090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72172010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DRUTY CIĄGNIONE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72172030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72172050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72172090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72173041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72173049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72173050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72173090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DRUTY CIĄGNIONE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72179050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72179090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lastRenderedPageBreak/>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72230011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72230019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72230091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72230099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72292000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DRUTY CIĄGNIONE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72299020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72299050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DRUTY CIĄGNIONE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72299090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TAŚMY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ZIMNOWALCOWANE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72112330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72112900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72119080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72202021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72202029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TAŚMY ZIMNOWALCOWANE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72202041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72202049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72202081</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72202089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TAŚMY ZIMNOWALCOWANE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72209020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72209080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TAŚMY ZIMNOWALCOWANE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72262000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TAŚMY ZIMNOWALCOWANE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72269200</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rPr>
                <w:rFonts w:ascii="Calibri" w:eastAsia="Times New Roman" w:hAnsi="Calibri" w:cs="Calibri"/>
                <w:color w:val="000000"/>
                <w:lang w:val="en-US" w:eastAsia="zh-CN"/>
              </w:rPr>
            </w:pP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PÓŁPRODUKTY </w:t>
            </w:r>
          </w:p>
        </w:tc>
      </w:tr>
      <w:tr w:rsidR="00F265F4" w:rsidRPr="00F93FB5" w:rsidTr="00E06F9A">
        <w:tc>
          <w:tcPr>
            <w:tcW w:w="5320" w:type="dxa"/>
            <w:tcBorders>
              <w:top w:val="nil"/>
              <w:left w:val="single" w:sz="4" w:space="0" w:color="auto"/>
              <w:bottom w:val="nil"/>
              <w:right w:val="nil"/>
            </w:tcBorders>
            <w:shd w:val="clear" w:color="auto" w:fill="auto"/>
            <w:vAlign w:val="bottom"/>
          </w:tcPr>
          <w:p w:rsidR="00F265F4" w:rsidRPr="00F93FB5"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b/>
                <w:bCs/>
                <w:color w:val="000000"/>
              </w:rPr>
            </w:pPr>
            <w:r w:rsidRPr="00F93FB5">
              <w:rPr>
                <w:rFonts w:ascii="Calibri" w:hAnsi="Calibri"/>
                <w:b/>
                <w:bCs/>
                <w:color w:val="000000"/>
              </w:rPr>
              <w:t xml:space="preserve">KUTE </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72071190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72071290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72071919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72072039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72072059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72189919</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72189980</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72249018</w:t>
            </w:r>
          </w:p>
        </w:tc>
      </w:tr>
      <w:tr w:rsidR="00F265F4" w:rsidRPr="00F93FB5" w:rsidTr="00223553">
        <w:tc>
          <w:tcPr>
            <w:tcW w:w="5320" w:type="dxa"/>
            <w:tcBorders>
              <w:top w:val="nil"/>
              <w:left w:val="single" w:sz="4" w:space="0" w:color="auto"/>
              <w:bottom w:val="nil"/>
              <w:right w:val="nil"/>
            </w:tcBorders>
            <w:shd w:val="clear" w:color="auto" w:fill="auto"/>
            <w:vAlign w:val="bottom"/>
            <w:hideMark/>
          </w:tcPr>
          <w:p w:rsidR="00F265F4" w:rsidRPr="00F93FB5" w:rsidRDefault="00F265F4" w:rsidP="00F265F4">
            <w:pPr>
              <w:spacing w:after="0" w:line="240" w:lineRule="auto"/>
              <w:rPr>
                <w:rFonts w:ascii="Calibri" w:eastAsia="Times New Roman" w:hAnsi="Calibri" w:cs="Calibri"/>
                <w:color w:val="000000"/>
              </w:rPr>
            </w:pPr>
            <w:r w:rsidRPr="00F93FB5">
              <w:rPr>
                <w:rFonts w:ascii="Calibri" w:hAnsi="Calibri"/>
                <w:color w:val="000000"/>
              </w:rPr>
              <w:t xml:space="preserve">PÓŁPRODUKTY KUTE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F93FB5" w:rsidRDefault="00F265F4" w:rsidP="00F265F4">
            <w:pPr>
              <w:spacing w:after="0" w:line="240" w:lineRule="auto"/>
              <w:jc w:val="center"/>
              <w:rPr>
                <w:rFonts w:ascii="Calibri" w:eastAsia="Times New Roman" w:hAnsi="Calibri" w:cs="Calibri"/>
                <w:color w:val="000000"/>
              </w:rPr>
            </w:pPr>
            <w:r w:rsidRPr="00F93FB5">
              <w:rPr>
                <w:rFonts w:ascii="Calibri" w:hAnsi="Calibri"/>
                <w:color w:val="000000"/>
                <w:lang w:val="en-US" w:eastAsia="zh-CN"/>
              </w:rPr>
              <w:t>72249090</w:t>
            </w:r>
          </w:p>
        </w:tc>
      </w:tr>
    </w:tbl>
    <w:p w:rsidR="00F265F4" w:rsidRPr="00F93FB5" w:rsidRDefault="00F265F4" w:rsidP="00CF773E">
      <w:pPr>
        <w:spacing w:line="240" w:lineRule="auto"/>
        <w:ind w:left="708" w:hanging="356"/>
        <w:jc w:val="both"/>
        <w:rPr>
          <w:rFonts w:ascii="Times New Roman" w:hAnsi="Times New Roman" w:cs="Times New Roman"/>
          <w:sz w:val="24"/>
          <w:szCs w:val="24"/>
        </w:rPr>
      </w:pPr>
    </w:p>
    <w:sectPr w:rsidR="00F265F4" w:rsidRPr="00F93FB5"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F93FB5">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45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93FB5"/>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lang w:eastAsia="zh-CN"/>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lang w:eastAsia="zh-CN"/>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lang w:eastAsia="zh-CN"/>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zh-CN"/>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zh-CN"/>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lang w:eastAsia="zh-CN"/>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zh-CN"/>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zh-CN"/>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zh-CN"/>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zh-CN"/>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zh-CN"/>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zh-CN"/>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zh-CN"/>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lang w:eastAsia="fi-FI"/>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pl-PL" w:eastAsia="fi-FI"/>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lang w:eastAsia="sv-SE"/>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pl-PL"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387E5-5150-4930-850F-A4BA62CEEA45}">
  <ds:schemaRefs>
    <ds:schemaRef ds:uri="http://schemas.openxmlformats.org/officeDocument/2006/bibliography"/>
  </ds:schemaRefs>
</ds:datastoreItem>
</file>

<file path=customXml/itemProps2.xml><?xml version="1.0" encoding="utf-8"?>
<ds:datastoreItem xmlns:ds="http://schemas.openxmlformats.org/officeDocument/2006/customXml" ds:itemID="{0CD41ED9-4791-437A-A4AB-0087C94C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23</Pages>
  <Words>8034</Words>
  <Characters>45800</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53727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14</cp:revision>
  <cp:lastPrinted>2018-02-23T12:35:00Z</cp:lastPrinted>
  <dcterms:created xsi:type="dcterms:W3CDTF">2017-03-17T10:07:00Z</dcterms:created>
  <dcterms:modified xsi:type="dcterms:W3CDTF">2018-03-27T02:31:00Z</dcterms:modified>
</cp:coreProperties>
</file>