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78A34BAE" w:rsidR="00EA4D8C" w:rsidRDefault="006D355F" w:rsidP="00EA4D8C">
      <w:pPr>
        <w:jc w:val="both"/>
        <w:rPr>
          <w:b/>
          <w:rFonts w:ascii="Arial" w:hAnsi="Arial" w:cs="Arial"/>
        </w:rPr>
      </w:pPr>
      <w:r>
        <w:rPr>
          <w:b/>
          <w:rFonts w:ascii="Arial" w:hAnsi="Arial"/>
        </w:rPr>
        <w:t xml:space="preserve">USNESENÍ GENERÁLNÍHO ŘEDITELSTVÍ PRO REGULACI HAZARDNÍCH HER … O ZMĚNĚ USNESENÍ GENERÁLNÍHO ŘEDITELSTVÍ PRO REGULACI HAZARDNÍCH HER ZE DNE 12. ČERVENCE 2012, KTERÝM SE SCHVALUJE USTANOVENÍ O PROVÁDĚNÍ ČLÁNKŮ 26 A 27 KRÁLOVSKÉHO VÝNOSU 1613/2011 ZE DNE 14. LISTOPADU 2011, POKUD JDE O ZJIŠŤOVÁNÍ TOTOŽNOSTI ÚČASTNÍKŮ HAZARDNÍCH HER A KONTROLU SUBJEKTIVNÍCH ZÁKAZŮ ÚČASTI, A USNESENÍ GENERÁLNÍHO ŘEDITELSTVÍ PRO REGULACI HAZARDNÍCH HER ZE DNE 6. ŘÍJNA 2014, KTERÝM SE SCHVALUJE DATOVÝ MODEL SYSTÉMU PRO MONITOROVÁNÍ INFORMACÍ VZTAHUJÍCÍCH SE K ZÁZNAMŮM O PROVOZOVÁNÍ HAZARDNÍCH HER</w:t>
      </w:r>
    </w:p>
    <w:p w14:paraId="0EA78337" w14:textId="77777777" w:rsidR="00554712" w:rsidRPr="002800C6" w:rsidRDefault="00554712" w:rsidP="00554712">
      <w:pPr>
        <w:jc w:val="both"/>
        <w:rPr>
          <w:rFonts w:ascii="Arial" w:hAnsi="Arial" w:cs="Arial"/>
        </w:rPr>
      </w:pPr>
      <w:r>
        <w:rPr>
          <w:rFonts w:ascii="Arial" w:hAnsi="Arial"/>
        </w:rPr>
        <w:t xml:space="preserve">Zákon 13/2011 ze dne 27. května 2011 o regulaci hazardních her stanoví regulační rámec pro provozování hazardních her na národní úrovni tak, aby byla zaručena ochrana veřejného pořádku, potírání podvodů, prevence návykového chování, ochrana práv nezletilých a ochrana práv účastníků her.</w:t>
      </w:r>
    </w:p>
    <w:p w14:paraId="480515CE" w14:textId="159D44D5" w:rsidR="00050794" w:rsidRDefault="00E82824" w:rsidP="007B6331">
      <w:pPr>
        <w:jc w:val="both"/>
        <w:rPr>
          <w:rFonts w:ascii="Arial" w:hAnsi="Arial" w:cs="Arial"/>
        </w:rPr>
      </w:pPr>
      <w:r>
        <w:rPr>
          <w:rFonts w:ascii="Arial" w:hAnsi="Arial"/>
        </w:rPr>
        <w:t xml:space="preserve">V rámci provádění tohoto zákona byl vyhlášen královský výnos 1613/2011 ze dne 14. listopadu 2011, kterým se provádí zákon 13/2011 ze dne 27. května 2011 o regulaci hazardních her, pokud jde o technické požadavky na provozování hazardních her.</w:t>
      </w:r>
      <w:r>
        <w:rPr>
          <w:rFonts w:ascii="Arial" w:hAnsi="Arial"/>
        </w:rPr>
        <w:t xml:space="preserve"> </w:t>
      </w:r>
      <w:r>
        <w:rPr>
          <w:rFonts w:ascii="Arial" w:hAnsi="Arial"/>
        </w:rPr>
        <w:t xml:space="preserve">V článcích 26 a 27 tento předpis upravil zjišťování totožnosti účastníků a také kontrolu subjektivních zákazů účasti na hazardních hrách prostřednictvím ověřovacího systému, který museli zavést provozovatelé hazardních her.</w:t>
      </w:r>
      <w:r>
        <w:rPr>
          <w:rFonts w:ascii="Arial" w:hAnsi="Arial"/>
        </w:rPr>
        <w:t xml:space="preserve"> </w:t>
      </w:r>
    </w:p>
    <w:p w14:paraId="69F382CD" w14:textId="76176572" w:rsidR="00E82824" w:rsidRPr="00E82824" w:rsidRDefault="00F117CE" w:rsidP="007B6331">
      <w:pPr>
        <w:jc w:val="both"/>
        <w:rPr>
          <w:rFonts w:ascii="Arial" w:hAnsi="Arial" w:cs="Arial"/>
        </w:rPr>
      </w:pPr>
      <w:r>
        <w:rPr>
          <w:rFonts w:ascii="Arial" w:hAnsi="Arial"/>
        </w:rPr>
        <w:t xml:space="preserve">V rámci provádění těchto ustanovení bylo vydáno usnesení Generálního ředitelství pro regulaci hazardních her ze dne 12. července 2012, kterým se schvaluje ustanovení o provádění článků 26 a 27 královského výnosu 1613/2011 ze dne 14. listopadu 2011, pokud jde o zjišťování totožnosti účastníků hazardních her a kontrolu subjektivních zákazů účasti, ve znění pozdějších předpisů, s cílem posílit postupy ověřování totožnosti prováděné provozovateli hazardních her na základě údajů poskytnutých účastníky, a to usnesením Generálního ředitelství pro regulaci hazardních her ze dne 31. října 2018 o změně některých usnesení o provozování hazardních her podle zákona 13/2011 ze dne 27. května 2011 o regulaci hazardních her.</w:t>
      </w:r>
      <w:r>
        <w:rPr>
          <w:rFonts w:ascii="Arial" w:hAnsi="Arial"/>
        </w:rPr>
        <w:t xml:space="preserve"> </w:t>
      </w:r>
    </w:p>
    <w:p w14:paraId="3AC1AA50" w14:textId="76C55535" w:rsidR="008E4897" w:rsidRDefault="008E4897" w:rsidP="008D4EA9">
      <w:pPr>
        <w:jc w:val="both"/>
        <w:rPr>
          <w:rFonts w:ascii="Arial" w:hAnsi="Arial" w:cs="Arial"/>
        </w:rPr>
      </w:pPr>
      <w:r>
        <w:rPr>
          <w:rFonts w:ascii="Arial" w:hAnsi="Arial"/>
        </w:rPr>
        <w:t xml:space="preserve">Čtyři roky po poslední změně a deset let od schválení výše uvedeného regulačního rámce je na základě zkušeností získaných za tuto dobu vhodné aktualizovat tyto postupy ověřování totožnosti prováděné provozovateli hazardních her, a to prostřednictvím nové změny usnesení ze dne 12. července 2012.</w:t>
      </w:r>
      <w:r>
        <w:rPr>
          <w:rFonts w:ascii="Arial" w:hAnsi="Arial"/>
        </w:rPr>
        <w:t xml:space="preserve"> </w:t>
      </w:r>
    </w:p>
    <w:p w14:paraId="73AA14DE" w14:textId="621F2406" w:rsidR="00E82824" w:rsidRDefault="00E82824" w:rsidP="008D4EA9">
      <w:pPr>
        <w:jc w:val="both"/>
        <w:rPr>
          <w:rFonts w:ascii="Arial" w:hAnsi="Arial" w:cs="Arial"/>
        </w:rPr>
      </w:pPr>
      <w:r>
        <w:rPr>
          <w:rFonts w:ascii="Arial" w:hAnsi="Arial"/>
        </w:rPr>
        <w:t xml:space="preserve">Zejména se prostřednictvím tohoto usnesení aktualizují povinnosti provozovatelů, pokud jde o oznámení, která musí zasílat Generálnímu ředitelství pro regulaci hazardních her, přičemž se na jedné straně zrušuje povinnost předávat určité zprávy týkající se počtu podaných dotazů a zavádí se povinnost informovat o zrušení uživatelských registrací.</w:t>
      </w:r>
      <w:r>
        <w:rPr>
          <w:rFonts w:ascii="Arial" w:hAnsi="Arial"/>
        </w:rPr>
        <w:t xml:space="preserve"> </w:t>
      </w:r>
      <w:r>
        <w:rPr>
          <w:rFonts w:ascii="Arial" w:hAnsi="Arial"/>
        </w:rPr>
        <w:t xml:space="preserve">Rovněž je regulován telematický přístup do oddílu zemřelých osob občanského rejstříku prostřednictvím služby pro ověřování totožnosti a jsou stanoveny podmínky, za nichž budou provozovatelé provádět pravidelné kontroly totožnosti účastníků a ověřování toho, zda se na ně nevztahují subjektivní zákazy účasti, a to buď z vlastního podnětu, nebo z podnětu Generálního ředitelství pro regulaci hazardních her.</w:t>
      </w:r>
      <w:r>
        <w:rPr>
          <w:rFonts w:ascii="Arial" w:hAnsi="Arial"/>
        </w:rPr>
        <w:t xml:space="preserve"> </w:t>
      </w:r>
    </w:p>
    <w:p w14:paraId="498C1B01" w14:textId="0658F4E7" w:rsidR="00EA4D8C" w:rsidRDefault="00E81705" w:rsidP="00EA4D8C">
      <w:pPr>
        <w:jc w:val="both"/>
        <w:rPr>
          <w:rFonts w:ascii="Arial" w:hAnsi="Arial" w:cs="Arial"/>
        </w:rPr>
      </w:pPr>
      <w:r>
        <w:rPr>
          <w:rFonts w:ascii="Arial" w:hAnsi="Arial"/>
        </w:rPr>
        <w:t xml:space="preserve">V neposlední řadě se mění usnesení Generálního ředitelství pro regulaci hazardních her ze dne 6. října 2014, kterým se schvaluje datový model systému pro monitorování informací vztahujících se k záznamům o provozování hazardních her, s cílem zavést nový status hráče.</w:t>
      </w:r>
      <w:r>
        <w:rPr>
          <w:rFonts w:ascii="Arial" w:hAnsi="Arial"/>
        </w:rPr>
        <w:t xml:space="preserve">  </w:t>
      </w:r>
    </w:p>
    <w:p w14:paraId="591328C1" w14:textId="77777777" w:rsidR="005D3D4D" w:rsidRPr="008D47DC" w:rsidRDefault="005D3D4D" w:rsidP="009B4DF9">
      <w:pPr>
        <w:jc w:val="both"/>
        <w:rPr>
          <w:rFonts w:ascii="Arial" w:hAnsi="Arial" w:cs="Arial"/>
        </w:rPr>
      </w:pPr>
      <w:r>
        <w:rPr>
          <w:rFonts w:ascii="Arial" w:hAnsi="Arial"/>
        </w:rPr>
        <w:t xml:space="preserve">Tento předpis byl předmětem postupu při poskytování informací v oblasti norem a technických předpisů a předpisů pro služby informační společnosti stanoveným směrnicí Evropského parlamentu a Rady (EU) 2015/1535 ze dne 9. září 2015 o postupu při poskytování informací v oblasti technických předpisů a předpisů pro služby informační společnosti.</w:t>
      </w:r>
    </w:p>
    <w:p w14:paraId="4F0F688D" w14:textId="6F01AAE2" w:rsidR="00F116AB" w:rsidRPr="008D47DC" w:rsidRDefault="00B57B31" w:rsidP="00B369ED">
      <w:pPr>
        <w:jc w:val="both"/>
        <w:rPr>
          <w:rFonts w:ascii="Arial" w:hAnsi="Arial" w:cs="Arial"/>
        </w:rPr>
      </w:pPr>
      <w:r>
        <w:rPr>
          <w:rFonts w:ascii="Arial" w:hAnsi="Arial"/>
        </w:rPr>
        <w:t xml:space="preserve">Na základě výše uvedeného a na základě kladné zprávy Úřadu státního zástupce ministerstva pro záležitosti spotřebitelů Generální ředitelství rozhodlo takto:</w:t>
      </w:r>
      <w:r>
        <w:rPr>
          <w:rFonts w:ascii="Arial" w:hAnsi="Arial"/>
        </w:rPr>
        <w:t xml:space="preserve"> </w:t>
      </w:r>
    </w:p>
    <w:p w14:paraId="1D2ACD67" w14:textId="3730E816" w:rsidR="00D825A8" w:rsidRPr="00B55FF0" w:rsidRDefault="005B0F06" w:rsidP="00D825A8">
      <w:pPr>
        <w:jc w:val="both"/>
        <w:rPr>
          <w:rFonts w:ascii="Arial" w:hAnsi="Arial" w:cs="Arial"/>
        </w:rPr>
      </w:pPr>
      <w:r>
        <w:rPr>
          <w:b/>
          <w:rFonts w:ascii="Arial" w:hAnsi="Arial"/>
        </w:rPr>
        <w:t xml:space="preserve">Článek 1.</w:t>
      </w:r>
      <w:r>
        <w:rPr>
          <w:b/>
          <w:rFonts w:ascii="Arial" w:hAnsi="Arial"/>
        </w:rPr>
        <w:t xml:space="preserve"> </w:t>
      </w:r>
      <w:r>
        <w:rPr>
          <w:b/>
          <w:rFonts w:ascii="Arial" w:hAnsi="Arial"/>
        </w:rPr>
        <w:t xml:space="preserve">Usnesení ze dne 12. července 2012, kterým se schvaluje ustanovení o provádění článků 26 a 27 královského výnosu 1613/2011 ze dne 14. listopadu 2011, pokud jde o zjišťování totožnosti účastníků hazardních her a kontrolu subjektivních zákazů účasti, se mění takto:</w:t>
      </w:r>
    </w:p>
    <w:p w14:paraId="3733892D" w14:textId="365CE94D" w:rsidR="00523061" w:rsidRPr="00523061" w:rsidRDefault="005B0F06" w:rsidP="00523061">
      <w:pPr>
        <w:jc w:val="both"/>
        <w:rPr>
          <w:rFonts w:ascii="Arial" w:hAnsi="Arial" w:cs="Arial"/>
        </w:rPr>
      </w:pPr>
      <w:r>
        <w:rPr>
          <w:rFonts w:ascii="Arial" w:hAnsi="Arial"/>
        </w:rPr>
        <w:t xml:space="preserve">Zaprvé</w:t>
      </w:r>
      <w:r>
        <w:rPr>
          <w:b/>
          <w:rFonts w:ascii="Arial" w:hAnsi="Arial"/>
        </w:rPr>
        <w:t xml:space="preserve">.</w:t>
      </w:r>
      <w:r>
        <w:rPr>
          <w:rFonts w:ascii="Arial" w:hAnsi="Arial"/>
        </w:rPr>
        <w:t xml:space="preserve"> </w:t>
      </w:r>
      <w:r>
        <w:rPr>
          <w:rFonts w:ascii="Arial" w:hAnsi="Arial"/>
        </w:rPr>
        <w:t xml:space="preserve">V příloze I se zrušuje odst. 7 pododstavec 6.</w:t>
      </w:r>
    </w:p>
    <w:p w14:paraId="09434F7D" w14:textId="1FB9E75B" w:rsidR="00EB1D43" w:rsidRPr="00523061" w:rsidRDefault="005B0F06" w:rsidP="00EB1D43">
      <w:pPr>
        <w:jc w:val="both"/>
        <w:rPr>
          <w:rFonts w:ascii="Arial" w:hAnsi="Arial" w:cs="Arial"/>
        </w:rPr>
      </w:pPr>
      <w:r>
        <w:rPr>
          <w:rFonts w:ascii="Arial" w:hAnsi="Arial"/>
        </w:rPr>
        <w:t xml:space="preserve">Zadruhé</w:t>
      </w:r>
      <w:r>
        <w:rPr>
          <w:b/>
          <w:rFonts w:ascii="Arial" w:hAnsi="Arial"/>
        </w:rPr>
        <w:t xml:space="preserve">.</w:t>
      </w:r>
      <w:r>
        <w:rPr>
          <w:rFonts w:ascii="Arial" w:hAnsi="Arial"/>
        </w:rPr>
        <w:t xml:space="preserve"> </w:t>
      </w:r>
      <w:r>
        <w:rPr>
          <w:rFonts w:ascii="Arial" w:hAnsi="Arial"/>
        </w:rPr>
        <w:t xml:space="preserve">V příloze I se zrušuje odst. 11 pododstavec 5.</w:t>
      </w:r>
    </w:p>
    <w:p w14:paraId="1D47C45E" w14:textId="2ACFA05B" w:rsidR="00523061" w:rsidRDefault="00EB1D43" w:rsidP="00B369ED">
      <w:pPr>
        <w:jc w:val="both"/>
        <w:rPr>
          <w:b/>
          <w:rFonts w:ascii="Arial" w:hAnsi="Arial" w:cs="Arial"/>
        </w:rPr>
      </w:pPr>
      <w:r>
        <w:rPr>
          <w:rFonts w:ascii="Arial" w:hAnsi="Arial"/>
        </w:rPr>
        <w:t xml:space="preserve">Zatřetí</w:t>
      </w:r>
      <w:r>
        <w:rPr>
          <w:b/>
          <w:rFonts w:ascii="Arial" w:hAnsi="Arial"/>
        </w:rPr>
        <w:t xml:space="preserve">.</w:t>
      </w:r>
      <w:r>
        <w:rPr>
          <w:b/>
          <w:rFonts w:ascii="Arial" w:hAnsi="Arial"/>
        </w:rPr>
        <w:t xml:space="preserve"> </w:t>
      </w:r>
      <w:r>
        <w:rPr>
          <w:rFonts w:ascii="Arial" w:hAnsi="Arial"/>
        </w:rPr>
        <w:t xml:space="preserve">V příloze I odstavci 13 se doplňuje nový pododstavec 4, který zní:</w:t>
      </w:r>
      <w:r>
        <w:rPr>
          <w:b/>
          <w:rFonts w:ascii="Arial" w:hAnsi="Arial"/>
        </w:rPr>
        <w:t xml:space="preserve"> </w:t>
      </w:r>
    </w:p>
    <w:p w14:paraId="485CBBD7" w14:textId="210D0A2B" w:rsidR="00523061" w:rsidRPr="00523061" w:rsidRDefault="002C716C" w:rsidP="00523061">
      <w:pPr>
        <w:jc w:val="both"/>
        <w:rPr>
          <w:b/>
          <w:rFonts w:ascii="Arial" w:hAnsi="Arial" w:cs="Arial"/>
        </w:rPr>
      </w:pPr>
      <w:r>
        <w:rPr>
          <w:rFonts w:ascii="Arial" w:hAnsi="Arial"/>
        </w:rPr>
        <w:t xml:space="preserve">„4.</w:t>
      </w:r>
      <w:r>
        <w:rPr>
          <w:rFonts w:ascii="Arial" w:hAnsi="Arial"/>
        </w:rPr>
        <w:t xml:space="preserve"> </w:t>
      </w:r>
      <w:r>
        <w:rPr>
          <w:rFonts w:ascii="Arial" w:hAnsi="Arial"/>
        </w:rPr>
        <w:t xml:space="preserve">Provozovatel musí informovat Generální ředitelství pro regulaci hazardních her o zrušení uživatelských registrací.</w:t>
      </w:r>
      <w:r>
        <w:rPr>
          <w:rFonts w:ascii="Arial" w:hAnsi="Arial"/>
        </w:rPr>
        <w:t xml:space="preserve"> </w:t>
      </w:r>
      <w:r>
        <w:rPr>
          <w:rFonts w:ascii="Arial" w:hAnsi="Arial"/>
        </w:rPr>
        <w:t xml:space="preserve">Oznámení musí být provedeno prostřednictvím služby pro ověřování totožnosti účastníků Generálního ředitelství pro regulaci hazardních her.</w:t>
      </w:r>
      <w:r>
        <w:rPr>
          <w:rFonts w:ascii="Arial" w:hAnsi="Arial"/>
        </w:rPr>
        <w:t xml:space="preserve"> </w:t>
      </w:r>
      <w:r>
        <w:rPr>
          <w:rFonts w:ascii="Arial" w:hAnsi="Arial"/>
        </w:rPr>
        <w:t xml:space="preserve">Generální ředitelství pro regulaci hazardních her nezpřístupňuje provozovatelům informace týkající se zrušených uživatelských registrací podle podmínek stanovených v odst. 11 pododstavci 3 tohoto usnesení.</w:t>
      </w:r>
      <w:r>
        <w:rPr>
          <w:rFonts w:ascii="Arial" w:hAnsi="Arial"/>
        </w:rPr>
        <w:t xml:space="preserve"> </w:t>
      </w:r>
      <w:r>
        <w:rPr>
          <w:rFonts w:ascii="Arial" w:hAnsi="Arial"/>
        </w:rPr>
        <w:t xml:space="preserve">Žádost o aktivaci dříve zrušené uživatelské registrace u provozovatele vyžaduje zjištění totožnosti účastníka a ověření, zda se na něj nevztahuje některý ze subjektivních zákazů podle podmínek stanovených v tomto usnesení.“</w:t>
      </w:r>
    </w:p>
    <w:p w14:paraId="573F59AF" w14:textId="4C454A2D" w:rsidR="00523061" w:rsidRDefault="00EB1D43" w:rsidP="00B369ED">
      <w:pPr>
        <w:jc w:val="both"/>
        <w:rPr>
          <w:b/>
          <w:rFonts w:ascii="Arial" w:hAnsi="Arial" w:cs="Arial"/>
        </w:rPr>
      </w:pPr>
      <w:r>
        <w:rPr>
          <w:rFonts w:ascii="Arial" w:hAnsi="Arial"/>
        </w:rPr>
        <w:t xml:space="preserve">Začtvrté.</w:t>
      </w:r>
      <w:r>
        <w:rPr>
          <w:b/>
          <w:rFonts w:ascii="Arial" w:hAnsi="Arial"/>
        </w:rPr>
        <w:t xml:space="preserve"> </w:t>
      </w:r>
      <w:r>
        <w:rPr>
          <w:rFonts w:ascii="Arial" w:hAnsi="Arial"/>
        </w:rPr>
        <w:t xml:space="preserve">V příloze I se vkládá odstavec 14, který zní:</w:t>
      </w:r>
    </w:p>
    <w:p w14:paraId="054E2766" w14:textId="0C4BDC28" w:rsidR="00523061" w:rsidRPr="00523061" w:rsidRDefault="009867C7" w:rsidP="00B369ED">
      <w:pPr>
        <w:jc w:val="both"/>
        <w:rPr>
          <w:bCs/>
          <w:rFonts w:ascii="Arial" w:hAnsi="Arial" w:cs="Arial"/>
        </w:rPr>
      </w:pPr>
      <w:r>
        <w:rPr>
          <w:rFonts w:ascii="Arial" w:hAnsi="Arial"/>
        </w:rPr>
        <w:t xml:space="preserve">„Začtrnácté.</w:t>
      </w:r>
      <w:r>
        <w:rPr>
          <w:rFonts w:ascii="Arial" w:hAnsi="Arial"/>
        </w:rPr>
        <w:t xml:space="preserve"> </w:t>
      </w:r>
      <w:r>
        <w:rPr>
          <w:i/>
          <w:rFonts w:ascii="Arial" w:hAnsi="Arial"/>
        </w:rPr>
        <w:t xml:space="preserve">Kontrola zákazu přístupu zemřelých osob k hazardním hrám.</w:t>
      </w:r>
      <w:r>
        <w:rPr>
          <w:rFonts w:ascii="Arial" w:hAnsi="Arial"/>
        </w:rPr>
        <w:t xml:space="preserve"> </w:t>
      </w:r>
    </w:p>
    <w:p w14:paraId="1D7545B8" w14:textId="77777777" w:rsidR="00523061" w:rsidRPr="00EA4D8C" w:rsidRDefault="00523061" w:rsidP="00523061">
      <w:pPr>
        <w:jc w:val="both"/>
        <w:rPr>
          <w:bCs/>
          <w:rFonts w:ascii="Arial" w:hAnsi="Arial" w:cs="Arial"/>
        </w:rPr>
      </w:pPr>
      <w:r>
        <w:rPr>
          <w:rFonts w:ascii="Arial" w:hAnsi="Arial"/>
        </w:rPr>
        <w:t xml:space="preserve">1.</w:t>
      </w:r>
      <w:r>
        <w:rPr>
          <w:rFonts w:ascii="Arial" w:hAnsi="Arial"/>
        </w:rPr>
        <w:t xml:space="preserve"> </w:t>
      </w:r>
      <w:r>
        <w:rPr>
          <w:rFonts w:ascii="Arial" w:hAnsi="Arial"/>
        </w:rPr>
        <w:t xml:space="preserve">Generální ředitelství pro regulaci hazardních her poskytne provozovatelům hazardních her systém telematického přístupu do oddílu zemřelých osob občanského rejstříku prostřednictvím služby pro ověřování totožnosti účastníků Generálního ředitelství pro regulaci hazardních her s cílem usnadnit ověření, zda účastníci nezemřeli.</w:t>
      </w:r>
    </w:p>
    <w:p w14:paraId="3700579F" w14:textId="77777777" w:rsidR="00523061" w:rsidRPr="00523061" w:rsidRDefault="00523061" w:rsidP="00523061">
      <w:pPr>
        <w:jc w:val="both"/>
        <w:rPr>
          <w:bCs/>
          <w:rFonts w:ascii="Arial" w:hAnsi="Arial" w:cs="Arial"/>
        </w:rPr>
      </w:pPr>
      <w:r>
        <w:rPr>
          <w:rFonts w:ascii="Arial" w:hAnsi="Arial"/>
        </w:rPr>
        <w:t xml:space="preserve">2.</w:t>
      </w:r>
      <w:r>
        <w:rPr>
          <w:rFonts w:ascii="Arial" w:hAnsi="Arial"/>
        </w:rPr>
        <w:t xml:space="preserve"> </w:t>
      </w:r>
      <w:r>
        <w:rPr>
          <w:rFonts w:ascii="Arial" w:hAnsi="Arial"/>
        </w:rPr>
        <w:t xml:space="preserve">Provozovatelé hazardních her musí každý den ověřit, zda účastníci s aktivní uživatelskou registrací nejsou zapsáni jako zemřelí ve službě pro ověřování totožnosti účastníků Generálního ředitelství pro regulaci hazardních her.</w:t>
      </w:r>
      <w:r>
        <w:rPr>
          <w:rFonts w:ascii="Arial" w:hAnsi="Arial"/>
        </w:rPr>
        <w:t xml:space="preserve"> </w:t>
      </w:r>
      <w:r>
        <w:rPr>
          <w:rFonts w:ascii="Arial" w:hAnsi="Arial"/>
        </w:rPr>
        <w:t xml:space="preserve">Za tímto účelem Generální ředitelství pro regulaci hazardních her s uvedenou četností vytvoří a zpřístupní provozovatelům aktualizovaný počítačový soubor obsahující změny, které byly v důsledku zápisu registračních údajů do oddílu zemřelých osob občanského rejstříku provedeny ve službě pro ověřování totožnosti účastníků Generálního ředitelství pro regulaci hazardních her a které se týkají účastníků registrovaných jednotlivými provozovateli.</w:t>
      </w:r>
      <w:r>
        <w:rPr>
          <w:rFonts w:ascii="Arial" w:hAnsi="Arial"/>
        </w:rPr>
        <w:t xml:space="preserve"> </w:t>
      </w:r>
      <w:r>
        <w:rPr>
          <w:rFonts w:ascii="Arial" w:hAnsi="Arial"/>
        </w:rPr>
        <w:t xml:space="preserve">Pokud Generální ředitelství pro regulaci hazardních her z technických důvodů nebo z důvodu výpadku dostupnosti služby není schopno poskytnout provozovatelům aktualizované údaje, provede se ověření na základě údajů obsažených v poslední poskytnuté aktualizaci.</w:t>
      </w:r>
      <w:r>
        <w:rPr>
          <w:rFonts w:ascii="Arial" w:hAnsi="Arial"/>
        </w:rPr>
        <w:t xml:space="preserve"> </w:t>
      </w:r>
    </w:p>
    <w:p w14:paraId="232E35F2" w14:textId="5549976A" w:rsidR="00523061" w:rsidRPr="00523061" w:rsidRDefault="00523061" w:rsidP="00523061">
      <w:pPr>
        <w:jc w:val="both"/>
        <w:rPr>
          <w:b/>
          <w:rFonts w:ascii="Arial" w:hAnsi="Arial" w:cs="Arial"/>
        </w:rPr>
      </w:pPr>
      <w:r>
        <w:rPr>
          <w:rFonts w:ascii="Arial" w:hAnsi="Arial"/>
        </w:rPr>
        <w:t xml:space="preserve">V případech, kdy ze změn u některého z účastníků s aktivní uživatelskou registrací vyplývá zápis v oddíle zemřelých osob občanského rejstříku, přistoupí provozovatel ke zrušení registrace.</w:t>
      </w:r>
      <w:r>
        <w:rPr>
          <w:rFonts w:ascii="Arial" w:hAnsi="Arial"/>
        </w:rPr>
        <w:t xml:space="preserve"> </w:t>
      </w:r>
      <w:r>
        <w:rPr>
          <w:rFonts w:ascii="Arial" w:hAnsi="Arial"/>
        </w:rPr>
        <w:t xml:space="preserve">V těchto případech zrušení nebrání vypořádání herního účtu a vyplacení částek, které ve formě vkladu nebo dříve vyplacených výher náleží zákonnému dědici v souladu s platnými předpisy.</w:t>
      </w:r>
      <w:r>
        <w:rPr>
          <w:rFonts w:ascii="Arial" w:hAnsi="Arial"/>
        </w:rPr>
        <w:t xml:space="preserve"> </w:t>
      </w:r>
      <w:r>
        <w:rPr>
          <w:rFonts w:ascii="Arial" w:hAnsi="Arial"/>
        </w:rPr>
        <w:t xml:space="preserve">Po zrušení účtu se použijí ustanovení odst. 13 pododstavce 4 tohoto usnesení.“</w:t>
      </w:r>
    </w:p>
    <w:p w14:paraId="337D8F87" w14:textId="1A0D7223" w:rsidR="00523061" w:rsidRDefault="00EB1D43" w:rsidP="00B369ED">
      <w:pPr>
        <w:jc w:val="both"/>
        <w:rPr>
          <w:b/>
          <w:rFonts w:ascii="Arial" w:hAnsi="Arial" w:cs="Arial"/>
        </w:rPr>
      </w:pPr>
      <w:r>
        <w:rPr>
          <w:rFonts w:ascii="Arial" w:hAnsi="Arial"/>
        </w:rPr>
        <w:t xml:space="preserve">Zapáté.</w:t>
      </w:r>
      <w:r>
        <w:rPr>
          <w:b/>
          <w:rFonts w:ascii="Arial" w:hAnsi="Arial"/>
        </w:rPr>
        <w:t xml:space="preserve"> </w:t>
      </w:r>
      <w:r>
        <w:rPr>
          <w:rFonts w:ascii="Arial" w:hAnsi="Arial"/>
        </w:rPr>
        <w:t xml:space="preserve">V příloze I se vkládá odstavec 15, který zní:</w:t>
      </w:r>
    </w:p>
    <w:p w14:paraId="10C76A7F" w14:textId="03428FC8" w:rsidR="00523061" w:rsidRDefault="00932A74" w:rsidP="00B369ED">
      <w:pPr>
        <w:jc w:val="both"/>
        <w:rPr>
          <w:b/>
          <w:rFonts w:ascii="Arial" w:hAnsi="Arial" w:cs="Arial"/>
        </w:rPr>
      </w:pPr>
      <w:r>
        <w:rPr>
          <w:rFonts w:ascii="Arial" w:hAnsi="Arial"/>
        </w:rPr>
        <w:t xml:space="preserve">„Zapatnácté.</w:t>
      </w:r>
      <w:r>
        <w:rPr>
          <w:rFonts w:ascii="Arial" w:hAnsi="Arial"/>
        </w:rPr>
        <w:t xml:space="preserve"> </w:t>
      </w:r>
      <w:r>
        <w:rPr>
          <w:i/>
          <w:rFonts w:ascii="Arial" w:hAnsi="Arial"/>
        </w:rPr>
        <w:t xml:space="preserve">Pravidelné přezkumy</w:t>
      </w:r>
      <w:r>
        <w:rPr>
          <w:b/>
          <w:rFonts w:ascii="Arial" w:hAnsi="Arial"/>
        </w:rPr>
        <w:t xml:space="preserve"> </w:t>
      </w:r>
    </w:p>
    <w:p w14:paraId="412F544E" w14:textId="659D2F45" w:rsidR="00523061" w:rsidRPr="00523061" w:rsidRDefault="00523061" w:rsidP="00523061">
      <w:pPr>
        <w:jc w:val="both"/>
        <w:rPr>
          <w:bCs/>
          <w:rFonts w:ascii="Arial" w:hAnsi="Arial" w:cs="Arial"/>
        </w:rPr>
      </w:pPr>
      <w:r>
        <w:rPr>
          <w:rFonts w:ascii="Arial" w:hAnsi="Arial"/>
        </w:rPr>
        <w:t xml:space="preserve">1.</w:t>
      </w:r>
      <w:r>
        <w:rPr>
          <w:rFonts w:ascii="Arial" w:hAnsi="Arial"/>
        </w:rPr>
        <w:t xml:space="preserve"> </w:t>
      </w:r>
      <w:r>
        <w:rPr>
          <w:rFonts w:ascii="Arial" w:hAnsi="Arial"/>
        </w:rPr>
        <w:t xml:space="preserve">Provozovatelé hazardních her mohou provádět ad hoc kontroly svých účastníků, pokud jde o zjišťování jejich totožnosti a ověřování, zda se na ně nevztahuje některý ze subjektivních zákazů podle podmínek stanovených v tomto usnesení.</w:t>
      </w:r>
      <w:r>
        <w:rPr>
          <w:rFonts w:ascii="Arial" w:hAnsi="Arial"/>
        </w:rPr>
        <w:t xml:space="preserve"> </w:t>
      </w:r>
      <w:r>
        <w:rPr>
          <w:rFonts w:ascii="Arial" w:hAnsi="Arial"/>
        </w:rPr>
        <w:t xml:space="preserve">Provozovatel musí požádat o povolení a oznámit zahájení a ukončení těchto ověřovacích postupů prostřednictvím služby pro ověřování totožnosti účastníků Generálního ředitelství pro regulaci hazardních her za podmínek stanovených Generálním ředitelstvím pro regulaci hazardních her.</w:t>
      </w:r>
    </w:p>
    <w:p w14:paraId="4FC212F8" w14:textId="4973AE0F" w:rsidR="00523061" w:rsidRPr="00523061" w:rsidRDefault="00523061" w:rsidP="00523061">
      <w:pPr>
        <w:jc w:val="both"/>
        <w:rPr>
          <w:bCs/>
          <w:rFonts w:ascii="Arial" w:hAnsi="Arial" w:cs="Arial"/>
        </w:rPr>
      </w:pPr>
      <w:r>
        <w:rPr>
          <w:rFonts w:ascii="Arial" w:hAnsi="Arial"/>
        </w:rPr>
        <w:t xml:space="preserve">2.</w:t>
      </w:r>
      <w:r>
        <w:rPr>
          <w:rFonts w:ascii="Arial" w:hAnsi="Arial"/>
        </w:rPr>
        <w:t xml:space="preserve"> </w:t>
      </w:r>
      <w:r>
        <w:rPr>
          <w:rFonts w:ascii="Arial" w:hAnsi="Arial"/>
        </w:rPr>
        <w:t xml:space="preserve">Generální ředitelství pro regulaci hazardních her může od provozovatelů hazardních her požadovat, aby prováděli ad hoc kontroly svých účastníků, pokud jde o zjišťování jejich totožnosti a ověřování, zda se na ně nevztahuje některý ze subjektivních zákazů podle podmínek stanovených v tomto usnesení.</w:t>
      </w:r>
      <w:r>
        <w:rPr>
          <w:rFonts w:ascii="Arial" w:hAnsi="Arial"/>
        </w:rPr>
        <w:t xml:space="preserve"> </w:t>
      </w:r>
      <w:r>
        <w:rPr>
          <w:rFonts w:ascii="Arial" w:hAnsi="Arial"/>
        </w:rPr>
        <w:t xml:space="preserve">Za tímto účelem Generální ředitelství pro regulaci hazardních her vytvoří a zpřístupní provozovatelům počítačový soubor obsahující dotčené účastníky a operaci, která má být provedena.</w:t>
      </w:r>
      <w:r>
        <w:rPr>
          <w:rFonts w:ascii="Arial" w:hAnsi="Arial"/>
        </w:rPr>
        <w:t xml:space="preserve"> </w:t>
      </w:r>
      <w:r>
        <w:rPr>
          <w:rFonts w:ascii="Arial" w:hAnsi="Arial"/>
        </w:rPr>
        <w:t xml:space="preserve">Provozovatelé hazardních her musí každý den ověřit existenci těchto souborů prostřednictvím služby pro ověřování totožnosti účastníků Generálního ředitelství pro regulaci hazardních her a případně provést požadovaná opatření.“</w:t>
      </w:r>
    </w:p>
    <w:p w14:paraId="19A79385" w14:textId="3DCA6427" w:rsidR="0001091D" w:rsidRPr="00A9210D" w:rsidRDefault="0001091D" w:rsidP="00F17E13">
      <w:pPr>
        <w:jc w:val="both"/>
        <w:rPr>
          <w:bCs/>
          <w:rFonts w:ascii="Arial" w:hAnsi="Arial" w:cs="Arial"/>
        </w:rPr>
      </w:pPr>
      <w:r>
        <w:rPr>
          <w:b/>
          <w:rFonts w:ascii="Arial" w:hAnsi="Arial"/>
        </w:rPr>
        <w:t xml:space="preserve">Článek 2.</w:t>
      </w:r>
      <w:r>
        <w:rPr>
          <w:b/>
          <w:rFonts w:ascii="Arial" w:hAnsi="Arial"/>
        </w:rPr>
        <w:t xml:space="preserve"> </w:t>
      </w:r>
      <w:r>
        <w:rPr>
          <w:b/>
          <w:rFonts w:ascii="Arial" w:hAnsi="Arial"/>
        </w:rPr>
        <w:t xml:space="preserve">Usnesení ze dne 6. října 2014, kterým se schvaluje datový model systému pro monitorování informací vztahujících se k záznamům o provozování hazardních her, se mění takto:</w:t>
      </w:r>
      <w:r>
        <w:rPr>
          <w:rFonts w:ascii="Arial" w:hAnsi="Arial"/>
        </w:rPr>
        <w:t xml:space="preserve"> </w:t>
      </w:r>
    </w:p>
    <w:p w14:paraId="6AAD2B6A" w14:textId="14F9C745" w:rsidR="006F45C5" w:rsidRPr="00A9210D" w:rsidRDefault="009948B2" w:rsidP="006F45C5">
      <w:pPr>
        <w:jc w:val="both"/>
        <w:rPr>
          <w:bCs/>
          <w:rFonts w:ascii="Arial" w:hAnsi="Arial" w:cs="Arial"/>
        </w:rPr>
      </w:pPr>
      <w:r>
        <w:rPr>
          <w:rFonts w:ascii="Arial" w:hAnsi="Arial"/>
        </w:rPr>
        <w:t xml:space="preserve">V příloze I se bod </w:t>
      </w:r>
      <w:r>
        <w:rPr>
          <w:color w:val="1F3864"/>
          <w:rFonts w:ascii="Arial" w:hAnsi="Arial"/>
        </w:rPr>
        <w:t xml:space="preserve">3.5.7.</w:t>
      </w:r>
      <w:r>
        <w:rPr>
          <w:rFonts w:ascii="Arial" w:hAnsi="Arial"/>
        </w:rPr>
        <w:t xml:space="preserve">2 („Status hráče“) nahrazuje tímto:</w:t>
      </w:r>
      <w:r>
        <w:rPr>
          <w:rFonts w:ascii="Arial" w:hAnsi="Arial"/>
        </w:rPr>
        <w:t xml:space="preserve"> </w:t>
      </w:r>
    </w:p>
    <w:p w14:paraId="3FB0A96C" w14:textId="77777777" w:rsidR="00C926BC" w:rsidRPr="00C926BC" w:rsidRDefault="00CD5D1C" w:rsidP="00C926BC">
      <w:pPr>
        <w:jc w:val="both"/>
        <w:rPr>
          <w:bCs/>
          <w:rFonts w:ascii="Arial" w:hAnsi="Arial" w:cs="Arial"/>
        </w:rPr>
      </w:pPr>
      <w:r>
        <w:rPr>
          <w:rFonts w:ascii="Arial" w:hAnsi="Arial"/>
        </w:rPr>
        <w:t xml:space="preserve">„3.5.7.2</w:t>
      </w:r>
      <w:r>
        <w:rPr>
          <w:rFonts w:ascii="Arial" w:hAnsi="Arial"/>
        </w:rPr>
        <w:t xml:space="preserve"> </w:t>
      </w:r>
      <w:r>
        <w:rPr>
          <w:rFonts w:ascii="Arial" w:hAnsi="Arial"/>
        </w:rPr>
        <w:t xml:space="preserve">Status hráče</w:t>
      </w:r>
      <w:r>
        <w:rPr>
          <w:rFonts w:ascii="Arial" w:hAnsi="Arial"/>
        </w:rPr>
        <w:t xml:space="preserve"> </w:t>
      </w:r>
    </w:p>
    <w:p w14:paraId="30B6715A" w14:textId="77777777" w:rsidR="00A303D7" w:rsidRPr="00112FA3" w:rsidRDefault="003B5C7A" w:rsidP="003B5C7A">
      <w:pPr>
        <w:jc w:val="both"/>
        <w:rPr>
          <w:bCs/>
          <w:rFonts w:ascii="Arial" w:hAnsi="Arial" w:cs="Arial"/>
        </w:rPr>
      </w:pPr>
      <w:r>
        <w:rPr>
          <w:rFonts w:ascii="Arial" w:hAnsi="Arial"/>
        </w:rPr>
        <w:t xml:space="preserve">„Status“ hráče obsahuje dvě pole:</w:t>
      </w:r>
      <w:r>
        <w:rPr>
          <w:rFonts w:ascii="Arial" w:hAnsi="Arial"/>
        </w:rPr>
        <w:t xml:space="preserve">  </w:t>
      </w:r>
    </w:p>
    <w:p w14:paraId="371979A3" w14:textId="60D04365" w:rsidR="003B5C7A" w:rsidRPr="00112FA3" w:rsidRDefault="003B5C7A" w:rsidP="003B5C7A">
      <w:pPr>
        <w:jc w:val="both"/>
        <w:rPr>
          <w:bCs/>
          <w:rFonts w:ascii="Arial" w:hAnsi="Arial" w:cs="Arial"/>
        </w:rPr>
      </w:pPr>
      <w:r>
        <w:rPr>
          <w:rFonts w:ascii="Arial" w:hAnsi="Arial"/>
        </w:rPr>
        <w:t xml:space="preserve">EstadoCNJ [StavCNJ], ve kterém je provozovatel vyzván, aby vybral jeden z těchto statusů:</w:t>
      </w:r>
      <w:r>
        <w:rPr>
          <w:rFonts w:ascii="Arial" w:hAnsi="Arial"/>
        </w:rPr>
        <w:t xml:space="preserve">  </w:t>
      </w:r>
    </w:p>
    <w:p w14:paraId="675C3934"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w:t>
      </w:r>
      <w:r>
        <w:rPr>
          <w:rFonts w:ascii="Arial" w:hAnsi="Arial"/>
        </w:rPr>
        <w:t xml:space="preserve"> </w:t>
      </w:r>
      <w:r>
        <w:rPr>
          <w:rFonts w:ascii="Arial" w:hAnsi="Arial"/>
        </w:rPr>
        <w:t xml:space="preserve">Aktivní.</w:t>
      </w:r>
      <w:r>
        <w:rPr>
          <w:rFonts w:ascii="Arial" w:hAnsi="Arial"/>
        </w:rPr>
        <w:t xml:space="preserve"> </w:t>
      </w:r>
      <w:r>
        <w:rPr>
          <w:rFonts w:ascii="Arial" w:hAnsi="Arial"/>
        </w:rPr>
        <w:t xml:space="preserve">Jedná se o status, kdy byla řádně zjištěna a ověřena totožnost hráče na základě dokladů.</w:t>
      </w:r>
      <w:r>
        <w:rPr>
          <w:rFonts w:ascii="Arial" w:hAnsi="Arial"/>
        </w:rPr>
        <w:t xml:space="preserve"> </w:t>
      </w:r>
    </w:p>
    <w:p w14:paraId="580B7BAC"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PV:</w:t>
      </w:r>
      <w:r>
        <w:rPr>
          <w:rFonts w:ascii="Arial" w:hAnsi="Arial"/>
        </w:rPr>
        <w:t xml:space="preserve"> </w:t>
      </w:r>
      <w:r>
        <w:rPr>
          <w:rFonts w:ascii="Arial" w:hAnsi="Arial"/>
        </w:rPr>
        <w:t xml:space="preserve">Čeká se na ověření na základě dokladů.</w:t>
      </w:r>
      <w:r>
        <w:rPr>
          <w:rFonts w:ascii="Arial" w:hAnsi="Arial"/>
        </w:rPr>
        <w:t xml:space="preserve"> </w:t>
      </w:r>
      <w:r>
        <w:rPr>
          <w:rFonts w:ascii="Arial" w:hAnsi="Arial"/>
        </w:rPr>
        <w:t xml:space="preserve">Jedná se o status hráče, jehož totožnost nebyla řádně potvrzena pomocí systému ověřování na základě dokladů.</w:t>
      </w:r>
      <w:r>
        <w:rPr>
          <w:rFonts w:ascii="Arial" w:hAnsi="Arial"/>
        </w:rPr>
        <w:t xml:space="preserve"> </w:t>
      </w:r>
    </w:p>
    <w:p w14:paraId="4B94520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S:</w:t>
      </w:r>
      <w:r>
        <w:rPr>
          <w:rFonts w:ascii="Arial" w:hAnsi="Arial"/>
        </w:rPr>
        <w:t xml:space="preserve"> </w:t>
      </w:r>
      <w:r>
        <w:rPr>
          <w:rFonts w:ascii="Arial" w:hAnsi="Arial"/>
        </w:rPr>
        <w:t xml:space="preserve">Pozastaveno.</w:t>
      </w:r>
      <w:r>
        <w:rPr>
          <w:rFonts w:ascii="Arial" w:hAnsi="Arial"/>
        </w:rPr>
        <w:t xml:space="preserve"> </w:t>
      </w:r>
      <w:r>
        <w:rPr>
          <w:rFonts w:ascii="Arial" w:hAnsi="Arial"/>
        </w:rPr>
        <w:t xml:space="preserve">Jedná se o status hráče, který vykazoval dva roky nepřetržitou nečinnost a provozovatel tak rozhodl o pozastavení.</w:t>
      </w:r>
      <w:r>
        <w:rPr>
          <w:rFonts w:ascii="Arial" w:hAnsi="Arial"/>
        </w:rPr>
        <w:t xml:space="preserve"> </w:t>
      </w:r>
    </w:p>
    <w:p w14:paraId="141B702C"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C:</w:t>
      </w:r>
      <w:r>
        <w:rPr>
          <w:rFonts w:ascii="Arial" w:hAnsi="Arial"/>
        </w:rPr>
        <w:t xml:space="preserve"> </w:t>
      </w:r>
      <w:r>
        <w:rPr>
          <w:rFonts w:ascii="Arial" w:hAnsi="Arial"/>
        </w:rPr>
        <w:t xml:space="preserve">Zrušeno.</w:t>
      </w:r>
      <w:r>
        <w:rPr>
          <w:rFonts w:ascii="Arial" w:hAnsi="Arial"/>
        </w:rPr>
        <w:t xml:space="preserve"> </w:t>
      </w:r>
      <w:r>
        <w:rPr>
          <w:rFonts w:ascii="Arial" w:hAnsi="Arial"/>
        </w:rPr>
        <w:t xml:space="preserve">Jedná se o status hráče, u nějž bylo po uplynutí čtyř let od pozastavení provedeno zrušení.</w:t>
      </w:r>
      <w:r>
        <w:rPr>
          <w:rFonts w:ascii="Arial" w:hAnsi="Arial"/>
        </w:rPr>
        <w:t xml:space="preserve"> </w:t>
      </w:r>
    </w:p>
    <w:p w14:paraId="7BAB001A"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CD:</w:t>
      </w:r>
      <w:r>
        <w:rPr>
          <w:rFonts w:ascii="Arial" w:hAnsi="Arial"/>
        </w:rPr>
        <w:t xml:space="preserve"> </w:t>
      </w:r>
      <w:r>
        <w:rPr>
          <w:rFonts w:ascii="Arial" w:hAnsi="Arial"/>
        </w:rPr>
        <w:t xml:space="preserve">Zrušeno z důvodu úmrtí.</w:t>
      </w:r>
      <w:r>
        <w:rPr>
          <w:rFonts w:ascii="Arial" w:hAnsi="Arial"/>
        </w:rPr>
        <w:t xml:space="preserve"> </w:t>
      </w:r>
      <w:r>
        <w:rPr>
          <w:rFonts w:ascii="Arial" w:hAnsi="Arial"/>
        </w:rPr>
        <w:t xml:space="preserve">Jedná se o status hráče, který byl identifikován jako zemřelý.</w:t>
      </w:r>
    </w:p>
    <w:p w14:paraId="6A2FE78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SC:</w:t>
      </w:r>
      <w:r>
        <w:rPr>
          <w:rFonts w:ascii="Arial" w:hAnsi="Arial"/>
        </w:rPr>
        <w:t xml:space="preserve"> </w:t>
      </w:r>
      <w:r>
        <w:rPr>
          <w:rFonts w:ascii="Arial" w:hAnsi="Arial"/>
        </w:rPr>
        <w:t xml:space="preserve">Dočasně pozastaveno.</w:t>
      </w:r>
      <w:r>
        <w:rPr>
          <w:rFonts w:ascii="Arial" w:hAnsi="Arial"/>
        </w:rPr>
        <w:t xml:space="preserve"> </w:t>
      </w:r>
      <w:r>
        <w:rPr>
          <w:rFonts w:ascii="Arial" w:hAnsi="Arial"/>
        </w:rPr>
        <w:t xml:space="preserve">Jedná se o status hráče, jehož činnost provozovatel dočasně pozastavil z důvodu podezření na koluzní nebo podvodné jednání nebo z důvodu, že umožnil použít uživatelskou registraci třetím stranám.</w:t>
      </w:r>
      <w:r>
        <w:rPr>
          <w:rFonts w:ascii="Arial" w:hAnsi="Arial"/>
        </w:rPr>
        <w:t xml:space="preserve"> </w:t>
      </w:r>
    </w:p>
    <w:p w14:paraId="4AD1BFBE"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AC:</w:t>
      </w:r>
      <w:r>
        <w:rPr>
          <w:rFonts w:ascii="Arial" w:hAnsi="Arial"/>
        </w:rPr>
        <w:t xml:space="preserve"> </w:t>
      </w:r>
      <w:r>
        <w:rPr>
          <w:rFonts w:ascii="Arial" w:hAnsi="Arial"/>
        </w:rPr>
        <w:t xml:space="preserve">Zrušení smlouvy.</w:t>
      </w:r>
      <w:r>
        <w:rPr>
          <w:rFonts w:ascii="Arial" w:hAnsi="Arial"/>
        </w:rPr>
        <w:t xml:space="preserve"> </w:t>
      </w:r>
      <w:r>
        <w:rPr>
          <w:rFonts w:ascii="Arial" w:hAnsi="Arial"/>
        </w:rPr>
        <w:t xml:space="preserve">Jedná se o status hráče, jenž podléhal dočasnému pozastavení a u kterého se podle názoru provozovatele prokázalo, že se dopustil podvodu nebo tajné dohody nebo poskytl svůj uživatelský účet třetím stranám, což provozovatele přimělo k jednostrannému ukončení smlouvy.</w:t>
      </w:r>
      <w:r>
        <w:rPr>
          <w:rFonts w:ascii="Arial" w:hAnsi="Arial"/>
        </w:rPr>
        <w:t xml:space="preserve"> </w:t>
      </w:r>
    </w:p>
    <w:p w14:paraId="6BB5C179"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PR:</w:t>
      </w:r>
      <w:r>
        <w:rPr>
          <w:rFonts w:ascii="Arial" w:hAnsi="Arial"/>
        </w:rPr>
        <w:t xml:space="preserve"> </w:t>
      </w:r>
      <w:r>
        <w:rPr>
          <w:rFonts w:ascii="Arial" w:hAnsi="Arial"/>
        </w:rPr>
        <w:t xml:space="preserve">Subjektivní zákaz.</w:t>
      </w:r>
      <w:r>
        <w:rPr>
          <w:rFonts w:ascii="Arial" w:hAnsi="Arial"/>
        </w:rPr>
        <w:t xml:space="preserve"> </w:t>
      </w:r>
      <w:r>
        <w:rPr>
          <w:rFonts w:ascii="Arial" w:hAnsi="Arial"/>
        </w:rPr>
        <w:t xml:space="preserve">Jedná se o status hráče, na kterého se vztahuje některý ze subjektivních zákazů stanovených v článku 6 zákona 13/2011 (nezletilí, osoby zapsané v rejstříku RGIAJ, osoby s propojeným vztahem,...)</w:t>
      </w:r>
      <w:r>
        <w:rPr>
          <w:rFonts w:ascii="Arial" w:hAnsi="Arial"/>
        </w:rPr>
        <w:t xml:space="preserve"> </w:t>
      </w:r>
    </w:p>
    <w:p w14:paraId="36CC3CEA"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AE:</w:t>
      </w:r>
      <w:r>
        <w:rPr>
          <w:rFonts w:ascii="Arial" w:hAnsi="Arial"/>
        </w:rPr>
        <w:t xml:space="preserve"> </w:t>
      </w:r>
      <w:r>
        <w:rPr>
          <w:rFonts w:ascii="Arial" w:hAnsi="Arial"/>
        </w:rPr>
        <w:t xml:space="preserve">Vyřazení na základě vlastního rozhodnutí.</w:t>
      </w:r>
      <w:r>
        <w:rPr>
          <w:rFonts w:ascii="Arial" w:hAnsi="Arial"/>
        </w:rPr>
        <w:t xml:space="preserve"> </w:t>
      </w:r>
      <w:r>
        <w:rPr>
          <w:rFonts w:ascii="Arial" w:hAnsi="Arial"/>
        </w:rPr>
        <w:t xml:space="preserve">Jedná se o status hráče, který se dobrovolně rozhodl vyřadit z hraní hazardní hry nabízené provozovatelem.</w:t>
      </w:r>
      <w:r>
        <w:rPr>
          <w:rFonts w:ascii="Arial" w:hAnsi="Arial"/>
        </w:rPr>
        <w:t xml:space="preserve"> </w:t>
      </w:r>
    </w:p>
    <w:p w14:paraId="54499D8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O:</w:t>
      </w:r>
      <w:r>
        <w:rPr>
          <w:rFonts w:ascii="Arial" w:hAnsi="Arial"/>
        </w:rPr>
        <w:t xml:space="preserve"> </w:t>
      </w:r>
      <w:r>
        <w:rPr>
          <w:rFonts w:ascii="Arial" w:hAnsi="Arial"/>
        </w:rPr>
        <w:t xml:space="preserve">Jiné.</w:t>
      </w:r>
      <w:r>
        <w:rPr>
          <w:rFonts w:ascii="Arial" w:hAnsi="Arial"/>
        </w:rPr>
        <w:t xml:space="preserve"> </w:t>
      </w:r>
      <w:r>
        <w:rPr>
          <w:rFonts w:ascii="Arial" w:hAnsi="Arial"/>
        </w:rPr>
        <w:t xml:space="preserve">Další možné situace hráčů, které nejsou zahrnuty výše.</w:t>
      </w:r>
      <w:r>
        <w:rPr>
          <w:rFonts w:ascii="Arial" w:hAnsi="Arial"/>
        </w:rPr>
        <w:t xml:space="preserve"> </w:t>
      </w:r>
    </w:p>
    <w:p w14:paraId="272CE038" w14:textId="77777777" w:rsidR="003B5C7A" w:rsidRPr="00112FA3" w:rsidRDefault="003B5C7A" w:rsidP="003B5C7A">
      <w:pPr>
        <w:jc w:val="both"/>
        <w:rPr>
          <w:bCs/>
          <w:rFonts w:ascii="Arial" w:hAnsi="Arial" w:cs="Arial"/>
        </w:rPr>
      </w:pPr>
      <w:r>
        <w:rPr>
          <w:rFonts w:ascii="Arial" w:hAnsi="Arial"/>
        </w:rPr>
        <w:t xml:space="preserve">EstadoOperador [status provozovatele], kam provozovatel zadá status uvedený na jeho platformě.“</w:t>
      </w:r>
    </w:p>
    <w:p w14:paraId="40371930" w14:textId="4F5B9E39" w:rsidR="004A6475" w:rsidRPr="00C73313" w:rsidRDefault="00BE2A52" w:rsidP="00F17E13">
      <w:pPr>
        <w:jc w:val="both"/>
        <w:rPr>
          <w:b/>
          <w:rFonts w:ascii="Arial" w:hAnsi="Arial" w:cs="Arial"/>
        </w:rPr>
      </w:pPr>
      <w:r>
        <w:rPr>
          <w:b/>
          <w:rFonts w:ascii="Arial" w:hAnsi="Arial"/>
        </w:rPr>
        <w:t xml:space="preserve">Jediné závěrečné ustanovení.</w:t>
      </w:r>
      <w:r>
        <w:rPr>
          <w:b/>
          <w:rFonts w:ascii="Arial" w:hAnsi="Arial"/>
        </w:rPr>
        <w:t xml:space="preserve"> </w:t>
      </w:r>
      <w:r>
        <w:rPr>
          <w:b/>
          <w:rFonts w:ascii="Arial" w:hAnsi="Arial"/>
        </w:rPr>
        <w:t xml:space="preserve">Nabytí účinnosti</w:t>
      </w:r>
    </w:p>
    <w:p w14:paraId="1CCE2500" w14:textId="7F190632" w:rsidR="001151E6" w:rsidRPr="00C169ED" w:rsidRDefault="001B4699" w:rsidP="0044700B">
      <w:pPr>
        <w:jc w:val="both"/>
        <w:rPr>
          <w:sz w:val="20"/>
          <w:rFonts w:ascii="Arial" w:hAnsi="Arial" w:cs="Arial"/>
        </w:rPr>
      </w:pPr>
      <w:r>
        <w:rPr>
          <w:rFonts w:ascii="Arial" w:hAnsi="Arial"/>
        </w:rPr>
        <w:t xml:space="preserve">Toto usnesení nabývá účinnosti šest měsíců po jeho vyhlášení v Úředním věstníku.</w:t>
      </w:r>
      <w:r>
        <w:rPr>
          <w:rFonts w:ascii="Arial" w:hAnsi="Arial"/>
        </w:rPr>
        <w:t xml:space="preserve">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 xml:space="preserve">V Madridu, dne XX. YY. 2022</w:t>
      </w:r>
    </w:p>
    <w:p w14:paraId="3CCD5EBB" w14:textId="77777777" w:rsidR="001151E6" w:rsidRDefault="001151E6" w:rsidP="001151E6">
      <w:pPr>
        <w:spacing w:line="264" w:lineRule="auto"/>
        <w:rPr>
          <w:rFonts w:ascii="Arial" w:hAnsi="Arial" w:cs="Arial"/>
        </w:rPr>
      </w:pPr>
    </w:p>
    <w:p w14:paraId="2DB811C3" w14:textId="77777777" w:rsidR="001151E6" w:rsidRDefault="00224C24" w:rsidP="001151E6">
      <w:pPr>
        <w:spacing w:line="264" w:lineRule="auto"/>
        <w:jc w:val="center"/>
        <w:rPr>
          <w:rFonts w:ascii="Arial" w:hAnsi="Arial" w:cs="Arial"/>
        </w:rPr>
      </w:pPr>
      <w:r>
        <w:rPr>
          <w:rFonts w:ascii="Arial" w:hAnsi="Arial"/>
        </w:rPr>
        <w:t xml:space="preserve">GENERÁLNÍ ŘEDITELSTVÍ PRO REGULACI HAZARDNÍCH HER</w:t>
      </w:r>
    </w:p>
    <w:p w14:paraId="098E39EA" w14:textId="77777777" w:rsidR="0047083C" w:rsidRDefault="0047083C" w:rsidP="0044700B">
      <w:pPr>
        <w:spacing w:line="264" w:lineRule="auto"/>
        <w:rPr>
          <w:rFonts w:ascii="Arial" w:hAnsi="Arial" w:cs="Arial"/>
        </w:rPr>
      </w:pP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0" w:nlCheck="1" w:checkStyle="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1787</Words>
  <Characters>10188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Liana Brili</cp:lastModifiedBy>
  <cp:revision>4</cp:revision>
  <cp:lastPrinted>2022-11-25T11:05:00Z</cp:lastPrinted>
  <dcterms:created xsi:type="dcterms:W3CDTF">2022-11-25T12:23:00Z</dcterms:created>
  <dcterms:modified xsi:type="dcterms:W3CDTF">2023-01-20T10:22:00Z</dcterms:modified>
</cp:coreProperties>
</file>