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8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7"/>
        <w:gridCol w:w="968"/>
        <w:gridCol w:w="1487"/>
      </w:tblGrid>
      <w:tr w:rsidR="00FB6E53" w14:paraId="5CD3FC2E" w14:textId="77777777" w:rsidTr="00FD3014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2CE15DB0" w14:textId="77777777" w:rsidR="00FB6E53" w:rsidRDefault="00FB6E53" w:rsidP="00FD3014">
            <w:pPr>
              <w:pStyle w:val="SNREPUBLIQUE"/>
            </w:pPr>
            <w:r>
              <w:t xml:space="preserve">FRANCIA KÖZTÁRSASÁG</w:t>
            </w:r>
          </w:p>
        </w:tc>
      </w:tr>
      <w:tr w:rsidR="00FB6E53" w14:paraId="539E9BB1" w14:textId="77777777" w:rsidTr="00FD3014">
        <w:trPr>
          <w:cantSplit/>
          <w:trHeight w:hRule="exact" w:val="113"/>
        </w:trPr>
        <w:tc>
          <w:tcPr>
            <w:tcW w:w="1527" w:type="dxa"/>
            <w:shd w:val="clear" w:color="auto" w:fill="auto"/>
          </w:tcPr>
          <w:p w14:paraId="4B7E6958" w14:textId="77777777" w:rsidR="00FB6E53" w:rsidRDefault="00FB6E53" w:rsidP="00FD3014">
            <w:pPr>
              <w:snapToGrid w:val="0"/>
              <w:rPr>
                <w:rFonts w:cs="Tahoma"/>
              </w:rPr>
            </w:pPr>
          </w:p>
        </w:tc>
        <w:tc>
          <w:tcPr>
            <w:tcW w:w="968" w:type="dxa"/>
            <w:tcBorders>
              <w:bottom w:val="single" w:sz="2" w:space="0" w:color="000000"/>
            </w:tcBorders>
            <w:shd w:val="clear" w:color="auto" w:fill="auto"/>
          </w:tcPr>
          <w:p w14:paraId="4B9C3FBE" w14:textId="77777777" w:rsidR="00FB6E53" w:rsidRDefault="00FB6E53" w:rsidP="00FD3014">
            <w:pPr>
              <w:snapToGrid w:val="0"/>
              <w:rPr>
                <w:rFonts w:cs="Tahoma"/>
              </w:rPr>
            </w:pPr>
          </w:p>
        </w:tc>
        <w:tc>
          <w:tcPr>
            <w:tcW w:w="1487" w:type="dxa"/>
            <w:shd w:val="clear" w:color="auto" w:fill="auto"/>
          </w:tcPr>
          <w:p w14:paraId="44462FA5" w14:textId="77777777" w:rsidR="00FB6E53" w:rsidRDefault="00FB6E53" w:rsidP="00FD3014">
            <w:pPr>
              <w:snapToGrid w:val="0"/>
              <w:rPr>
                <w:rFonts w:cs="Tahoma"/>
              </w:rPr>
            </w:pPr>
          </w:p>
        </w:tc>
      </w:tr>
      <w:tr w:rsidR="00FB6E53" w14:paraId="594C5F7F" w14:textId="77777777" w:rsidTr="00FD3014">
        <w:trPr>
          <w:cantSplit/>
        </w:trPr>
        <w:tc>
          <w:tcPr>
            <w:tcW w:w="3982" w:type="dxa"/>
            <w:gridSpan w:val="3"/>
            <w:shd w:val="clear" w:color="auto" w:fill="auto"/>
          </w:tcPr>
          <w:p w14:paraId="06C7AB79" w14:textId="77777777" w:rsidR="00FB6E53" w:rsidRDefault="00FB6E53" w:rsidP="00FD3014">
            <w:pPr>
              <w:pStyle w:val="SNTimbre"/>
            </w:pPr>
            <w:r>
              <w:t xml:space="preserve">Ökológiai Átállásért Felelős Minisztérium</w:t>
            </w:r>
          </w:p>
          <w:p w14:paraId="3509F017" w14:textId="77777777" w:rsidR="00FB6E53" w:rsidRDefault="00FB6E53" w:rsidP="00FD3014">
            <w:pPr>
              <w:pStyle w:val="SNTimbre"/>
            </w:pPr>
          </w:p>
        </w:tc>
      </w:tr>
      <w:tr w:rsidR="00FB6E53" w14:paraId="325B9B32" w14:textId="77777777" w:rsidTr="00FD3014">
        <w:trPr>
          <w:cantSplit/>
          <w:trHeight w:hRule="exact" w:val="227"/>
        </w:trPr>
        <w:tc>
          <w:tcPr>
            <w:tcW w:w="1527" w:type="dxa"/>
            <w:shd w:val="clear" w:color="auto" w:fill="auto"/>
          </w:tcPr>
          <w:p w14:paraId="61F86D5E" w14:textId="77777777" w:rsidR="00FB6E53" w:rsidRDefault="00FB6E53" w:rsidP="00FD3014">
            <w:pPr>
              <w:snapToGrid w:val="0"/>
            </w:pPr>
          </w:p>
        </w:tc>
        <w:tc>
          <w:tcPr>
            <w:tcW w:w="968" w:type="dxa"/>
            <w:tcBorders>
              <w:bottom w:val="single" w:sz="2" w:space="0" w:color="000000"/>
            </w:tcBorders>
            <w:shd w:val="clear" w:color="auto" w:fill="auto"/>
          </w:tcPr>
          <w:p w14:paraId="12888E03" w14:textId="77777777" w:rsidR="00FB6E53" w:rsidRDefault="00FB6E53" w:rsidP="00FD3014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14:paraId="1BBCBAEB" w14:textId="77777777" w:rsidR="00FB6E53" w:rsidRDefault="00FB6E53" w:rsidP="00FD3014">
            <w:pPr>
              <w:snapToGrid w:val="0"/>
            </w:pPr>
          </w:p>
        </w:tc>
      </w:tr>
      <w:tr w:rsidR="00FB6E53" w14:paraId="685B030A" w14:textId="77777777" w:rsidTr="00FD3014">
        <w:trPr>
          <w:cantSplit/>
          <w:trHeight w:hRule="exact" w:val="227"/>
        </w:trPr>
        <w:tc>
          <w:tcPr>
            <w:tcW w:w="1527" w:type="dxa"/>
            <w:shd w:val="clear" w:color="auto" w:fill="auto"/>
          </w:tcPr>
          <w:p w14:paraId="7F5D8E20" w14:textId="77777777" w:rsidR="00FB6E53" w:rsidRDefault="00FB6E53" w:rsidP="00FD3014">
            <w:pPr>
              <w:snapToGrid w:val="0"/>
            </w:pPr>
          </w:p>
        </w:tc>
        <w:tc>
          <w:tcPr>
            <w:tcW w:w="968" w:type="dxa"/>
            <w:shd w:val="clear" w:color="auto" w:fill="auto"/>
          </w:tcPr>
          <w:p w14:paraId="43224DF9" w14:textId="77777777" w:rsidR="00FB6E53" w:rsidRDefault="00FB6E53" w:rsidP="00FD3014">
            <w:pPr>
              <w:snapToGrid w:val="0"/>
            </w:pPr>
          </w:p>
        </w:tc>
        <w:tc>
          <w:tcPr>
            <w:tcW w:w="1487" w:type="dxa"/>
            <w:shd w:val="clear" w:color="auto" w:fill="auto"/>
          </w:tcPr>
          <w:p w14:paraId="1616161D" w14:textId="77777777" w:rsidR="00FB6E53" w:rsidRDefault="00FB6E53" w:rsidP="00FD3014">
            <w:pPr>
              <w:snapToGrid w:val="0"/>
            </w:pPr>
          </w:p>
        </w:tc>
      </w:tr>
    </w:tbl>
    <w:p w14:paraId="069092CB" w14:textId="77777777" w:rsidR="00FB6E53" w:rsidRDefault="00FB6E53" w:rsidP="00FB6E53">
      <w:pPr>
        <w:pStyle w:val="SNNature"/>
      </w:pPr>
      <w:r>
        <w:t xml:space="preserve">2022-... sz. rendelet</w:t>
      </w:r>
      <w:r>
        <w:t xml:space="preserve">                         </w:t>
      </w:r>
      <w:r>
        <w:t xml:space="preserve">(...)</w:t>
      </w:r>
    </w:p>
    <w:p w14:paraId="735C2865" w14:textId="77777777" w:rsidR="00FB6E53" w:rsidRDefault="00902234" w:rsidP="00FB6E53">
      <w:pPr>
        <w:pStyle w:val="SNtitre"/>
      </w:pPr>
      <w:r>
        <w:t xml:space="preserve">a szén-dioxid-kibocsátás ellentételezéséről és a karbonsemlegességre vonatkozó állításokról a reklámokban</w:t>
      </w:r>
    </w:p>
    <w:p w14:paraId="3186A2CD" w14:textId="77777777" w:rsidR="00FB6E53" w:rsidRDefault="00FB6E53" w:rsidP="00FB6E53">
      <w:pPr>
        <w:pStyle w:val="SNNORCentr"/>
        <w:rPr>
          <w:i/>
        </w:rPr>
      </w:pPr>
      <w:r>
        <w:t xml:space="preserve">NOR:</w:t>
      </w:r>
      <w:r>
        <w:t xml:space="preserve"> </w:t>
      </w:r>
      <w:r>
        <w:t xml:space="preserve">[…]</w:t>
      </w:r>
    </w:p>
    <w:p w14:paraId="152072E9" w14:textId="77777777" w:rsidR="00FB6E53" w:rsidRPr="002808A7" w:rsidRDefault="00FB6E53" w:rsidP="00FB6E53">
      <w:pPr>
        <w:pStyle w:val="SNAutorit"/>
        <w:jc w:val="both"/>
        <w:rPr>
          <w:b w:val="0"/>
          <w:i/>
        </w:rPr>
      </w:pPr>
      <w:r>
        <w:rPr>
          <w:i/>
        </w:rPr>
        <w:t xml:space="preserve">Célközönség:</w:t>
      </w:r>
      <w:r>
        <w:rPr>
          <w:i/>
          <w:b w:val="0"/>
        </w:rPr>
        <w:t xml:space="preserve"> </w:t>
      </w:r>
      <w:r>
        <w:rPr>
          <w:i/>
          <w:b w:val="0"/>
        </w:rPr>
        <w:t xml:space="preserve">Hirdetők</w:t>
      </w:r>
      <w:r>
        <w:rPr>
          <w:i/>
          <w:b w:val="0"/>
        </w:rPr>
        <w:t xml:space="preserve"> </w:t>
      </w:r>
    </w:p>
    <w:p w14:paraId="18E4FF5B" w14:textId="77777777" w:rsidR="00FB6E53" w:rsidRPr="002808A7" w:rsidRDefault="00FB6E53" w:rsidP="00FB6E53">
      <w:pPr>
        <w:pStyle w:val="SNAutorit"/>
        <w:spacing w:before="120"/>
        <w:jc w:val="both"/>
        <w:rPr>
          <w:i/>
        </w:rPr>
      </w:pPr>
      <w:r>
        <w:rPr>
          <w:i/>
        </w:rPr>
        <w:t xml:space="preserve">Tárgy: </w:t>
      </w:r>
      <w:r>
        <w:rPr>
          <w:i/>
          <w:b w:val="0"/>
        </w:rPr>
        <w:t xml:space="preserve">az éghajlatváltozás elleni küzdelemről és a hatásaival szembeni ellenálló képesség megerősítéséről szóló, 2021. augusztus 22-i 2021–1104. sz. törvény 12. cikkének alkalmazása.</w:t>
      </w:r>
    </w:p>
    <w:p w14:paraId="24250E11" w14:textId="77777777" w:rsidR="00FB6E53" w:rsidRPr="00AC1942" w:rsidRDefault="00FB6E53" w:rsidP="00FB6E53">
      <w:pPr>
        <w:pStyle w:val="SNAutorit"/>
        <w:spacing w:before="120"/>
        <w:jc w:val="both"/>
        <w:rPr>
          <w:i/>
        </w:rPr>
      </w:pPr>
      <w:r>
        <w:rPr>
          <w:i/>
        </w:rPr>
        <w:t xml:space="preserve">Hatálybalépés: </w:t>
      </w:r>
      <w:r>
        <w:rPr>
          <w:i/>
          <w:b w:val="0"/>
        </w:rPr>
        <w:t xml:space="preserve">a szöveg a kihirdetését követő napon lép hatályba, kivéve a 2023. január 1-jén hatályba lépő 2. és 3. cikket.</w:t>
      </w:r>
    </w:p>
    <w:p w14:paraId="3C996B02" w14:textId="77777777" w:rsidR="00FB6E53" w:rsidRPr="009F1E9F" w:rsidRDefault="009F1E9F" w:rsidP="009F1E9F">
      <w:pPr>
        <w:pStyle w:val="SNAutorit"/>
        <w:spacing w:before="120"/>
        <w:jc w:val="both"/>
        <w:rPr>
          <w:b w:val="0"/>
          <w:i/>
        </w:rPr>
      </w:pPr>
      <w:r>
        <w:rPr>
          <w:i/>
        </w:rPr>
        <w:t xml:space="preserve">Megjegyzés:</w:t>
      </w:r>
      <w:r>
        <w:rPr>
          <w:i/>
        </w:rPr>
        <w:t xml:space="preserve"> </w:t>
      </w:r>
      <w:r>
        <w:rPr>
          <w:i/>
          <w:b w:val="0"/>
        </w:rPr>
        <w:t xml:space="preserve">ez a rendelet meghatározza a fent említett 2021–1104. sz. törvény 12. cikkében előírt információk hirdetők általi közlésére vonatkozó eljárásokat.</w:t>
      </w:r>
      <w:r>
        <w:rPr>
          <w:i/>
          <w:b w:val="0"/>
        </w:rPr>
        <w:t xml:space="preserve"> </w:t>
      </w:r>
      <w:r>
        <w:rPr>
          <w:i/>
          <w:b w:val="0"/>
        </w:rPr>
        <w:t xml:space="preserve">A szöveg hatályba lépését követően sugárzott valamennyi hirdetésre vonatkozik.</w:t>
      </w:r>
      <w:r>
        <w:rPr>
          <w:i/>
        </w:rPr>
        <w:t xml:space="preserve"> </w:t>
      </w:r>
    </w:p>
    <w:p w14:paraId="64AAF47B" w14:textId="77777777" w:rsidR="00FB6E53" w:rsidRDefault="00FB6E53" w:rsidP="00FB6E53">
      <w:pPr>
        <w:pStyle w:val="SNAutorit"/>
        <w:spacing w:before="120"/>
        <w:jc w:val="both"/>
      </w:pPr>
      <w:r>
        <w:rPr>
          <w:i/>
        </w:rPr>
        <w:t xml:space="preserve">Hivatkozások: </w:t>
      </w:r>
      <w:r>
        <w:rPr>
          <w:i/>
          <w:b w:val="0"/>
        </w:rPr>
        <w:t xml:space="preserve">a rendelet rendelkezéseit az éghajlatváltozás elleni küzdelemről és a hatásaival szembeni ellenálló képesség megerősítéséről szóló, 2021. augusztus 22-i 2021–1104. sz. törvény 12. cikkének alkalmazása céljából fogadták el.</w:t>
      </w:r>
      <w:r>
        <w:rPr>
          <w:i/>
          <w:b w:val="0"/>
        </w:rPr>
        <w:t xml:space="preserve"> </w:t>
      </w:r>
      <w:r>
        <w:rPr>
          <w:i/>
          <w:b w:val="0"/>
        </w:rPr>
        <w:t xml:space="preserve">Ez a törvény és rendelet megtalálható a Légifrance honlapján (http://www.legifrance.gouv.fr).</w:t>
      </w:r>
    </w:p>
    <w:p w14:paraId="0D71FAD6" w14:textId="77777777" w:rsidR="00FB6E53" w:rsidRDefault="00FB6E53" w:rsidP="00FB6E53">
      <w:pPr>
        <w:pStyle w:val="SNAutorit"/>
      </w:pPr>
      <w:r>
        <w:t xml:space="preserve">A Miniszterelnök,</w:t>
      </w:r>
    </w:p>
    <w:p w14:paraId="68B0A9A6" w14:textId="77777777" w:rsidR="00FB6E53" w:rsidRDefault="00FB6E53" w:rsidP="00FB6E53">
      <w:pPr>
        <w:pStyle w:val="SNRapport"/>
      </w:pPr>
      <w:r>
        <w:t xml:space="preserve">az ökológiai átállásért felelős miniszter jelentése alapján,</w:t>
      </w:r>
    </w:p>
    <w:p w14:paraId="5C693133" w14:textId="77777777" w:rsidR="0099494E" w:rsidRPr="0099494E" w:rsidRDefault="0099494E" w:rsidP="001E3BBD">
      <w:pPr>
        <w:pStyle w:val="SNRapport"/>
        <w:ind w:left="708" w:firstLine="12"/>
      </w:pPr>
      <w:r>
        <w:t xml:space="preserve">tekintettel a műszaki szabályokkal és az információs társadalom szolgáltatásaira vonatkozó szabályokkal kapcsolatos információszolgáltatási eljárás megállapításáról szóló 2015. szeptember 9-i (EU) 2015/1535 európai parlamenti és tanácsi irányelvre (kodifikált szöveg) és különösen a(z) xxx értesítésre;</w:t>
      </w:r>
    </w:p>
    <w:p w14:paraId="4A9160F2" w14:textId="77777777" w:rsidR="008C2EFB" w:rsidRDefault="008C2EFB" w:rsidP="00FB6E53">
      <w:pPr>
        <w:pStyle w:val="SNRapport"/>
      </w:pPr>
      <w:r>
        <w:t xml:space="preserve">tekintettel a környezetvédelmi törvénykönyvre;</w:t>
      </w:r>
    </w:p>
    <w:p w14:paraId="46410193" w14:textId="77777777" w:rsidR="00FB6E53" w:rsidRDefault="00FB6E53" w:rsidP="00FB6E53">
      <w:pPr>
        <w:pStyle w:val="SNVisa"/>
        <w:ind w:left="708" w:firstLine="12"/>
      </w:pPr>
      <w:r>
        <w:t xml:space="preserve">tekintettel az éghajlatváltozás elleni küzdelemről és a hatásaival szembeni ellenálló képesség megerősítéséről szóló, 2021. augusztus 22-i 2021–1104. sz. törvényre és különösen annak 12. és 147. cikkére,</w:t>
      </w:r>
    </w:p>
    <w:p w14:paraId="46E64030" w14:textId="77777777" w:rsidR="00DA728B" w:rsidRDefault="00DA728B" w:rsidP="00DA728B">
      <w:pPr>
        <w:pStyle w:val="SNVisa"/>
        <w:ind w:left="708" w:firstLine="12"/>
        <w:jc w:val="both"/>
      </w:pPr>
      <w:r>
        <w:t xml:space="preserve">tekintettel az egyes közigazgatási határozatoknak az ökológiai és szolidaritási átmenetért, a területi kohézióért, valamint a helyi és regionális önkormányzatokkal fenntartott kapcsolatokért felelős miniszterekhez történő dekoncentrációjáról szóló, 1997. január 15-i 97–34. sz. rendelet 2. cikke első bekezdésének végrehajtásáról szóló, 1997. december 19-i 97–1198. sz. rendeletre;</w:t>
      </w:r>
    </w:p>
    <w:p w14:paraId="0A395ED6" w14:textId="77777777" w:rsidR="00FB6E53" w:rsidRPr="00FB6E53" w:rsidRDefault="00FB6E53" w:rsidP="00FB6E53">
      <w:pPr>
        <w:pStyle w:val="SNVisa"/>
        <w:ind w:left="708" w:firstLine="12"/>
      </w:pPr>
      <w:r>
        <w:t xml:space="preserve">tekintettel a nemzeti szén-dioxid-költségvetésekről és az alacsony szén-dioxid-kibocsátással kapcsolatos nemzeti stratégiáról szóló, 2020. április 21-i 2020–457. sz. rendeletre;</w:t>
      </w:r>
    </w:p>
    <w:p w14:paraId="55F7F2B6" w14:textId="77777777" w:rsidR="00FB6E53" w:rsidRDefault="00FB6E53" w:rsidP="00FB6E53">
      <w:pPr>
        <w:pStyle w:val="SNVisa"/>
        <w:ind w:left="708" w:firstLine="12"/>
      </w:pPr>
      <w:r>
        <w:t xml:space="preserve">tekintettel a környezetvédelmi törvénykönyv L. 123-19-1. cikke alapján a XX. és XX. között lefolytatott nyilvános konzultáció során tett észrevételekre;</w:t>
      </w:r>
    </w:p>
    <w:p w14:paraId="24270816" w14:textId="77777777" w:rsidR="007B2607" w:rsidRPr="00975B1D" w:rsidRDefault="007B2607" w:rsidP="007B2607">
      <w:pPr>
        <w:pStyle w:val="SNVisa"/>
        <w:ind w:left="708" w:firstLine="12"/>
      </w:pPr>
      <w:r>
        <w:t xml:space="preserve">az Államtanács meghallgatását követően,</w:t>
      </w:r>
    </w:p>
    <w:p w14:paraId="086DF0EA" w14:textId="77777777" w:rsidR="007B2607" w:rsidRDefault="007B2607" w:rsidP="00FB6E53">
      <w:pPr>
        <w:pStyle w:val="SNVisa"/>
        <w:ind w:left="708" w:firstLine="12"/>
        <w:rPr>
          <w:lang w:eastAsia="fr-FR"/>
        </w:rPr>
      </w:pPr>
    </w:p>
    <w:p w14:paraId="7CBFE7F8" w14:textId="77777777" w:rsidR="00E075D6" w:rsidRPr="00FB6E53" w:rsidRDefault="00E075D6" w:rsidP="00FB6E53">
      <w:pPr>
        <w:pStyle w:val="SNVisa"/>
        <w:ind w:left="708" w:firstLine="12"/>
        <w:rPr>
          <w:lang w:eastAsia="fr-FR"/>
        </w:rPr>
      </w:pPr>
    </w:p>
    <w:p w14:paraId="69330050" w14:textId="77777777" w:rsidR="00FB6E53" w:rsidRDefault="00FB6E53" w:rsidP="00FB6E53">
      <w:pPr>
        <w:pStyle w:val="SNActe"/>
      </w:pPr>
      <w:r>
        <w:t xml:space="preserve">az alábbiakat rendeli el:</w:t>
      </w:r>
    </w:p>
    <w:p w14:paraId="649FFA91" w14:textId="77777777" w:rsidR="00FB6E53" w:rsidRDefault="00FB6E53" w:rsidP="00FB6E53">
      <w:pPr>
        <w:jc w:val="both"/>
        <w:rPr>
          <w:color w:val="000000"/>
        </w:rPr>
      </w:pPr>
    </w:p>
    <w:p w14:paraId="685C7007" w14:textId="77777777" w:rsidR="007B2607" w:rsidRPr="007C21D8" w:rsidRDefault="007B2607" w:rsidP="007B2607">
      <w:pPr>
        <w:pStyle w:val="SNArticle"/>
      </w:pPr>
      <w:r>
        <w:t xml:space="preserve">1. cikk</w:t>
      </w:r>
    </w:p>
    <w:p w14:paraId="3D42B733" w14:textId="77777777" w:rsidR="007B2607" w:rsidRPr="007C21D8" w:rsidRDefault="007B2607" w:rsidP="007B2607">
      <w:pPr>
        <w:jc w:val="both"/>
      </w:pPr>
      <w:r>
        <w:t xml:space="preserve">A környezetvédelmi törvénykönyv II. könyve II. címének IX. fejezete a következő 7. szakasszal egészül ki:</w:t>
      </w:r>
    </w:p>
    <w:p w14:paraId="437B06A1" w14:textId="77777777" w:rsidR="007B2607" w:rsidRPr="007C21D8" w:rsidRDefault="007B2607" w:rsidP="007B2607">
      <w:pPr>
        <w:jc w:val="both"/>
      </w:pPr>
    </w:p>
    <w:p w14:paraId="61BA25EE" w14:textId="77777777" w:rsidR="007B2607" w:rsidRPr="00175048" w:rsidRDefault="007B2607" w:rsidP="007B2607">
      <w:r>
        <w:t xml:space="preserve">„7. §</w:t>
      </w:r>
      <w:r>
        <w:t xml:space="preserve"> </w:t>
      </w:r>
      <w:r>
        <w:t xml:space="preserve">Az üvegházhatást okozó gázok ellentételezésére irányuló projektekből származó kibocsátáscsökkentés</w:t>
      </w:r>
    </w:p>
    <w:p w14:paraId="3D4DF454" w14:textId="77777777" w:rsidR="007B2607" w:rsidRDefault="007B2607" w:rsidP="007B2607"/>
    <w:p w14:paraId="72A2FE53" w14:textId="77777777" w:rsidR="007B2607" w:rsidRDefault="007B2607" w:rsidP="007B2607">
      <w:pPr>
        <w:jc w:val="both"/>
      </w:pPr>
      <w:r>
        <w:t xml:space="preserve">R. 229–103. cikk – Az L. 229–55. cikkben foglalt elveknek a következő végrehajtási eljárásoknak kell megfelelniük:</w:t>
      </w:r>
    </w:p>
    <w:p w14:paraId="72039EC0" w14:textId="77777777" w:rsidR="007B2607" w:rsidRDefault="007B2607" w:rsidP="007B2607">
      <w:pPr>
        <w:jc w:val="both"/>
      </w:pPr>
    </w:p>
    <w:p w14:paraId="0FEE1B79" w14:textId="77777777" w:rsidR="007B2607" w:rsidRDefault="007B2607" w:rsidP="007B2607">
      <w:pPr>
        <w:spacing w:after="160" w:line="259" w:lineRule="auto"/>
        <w:jc w:val="both"/>
      </w:pPr>
      <w:r>
        <w:t xml:space="preserve">Mérhető jelleg: a projekteken keresztül elkerült vagy lekötött üvegházhatású gázkibocsátásokat átlátható, nyilvánosan hozzáférhető módszertan alapján számszerűsítik.</w:t>
      </w:r>
      <w:r>
        <w:t xml:space="preserve"> </w:t>
      </w:r>
      <w:r>
        <w:t xml:space="preserve">A mennyiségi meghatározás módszere a legújabb tudományos és műszaki ismereteken alapul.</w:t>
      </w:r>
      <w:r>
        <w:t xml:space="preserve"> </w:t>
      </w:r>
      <w:r>
        <w:t xml:space="preserve">A mérési adatok egyértelműen dokumentáltak és ellenőrizhetők.</w:t>
      </w:r>
      <w:r>
        <w:t xml:space="preserve"> </w:t>
      </w:r>
      <w:r>
        <w:t xml:space="preserve">A kompenzációs projekt által hivatkozott módszertan egy alapforgatókönyvet határoz meg, amelyből kiszámítják a projekt által generált kibocsátáscsökkentést.</w:t>
      </w:r>
      <w:r>
        <w:t xml:space="preserve"> </w:t>
      </w:r>
      <w:r>
        <w:t xml:space="preserve">Az alapforgatókönyvnek projektszintűnek kell lennie, és tükröznie kell az üvegházhatást okozó gázok kibocsátásának közelmúltbeli tendenciáját és a meglévő bevált gyakorlatok alkalmazását.</w:t>
      </w:r>
    </w:p>
    <w:p w14:paraId="3CA09DD7" w14:textId="77777777" w:rsidR="007B2607" w:rsidRPr="00416C68" w:rsidRDefault="007B2607" w:rsidP="007B2607">
      <w:pPr>
        <w:spacing w:after="160" w:line="259" w:lineRule="auto"/>
        <w:jc w:val="both"/>
      </w:pPr>
      <w:r>
        <w:t xml:space="preserve">Ellenőrizhető jelleg: az elkerült vagy lekötött üvegházhatásúgáz-kibocsátást a projekt szponzorától független könyvvizsgálónak kell ellenőriznie.</w:t>
      </w:r>
      <w:r>
        <w:t xml:space="preserve"> </w:t>
      </w:r>
      <w:r>
        <w:t xml:space="preserve">Okmányellenőrzések vagy helyszíni ellenőrzések alapján az auditor hitelesíti az üvegházhatást okozó gázok kibocsátásának csökkentését, amelyet a projekt időtartama alatt végrehajtott intézkedésekkel lehet elérni.</w:t>
      </w:r>
    </w:p>
    <w:p w14:paraId="78D41360" w14:textId="77777777" w:rsidR="007B2607" w:rsidRPr="00416C68" w:rsidRDefault="007B2607" w:rsidP="007B2607">
      <w:pPr>
        <w:spacing w:after="160" w:line="259" w:lineRule="auto"/>
        <w:jc w:val="both"/>
      </w:pPr>
      <w:r>
        <w:t xml:space="preserve">Állandó jelleg: a kompenzációs projektek révén elkerült vagy megkötött üvegházhatású gázkibocsátás tartósan elkerülhető.</w:t>
      </w:r>
      <w:r>
        <w:t xml:space="preserve"> </w:t>
      </w:r>
      <w:r>
        <w:t xml:space="preserve">Adott esetben a mennyiségi meghatározási módszerrel figyelembe kell venni a nem állandóság kockázatát.</w:t>
      </w:r>
    </w:p>
    <w:p w14:paraId="7AF834A5" w14:textId="77777777" w:rsidR="007B2607" w:rsidRDefault="007B2607" w:rsidP="007B2607">
      <w:pPr>
        <w:spacing w:after="160" w:line="259" w:lineRule="auto"/>
        <w:jc w:val="both"/>
      </w:pPr>
      <w:r>
        <w:t xml:space="preserve">További karakter: a kompenzációs projekteket célzott finanszírozás nélkül nem lehetett volna végrehajtani, figyelembe véve a meglévő gazdasági ösztönzőket, a bevált gyakorlatokat és az alkalmazandó kötelezettségeket.</w:t>
      </w:r>
    </w:p>
    <w:p w14:paraId="1F089800" w14:textId="77777777" w:rsidR="007B2607" w:rsidRDefault="007B2607" w:rsidP="007B2607">
      <w:pPr>
        <w:spacing w:after="160" w:line="259" w:lineRule="auto"/>
        <w:jc w:val="both"/>
      </w:pPr>
    </w:p>
    <w:p w14:paraId="27BC0DCB" w14:textId="77777777" w:rsidR="007B2607" w:rsidRPr="00416C68" w:rsidRDefault="007B2607" w:rsidP="007B2607">
      <w:pPr>
        <w:spacing w:after="160" w:line="259" w:lineRule="auto"/>
        <w:jc w:val="both"/>
      </w:pPr>
      <w:r>
        <w:t xml:space="preserve">Az R. 229–104. cikk – A kompenzációs projekteknek tiszteletben kell tartaniuk az átláthatóság elvét.</w:t>
      </w:r>
      <w:r>
        <w:t xml:space="preserve"> </w:t>
      </w:r>
      <w:r>
        <w:t xml:space="preserve">A kompenzációs projekt által hivatkozott módszertannak és a projekt leíró elemeinek, különösen az üvegházhatást okozó gázok kibocsátásának csökkentése tekintetében, nyilvánosan hozzáférhetőnek és könnyen hozzáférhetőnek kell lennie.”</w:t>
      </w:r>
    </w:p>
    <w:p w14:paraId="7469FDC2" w14:textId="77777777" w:rsidR="007B2607" w:rsidRDefault="007B2607" w:rsidP="00FB6E53">
      <w:pPr>
        <w:pStyle w:val="SNArticle"/>
        <w:rPr>
          <w:bCs/>
        </w:rPr>
      </w:pPr>
    </w:p>
    <w:p w14:paraId="2138F397" w14:textId="77777777" w:rsidR="00FB6E53" w:rsidRDefault="00FB6E53" w:rsidP="00FB6E53">
      <w:pPr>
        <w:pStyle w:val="SNArticle"/>
        <w:rPr>
          <w:bCs/>
        </w:rPr>
      </w:pPr>
      <w:r>
        <w:t xml:space="preserve">2. cikk</w:t>
      </w:r>
    </w:p>
    <w:p w14:paraId="20E5A1ED" w14:textId="77777777" w:rsidR="002C342A" w:rsidRDefault="002C342A" w:rsidP="002C342A">
      <w:pPr>
        <w:pStyle w:val="BodyText"/>
      </w:pPr>
      <w:r>
        <w:t xml:space="preserve">A környezetvédelmi törvénykönyv II. könyve II. címének IX. fejezetét a következő 9. szakasz egészíti ki:</w:t>
      </w:r>
    </w:p>
    <w:p w14:paraId="2481D22C" w14:textId="77777777" w:rsidR="002C342A" w:rsidRPr="00163F8A" w:rsidRDefault="002C342A" w:rsidP="002C342A">
      <w:pPr>
        <w:pStyle w:val="BodyText"/>
        <w:jc w:val="center"/>
        <w:rPr>
          <w:i/>
        </w:rPr>
      </w:pPr>
      <w:r>
        <w:rPr>
          <w:i/>
        </w:rPr>
        <w:t xml:space="preserve">„9. §</w:t>
      </w:r>
    </w:p>
    <w:p w14:paraId="2368A9FE" w14:textId="77777777" w:rsidR="002C342A" w:rsidRPr="00163F8A" w:rsidRDefault="002C342A" w:rsidP="002C342A">
      <w:pPr>
        <w:pStyle w:val="BodyText"/>
        <w:jc w:val="center"/>
        <w:rPr>
          <w:i/>
        </w:rPr>
      </w:pPr>
      <w:r>
        <w:rPr>
          <w:i/>
        </w:rPr>
        <w:t xml:space="preserve">„Környezetre vonatkozó kijelentések”</w:t>
      </w:r>
    </w:p>
    <w:p w14:paraId="014E3E1C" w14:textId="77777777" w:rsidR="002C342A" w:rsidRPr="007B2607" w:rsidRDefault="002C342A" w:rsidP="00FB6E53">
      <w:pPr>
        <w:pStyle w:val="BodyText"/>
        <w:spacing w:after="0"/>
        <w:rPr>
          <w:bCs/>
        </w:rPr>
      </w:pPr>
      <w:r>
        <w:t xml:space="preserve">D. 229–105. cikk -– Annak a hirdetőnek, aki a reklámban azt állítja, hogy egy termék vagy szolgáltatás szén-dioxid-semleges, vagy ezzel egyenértékű értelmű vagy terjedelmű megfogalmazást használ, meg kell felelnie e szakasz rendelkezéseinek.</w:t>
      </w:r>
    </w:p>
    <w:p w14:paraId="31B15A91" w14:textId="77777777" w:rsidR="00EC0B91" w:rsidRPr="007B2607" w:rsidRDefault="00EC0B91" w:rsidP="00FB6E53">
      <w:pPr>
        <w:pStyle w:val="BodyText"/>
        <w:spacing w:after="0"/>
        <w:rPr>
          <w:bCs/>
        </w:rPr>
      </w:pPr>
    </w:p>
    <w:p w14:paraId="7BEC2E76" w14:textId="77777777" w:rsidR="00EC0B91" w:rsidRPr="007B2607" w:rsidRDefault="008C2EFB" w:rsidP="00FB6E53">
      <w:pPr>
        <w:pStyle w:val="BodyText"/>
        <w:spacing w:after="0"/>
        <w:rPr>
          <w:bCs/>
        </w:rPr>
      </w:pPr>
      <w:r>
        <w:t xml:space="preserve">Ez a szakasz a magánszemélyeknek szóló reklámokra, a nyilvánosság számára terjesztett reklámnyomtatványokra, a reklámplakátokra, a sajtókiadványokban megjelenő hirdetésekre, a mozikban sugárzott hirdetésekre, a televíziós vagy műsorszóró szolgálatok által kiadott hirdetésekre, valamint a nyilvánosság számára online kommunikációs szolgáltatások révén kibocsátott reklámokra, valamint az áruk csomagolásán elhelyezett állításokra vonatkozik.</w:t>
      </w:r>
    </w:p>
    <w:p w14:paraId="2EBF5CA4" w14:textId="77777777" w:rsidR="002C342A" w:rsidRPr="007B2607" w:rsidRDefault="002C342A" w:rsidP="00FB6E53">
      <w:pPr>
        <w:pStyle w:val="BodyText"/>
        <w:spacing w:after="0"/>
        <w:rPr>
          <w:bCs/>
        </w:rPr>
      </w:pPr>
    </w:p>
    <w:p w14:paraId="7E51D3DE" w14:textId="77777777" w:rsidR="00BB26CE" w:rsidRPr="007B2607" w:rsidRDefault="002C342A" w:rsidP="00FB6E53">
      <w:pPr>
        <w:pStyle w:val="BodyText"/>
        <w:spacing w:after="0"/>
        <w:rPr>
          <w:bCs/>
        </w:rPr>
      </w:pPr>
      <w:r>
        <w:t xml:space="preserve">D. 229–106. cikk – A D. 229–105. cikkben említett hirdető az érintett termék vagy szolgáltatás teljes életciklusára kiterjedő üvegházhatásúgáz-kibocsátási mérleget készít.</w:t>
      </w:r>
      <w:r>
        <w:t xml:space="preserve"> </w:t>
      </w:r>
      <w:r>
        <w:t xml:space="preserve">Ezt a mérleget évente frissíteni kell.</w:t>
      </w:r>
      <w:r>
        <w:t xml:space="preserve"> </w:t>
      </w:r>
    </w:p>
    <w:p w14:paraId="2439F91D" w14:textId="77777777" w:rsidR="00BB26CE" w:rsidRPr="007B2607" w:rsidRDefault="00BB26CE" w:rsidP="00FB6E53">
      <w:pPr>
        <w:pStyle w:val="BodyText"/>
        <w:spacing w:after="0"/>
        <w:rPr>
          <w:bCs/>
        </w:rPr>
      </w:pPr>
    </w:p>
    <w:p w14:paraId="5F16A4FA" w14:textId="77777777" w:rsidR="000911C8" w:rsidRPr="007B2607" w:rsidRDefault="008C2EFB" w:rsidP="00FB6E53">
      <w:pPr>
        <w:pStyle w:val="BodyText"/>
        <w:spacing w:after="0"/>
        <w:rPr>
          <w:bCs/>
        </w:rPr>
      </w:pPr>
      <w:r>
        <w:t xml:space="preserve">Ezt a mérleget az NF EN ISO 14067 szabvány követelményeinek vagy bármely más, a szabvány követelményeinek megfelelő szabványnak megfelelően kell elkészíteni.</w:t>
      </w:r>
      <w:r>
        <w:t xml:space="preserve"> </w:t>
      </w:r>
      <w:r>
        <w:t xml:space="preserve">A környezetvédelmi miniszter rendelete kiegészítheti ezeket a követelményeket annak érdekében, hogy a kibocsátási mérleg módszertana összhangba kerüljön az e törvénykönyv L. 541–9. cikkében előírt környezetvédelmi jelzéssel.</w:t>
      </w:r>
      <w:r>
        <w:t xml:space="preserve"> </w:t>
      </w:r>
    </w:p>
    <w:p w14:paraId="02C3E3B0" w14:textId="77777777" w:rsidR="000911C8" w:rsidRPr="007B2607" w:rsidRDefault="000911C8" w:rsidP="00FB6E53">
      <w:pPr>
        <w:pStyle w:val="BodyText"/>
        <w:spacing w:after="0"/>
        <w:rPr>
          <w:bCs/>
        </w:rPr>
      </w:pPr>
    </w:p>
    <w:p w14:paraId="30029AC0" w14:textId="77777777" w:rsidR="000911C8" w:rsidRDefault="000911C8" w:rsidP="00FB6E53">
      <w:pPr>
        <w:pStyle w:val="BodyText"/>
        <w:spacing w:after="0"/>
        <w:rPr>
          <w:bCs/>
        </w:rPr>
      </w:pPr>
      <w:r>
        <w:t xml:space="preserve">D. 229–107. cikk</w:t>
      </w:r>
      <w:r>
        <w:t xml:space="preserve"> </w:t>
      </w:r>
      <w:r>
        <w:t xml:space="preserve">– A D. 229–105. cikkben említett hirdető nyilvános online kommunikációs honlapján, vagy ennek hiányában mobilalkalmazásában összefoglaló jelentést tesz közzé, amelyben ismerteti a reklámozott termék vagy szolgáltatás szénlábnyomát, valamint azokat az eszközöket, amelyekkel ezeket az üvegházhatású gázok kibocsátását elsősorban elkerülik, majd csökkentik és végül kompenzálják.</w:t>
      </w:r>
      <w:r>
        <w:t xml:space="preserve"> </w:t>
      </w:r>
      <w:r>
        <w:t xml:space="preserve">Ez a jelentés három mellékletet tartalmaz, amelyek részletesen ismertetik annak tartalmát, és a következő sorrendben kerülnek bemutatásra:</w:t>
      </w:r>
    </w:p>
    <w:p w14:paraId="6EF779FD" w14:textId="77777777" w:rsidR="007B2607" w:rsidRPr="007B2607" w:rsidRDefault="007B2607" w:rsidP="00FB6E53">
      <w:pPr>
        <w:pStyle w:val="BodyText"/>
        <w:spacing w:after="0"/>
        <w:rPr>
          <w:bCs/>
        </w:rPr>
      </w:pPr>
    </w:p>
    <w:p w14:paraId="270FBF45" w14:textId="77777777" w:rsidR="000911C8" w:rsidRDefault="008C2EFB" w:rsidP="00FB6E53">
      <w:pPr>
        <w:pStyle w:val="BodyText"/>
        <w:spacing w:after="0"/>
        <w:rPr>
          <w:bCs/>
        </w:rPr>
      </w:pPr>
      <w:r>
        <w:t xml:space="preserve">(1) a D. 229–106. cikkben előírt mérleg eredményeit tartalmazó melléklet, valamint a mérleg elkészítéséhez használt módszertan összefoglalása.</w:t>
      </w:r>
      <w:r>
        <w:t xml:space="preserve"> </w:t>
      </w:r>
      <w:r>
        <w:t xml:space="preserve">Ebben az összefoglalóban meg kell határozni különösen az érintett termék vagy szolgáltatás meghatározásához használt alkalmazási kört, az alkalmazott funkcionális vagy bejelentett egységeket, a szóban forgó rendszer határait, az életciklus végi szakasz feldolgozásának módját, a hálózatból felhasznált villamos energia vagy gáz tekintetében figyelembe vett kibocsátási adatokat.</w:t>
      </w:r>
      <w:r>
        <w:t xml:space="preserve"> </w:t>
      </w:r>
      <w:r>
        <w:t xml:space="preserve">Meg kell határoznia azt az országo(ka)t vagy földrajzi terület(eke)t, ahol a nemzetközi közlekedésből származó kibocsátás és kibocsátás történik, amennyiben ilyen adatok rendelkezésre állnak;</w:t>
      </w:r>
    </w:p>
    <w:p w14:paraId="22298453" w14:textId="77777777" w:rsidR="007B2607" w:rsidRPr="007B2607" w:rsidRDefault="007B2607" w:rsidP="00FB6E53">
      <w:pPr>
        <w:pStyle w:val="BodyText"/>
        <w:spacing w:after="0"/>
        <w:rPr>
          <w:bCs/>
        </w:rPr>
      </w:pPr>
    </w:p>
    <w:p w14:paraId="2DC617DB" w14:textId="77777777" w:rsidR="000911C8" w:rsidRPr="007B2607" w:rsidRDefault="008C2EFB" w:rsidP="00FB6E53">
      <w:pPr>
        <w:pStyle w:val="BodyText"/>
        <w:spacing w:after="0"/>
        <w:rPr>
          <w:bCs/>
        </w:rPr>
      </w:pPr>
      <w:r>
        <w:t xml:space="preserve">(2) a meghirdetett termékhez vagy szolgáltatáshoz kapcsolódó üvegházhatású gázkibocsátás csökkentésére vonatkozó célpályát meghatározó melléklet, számszerűsített éves eredménycélokkal, a jelentés közzétételét követő legalább tíz évre kiterjedően;</w:t>
      </w:r>
    </w:p>
    <w:p w14:paraId="238DECC6" w14:textId="77777777" w:rsidR="006E7C91" w:rsidRPr="007B2607" w:rsidRDefault="008C2EFB" w:rsidP="00FB6E53">
      <w:pPr>
        <w:pStyle w:val="BodyText"/>
        <w:spacing w:after="0"/>
        <w:rPr>
          <w:bCs/>
        </w:rPr>
      </w:pPr>
      <w:r>
        <w:t xml:space="preserve">(3) a fennmaradó kibocsátások ellentételezésére vonatkozó eljárásokat részletező melléklet, amely meghatározza különösen a kompenzációs projektek jellegét és leírását.</w:t>
      </w:r>
      <w:r>
        <w:t xml:space="preserve"> </w:t>
      </w:r>
      <w:r>
        <w:t xml:space="preserve">Ez a melléklet önkéntesen is bemutathatja a költségekre vonatkozó információkat (összesen és tonnánkénti CO</w:t>
      </w:r>
      <w:r>
        <w:rPr>
          <w:vertAlign w:val="subscript"/>
        </w:rPr>
        <w:t xml:space="preserve">2</w:t>
      </w:r>
      <w:r>
        <w:t xml:space="preserve">).</w:t>
      </w:r>
      <w:r>
        <w:t xml:space="preserve"> </w:t>
      </w:r>
      <w:r>
        <w:t xml:space="preserve">Ez a melléklet bizonyítja, hogy az ezzel az ellentételezéssel elkerült vagy csökkentett kibocsátás mennyisége megfelel a reklám által értékesített és érintett valamennyi termék vagy szolgáltatás maradványkibocsátásának.</w:t>
      </w:r>
      <w:r>
        <w:t xml:space="preserve">  </w:t>
      </w:r>
      <w:r>
        <w:t xml:space="preserve">Ez a melléklet meghatározza azokat az eszközöket is, amelyeket a hirdető alkalmaz annak biztosítása érdekében, hogy ne számítsa kétszer az e projektek által lehetővé tett ellentételezést.</w:t>
      </w:r>
      <w:r>
        <w:t xml:space="preserve"> </w:t>
      </w:r>
      <w:r>
        <w:t xml:space="preserve">Meghatározza különösen azokat a módszereket, amelyekkel a kibocsátási egységek ellentételezése esetén a kibocsátáscsökkentést kivonják a piacról.</w:t>
      </w:r>
      <w:r>
        <w:t xml:space="preserve"> </w:t>
      </w:r>
      <w:r>
        <w:t xml:space="preserve">Végezetül ez a melléklet részletezi azokat az erőfeszítéseket, amelyek célja a projektek végrehajtásának helye és a kibocsátás helye közötti lehető legjobb koherencia biztosítása.</w:t>
      </w:r>
    </w:p>
    <w:p w14:paraId="16C134F5" w14:textId="77777777" w:rsidR="00E478EA" w:rsidRPr="007B2607" w:rsidRDefault="00E478EA" w:rsidP="00FB6E53">
      <w:pPr>
        <w:pStyle w:val="BodyText"/>
        <w:spacing w:after="0"/>
        <w:rPr>
          <w:bCs/>
        </w:rPr>
      </w:pPr>
    </w:p>
    <w:p w14:paraId="0D196A5B" w14:textId="77777777" w:rsidR="00865CE0" w:rsidRPr="007B2607" w:rsidRDefault="008C2EFB" w:rsidP="00FB6E53">
      <w:pPr>
        <w:pStyle w:val="BodyText"/>
        <w:spacing w:after="0"/>
        <w:rPr>
          <w:bCs/>
        </w:rPr>
      </w:pPr>
      <w:r>
        <w:t xml:space="preserve">Ezt a közzétételt a termék vagy szolgáltatás teljes értékesítési időszaka alatt évente aktualizálni kell.</w:t>
      </w:r>
      <w:r>
        <w:t xml:space="preserve"> </w:t>
      </w:r>
      <w:r>
        <w:t xml:space="preserve">A frissítés lehetővé teszi különösen a termékhez vagy szolgáltatáshoz kapcsolódó kibocsátások fent említett csökkentési pályához viszonyított alakulásának nyomon követését.</w:t>
      </w:r>
      <w:r>
        <w:t xml:space="preserve"> </w:t>
      </w:r>
      <w:r>
        <w:t xml:space="preserve">A hirdetőnek vissza kell vonnia a D. 229–105. cikkben említett igényt, ha úgy tűnik, hogy a termékhez vagy szolgáltatáshoz kapcsolódó egységkibocsátás az ellentételezést megelőzően két egymást követő évben nőtt.</w:t>
      </w:r>
      <w:r>
        <w:t xml:space="preserve"> </w:t>
      </w:r>
    </w:p>
    <w:p w14:paraId="2311E640" w14:textId="77777777" w:rsidR="00865CE0" w:rsidRPr="007B2607" w:rsidRDefault="00865CE0" w:rsidP="00FB6E53">
      <w:pPr>
        <w:pStyle w:val="BodyText"/>
        <w:spacing w:after="0"/>
        <w:rPr>
          <w:bCs/>
        </w:rPr>
      </w:pPr>
    </w:p>
    <w:p w14:paraId="00BAD9C7" w14:textId="77777777" w:rsidR="00E478EA" w:rsidRPr="007B2607" w:rsidRDefault="008C2EFB" w:rsidP="00FB6E53">
      <w:pPr>
        <w:pStyle w:val="BodyText"/>
        <w:spacing w:after="0"/>
        <w:rPr>
          <w:bCs/>
        </w:rPr>
      </w:pPr>
      <w:r>
        <w:t xml:space="preserve">Az e kiadványhoz való hozzáféréshez szükséges internetes hivatkozás vagy gyorsreagálási kód (QR-kód) a reklámon vagy a csomagoláson, a karbonsemlegesség állításával van feltüntetve.</w:t>
      </w:r>
      <w:r>
        <w:t xml:space="preserve"> </w:t>
      </w:r>
    </w:p>
    <w:p w14:paraId="1B41676F" w14:textId="77777777" w:rsidR="000911C8" w:rsidRPr="007B2607" w:rsidRDefault="000911C8" w:rsidP="00FB6E53">
      <w:pPr>
        <w:pStyle w:val="BodyText"/>
        <w:spacing w:after="0"/>
        <w:rPr>
          <w:bCs/>
        </w:rPr>
      </w:pPr>
    </w:p>
    <w:p w14:paraId="3729D362" w14:textId="77777777" w:rsidR="00BE3757" w:rsidRDefault="00CE28B0" w:rsidP="00BE3757">
      <w:pPr>
        <w:jc w:val="both"/>
      </w:pPr>
      <w:r>
        <w:t xml:space="preserve">D. 229–108. cikk</w:t>
      </w:r>
      <w:r>
        <w:t xml:space="preserve"> </w:t>
      </w:r>
      <w:r>
        <w:t xml:space="preserve">A D. 229–105. cikkben említett hirdető által használt kompenzációs projekteknek meg kell felelniük az R. 229–103. és az R. 229–104. cikkben foglalt feltételeknek.</w:t>
      </w:r>
    </w:p>
    <w:p w14:paraId="5A9F3592" w14:textId="77777777" w:rsidR="0061349E" w:rsidRPr="007B2607" w:rsidRDefault="0061349E" w:rsidP="00BE3757">
      <w:pPr>
        <w:jc w:val="both"/>
      </w:pPr>
    </w:p>
    <w:p w14:paraId="28D717D4" w14:textId="77777777" w:rsidR="0061349E" w:rsidRDefault="0061349E" w:rsidP="0061349E">
      <w:pPr>
        <w:pStyle w:val="BodyText"/>
        <w:spacing w:after="0"/>
      </w:pPr>
      <w:r>
        <w:t xml:space="preserve">A kompenzációs projektek nem lehetnek károsak a természetes ökoszisztémák és funkcióik megőrzésére és helyreállítására.</w:t>
      </w:r>
    </w:p>
    <w:p w14:paraId="5EB9E82C" w14:textId="77777777" w:rsidR="00640D83" w:rsidRPr="007B2607" w:rsidRDefault="00640D83" w:rsidP="00FB6E53">
      <w:pPr>
        <w:pStyle w:val="BodyText"/>
        <w:spacing w:after="0"/>
      </w:pPr>
    </w:p>
    <w:p w14:paraId="1D0CB6C1" w14:textId="77777777" w:rsidR="00640D83" w:rsidRPr="007B2607" w:rsidRDefault="008C2EFB" w:rsidP="00640D83">
      <w:pPr>
        <w:pStyle w:val="BodyText"/>
        <w:spacing w:after="0"/>
      </w:pPr>
      <w:r>
        <w:t xml:space="preserve">A Franciaországban felhasznált termékekhez és szolgáltatásokhoz kapcsolódó kibocsátásokat elsősorban Franciaország területén kell kompenzálni.</w:t>
      </w:r>
    </w:p>
    <w:p w14:paraId="0BCBCAA1" w14:textId="77777777" w:rsidR="00640D83" w:rsidRPr="007B2607" w:rsidRDefault="00640D83" w:rsidP="00640D83">
      <w:pPr>
        <w:pStyle w:val="BodyText"/>
        <w:spacing w:after="0"/>
      </w:pPr>
    </w:p>
    <w:p w14:paraId="24294507" w14:textId="77777777" w:rsidR="0061349E" w:rsidRDefault="0061349E" w:rsidP="00640D83">
      <w:pPr>
        <w:pStyle w:val="BodyText"/>
        <w:spacing w:after="0"/>
      </w:pPr>
    </w:p>
    <w:p w14:paraId="5E49DC68" w14:textId="77777777" w:rsidR="0061349E" w:rsidRDefault="0061349E" w:rsidP="00640D83">
      <w:pPr>
        <w:pStyle w:val="BodyText"/>
        <w:spacing w:after="0"/>
      </w:pPr>
      <w:r>
        <w:t xml:space="preserve">Az „alacsony szén-dioxid-kibocsátású” címke létrehozásáról szóló 2018–1043. (XI. 28.) Korm. rendeletben elismert kibocsátáscsökkentések megfelelnek az R. 229–103. cikknek.</w:t>
      </w:r>
    </w:p>
    <w:p w14:paraId="52996AD4" w14:textId="77777777" w:rsidR="0061349E" w:rsidRDefault="0061349E" w:rsidP="00640D83">
      <w:pPr>
        <w:pStyle w:val="BodyText"/>
        <w:spacing w:after="0"/>
      </w:pPr>
    </w:p>
    <w:p w14:paraId="62A43A2E" w14:textId="77777777" w:rsidR="00851850" w:rsidRPr="00851850" w:rsidRDefault="00851850" w:rsidP="00851850">
      <w:pPr>
        <w:pStyle w:val="BodyText"/>
        <w:rPr>
          <w:bCs/>
        </w:rPr>
      </w:pPr>
      <w:r>
        <w:t xml:space="preserve">R. 229-109. cikk</w:t>
      </w:r>
      <w:r>
        <w:t xml:space="preserve"> </w:t>
      </w:r>
      <w:r>
        <w:t xml:space="preserve">– Az L. 229–69. cikk értelmében a környezetvédelemért felelős miniszter az e cikkben meghatározott feltételek szerint szankcionálhatja az L. 229–68. cikkben előírt kötelezettségszegést.</w:t>
      </w:r>
    </w:p>
    <w:p w14:paraId="5158D784" w14:textId="77777777" w:rsidR="00851850" w:rsidRPr="00851850" w:rsidRDefault="00851850" w:rsidP="00851850">
      <w:pPr>
        <w:pStyle w:val="BodyText"/>
        <w:rPr>
          <w:bCs/>
        </w:rPr>
      </w:pPr>
      <w:r>
        <w:t xml:space="preserve">Az L. 229–68. cikkben foglalt kötelezettségek teljesítésének elmulasztását a környezetvédelmi miniszter által erre felhatalmazott tisztviselő állapítja meg.</w:t>
      </w:r>
    </w:p>
    <w:p w14:paraId="5850D6DE" w14:textId="77777777" w:rsidR="00851850" w:rsidRPr="00851850" w:rsidRDefault="00851850" w:rsidP="00851850">
      <w:pPr>
        <w:pStyle w:val="BodyText"/>
        <w:rPr>
          <w:bCs/>
        </w:rPr>
      </w:pPr>
      <w:r>
        <w:t xml:space="preserve">A környezetvédelmi miniszter, miután lehetőséget adott a hirdetőnek arra, hogy írásbeli észrevételeket tegyen a vele szemben felhozott kifogásokkal kapcsolatban, felszólíthatja arra, hogy a miniszter által meghatározott határidőn belül tegyen eleget e kötelezettségének.</w:t>
      </w:r>
      <w:r>
        <w:t xml:space="preserve"> </w:t>
      </w:r>
      <w:r>
        <w:t xml:space="preserve">A miniszter közzéteheti ezt a hirdetményt.</w:t>
      </w:r>
      <w:r>
        <w:t xml:space="preserve">  </w:t>
      </w:r>
    </w:p>
    <w:p w14:paraId="304FDC6A" w14:textId="77777777" w:rsidR="00851850" w:rsidRPr="007B2607" w:rsidRDefault="00851850" w:rsidP="00851850">
      <w:pPr>
        <w:pStyle w:val="BodyText"/>
        <w:spacing w:after="0"/>
        <w:rPr>
          <w:bCs/>
        </w:rPr>
      </w:pPr>
      <w:r>
        <w:t xml:space="preserve">Ha a hirdető a meghatározott határidőn belül nem tesz eleget a hirdetménynek, a környezetvédelmi miniszter kötelezheti a környezetvédelmi törvénykönyv L. 229–69. cikkében előírt bírság megfizetésére.</w:t>
      </w:r>
    </w:p>
    <w:p w14:paraId="02C79937" w14:textId="77777777" w:rsidR="00FB6E53" w:rsidRPr="00FB6E53" w:rsidRDefault="00FB6E53" w:rsidP="00FB6E53">
      <w:pPr>
        <w:pStyle w:val="BodyText"/>
      </w:pPr>
    </w:p>
    <w:p w14:paraId="3E4D8A21" w14:textId="77777777" w:rsidR="00FB6E53" w:rsidRDefault="00FB6E53" w:rsidP="00FB6E53">
      <w:pPr>
        <w:pStyle w:val="SNArticle"/>
        <w:rPr>
          <w:bCs/>
        </w:rPr>
      </w:pPr>
      <w:r>
        <w:t xml:space="preserve">3. cikk</w:t>
      </w:r>
    </w:p>
    <w:p w14:paraId="3FB8E1D7" w14:textId="77777777" w:rsidR="00851850" w:rsidRDefault="00851850" w:rsidP="00851850">
      <w:pPr>
        <w:pStyle w:val="SNArticle"/>
        <w:jc w:val="left"/>
        <w:rPr>
          <w:b w:val="0"/>
        </w:rPr>
      </w:pPr>
      <w:r>
        <w:rPr>
          <w:b w:val="0"/>
        </w:rPr>
        <w:t xml:space="preserve">A fent említett 1997. december 19-i rendelet 1. mellékletében az „Energia és éghajlat” cím a következőképpen módosul: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051"/>
        <w:gridCol w:w="2336"/>
      </w:tblGrid>
      <w:tr w:rsidR="00851850" w14:paraId="0AECA584" w14:textId="77777777" w:rsidTr="003C32DD">
        <w:tc>
          <w:tcPr>
            <w:tcW w:w="704" w:type="dxa"/>
          </w:tcPr>
          <w:p w14:paraId="32BCDB62" w14:textId="77777777" w:rsidR="00851850" w:rsidRPr="001D0716" w:rsidRDefault="00851850" w:rsidP="003C32DD">
            <w:pPr>
              <w:pStyle w:val="SNArticle"/>
              <w:jc w:val="left"/>
              <w:rPr>
                <w:b w:val="0"/>
              </w:rPr>
            </w:pPr>
            <w:r>
              <w:rPr>
                <w:b w:val="0"/>
              </w:rPr>
              <w:t xml:space="preserve">[64]</w:t>
            </w:r>
          </w:p>
        </w:tc>
        <w:tc>
          <w:tcPr>
            <w:tcW w:w="4253" w:type="dxa"/>
          </w:tcPr>
          <w:p w14:paraId="1239161F" w14:textId="77777777" w:rsidR="00851850" w:rsidRPr="001D0716" w:rsidRDefault="00851850" w:rsidP="003C32DD">
            <w:pPr>
              <w:pStyle w:val="SNArticle"/>
              <w:jc w:val="left"/>
              <w:rPr>
                <w:b w:val="0"/>
              </w:rPr>
            </w:pPr>
            <w:r>
              <w:rPr>
                <w:b w:val="0"/>
              </w:rPr>
              <w:t xml:space="preserve">A termék vagy szolgáltatás szén-dioxid-semlegességére vonatkozó reklámban szereplő állítással kapcsolatos hivatalos felszólítás és szankciók</w:t>
            </w:r>
          </w:p>
        </w:tc>
        <w:tc>
          <w:tcPr>
            <w:tcW w:w="2051" w:type="dxa"/>
          </w:tcPr>
          <w:p w14:paraId="33125CBC" w14:textId="77777777" w:rsidR="00851850" w:rsidRPr="00851850" w:rsidRDefault="00851850" w:rsidP="003C32DD">
            <w:pPr>
              <w:pStyle w:val="SNArticle"/>
              <w:jc w:val="left"/>
              <w:rPr>
                <w:b w:val="0"/>
              </w:rPr>
            </w:pPr>
            <w:r>
              <w:rPr>
                <w:b w:val="0"/>
              </w:rPr>
              <w:t xml:space="preserve">Környezetvédelmi szabályzat</w:t>
            </w:r>
          </w:p>
          <w:p w14:paraId="627C57FC" w14:textId="77777777" w:rsidR="00851850" w:rsidRPr="001D0716" w:rsidRDefault="00851850" w:rsidP="003C32DD">
            <w:pPr>
              <w:pStyle w:val="BodyText"/>
            </w:pPr>
            <w:r>
              <w:t xml:space="preserve">R. 229-109. cikk</w:t>
            </w:r>
          </w:p>
        </w:tc>
        <w:tc>
          <w:tcPr>
            <w:tcW w:w="2336" w:type="dxa"/>
          </w:tcPr>
          <w:p w14:paraId="57484785" w14:textId="77777777" w:rsidR="00851850" w:rsidRPr="001D0716" w:rsidRDefault="00851850" w:rsidP="003C32DD">
            <w:pPr>
              <w:pStyle w:val="SNArticle"/>
              <w:jc w:val="left"/>
              <w:rPr>
                <w:b w:val="0"/>
              </w:rPr>
            </w:pPr>
            <w:r>
              <w:rPr>
                <w:b w:val="0"/>
              </w:rPr>
              <w:t xml:space="preserve">Környezetvédelmi miniszter</w:t>
            </w:r>
          </w:p>
        </w:tc>
      </w:tr>
    </w:tbl>
    <w:p w14:paraId="33967785" w14:textId="77777777" w:rsidR="00851850" w:rsidRDefault="00851850" w:rsidP="00BE3757">
      <w:pPr>
        <w:pStyle w:val="BodyText"/>
      </w:pPr>
    </w:p>
    <w:p w14:paraId="2E73F67E" w14:textId="77777777" w:rsidR="00851850" w:rsidRDefault="00851850" w:rsidP="00BE3757">
      <w:pPr>
        <w:pStyle w:val="BodyText"/>
      </w:pPr>
    </w:p>
    <w:p w14:paraId="31C41D0F" w14:textId="77777777" w:rsidR="00851850" w:rsidRPr="00851850" w:rsidRDefault="00851850" w:rsidP="00851850">
      <w:pPr>
        <w:pStyle w:val="SNArticle"/>
        <w:rPr>
          <w:bCs/>
        </w:rPr>
      </w:pPr>
      <w:r>
        <w:t xml:space="preserve">4. cikk</w:t>
      </w:r>
    </w:p>
    <w:p w14:paraId="4B9BA7C2" w14:textId="77777777" w:rsidR="0061349E" w:rsidRDefault="00851850" w:rsidP="00BE3757">
      <w:pPr>
        <w:pStyle w:val="BodyText"/>
      </w:pPr>
      <w:r>
        <w:t xml:space="preserve">Ez a rendelet a kihirdetését követő napon lép hatályba, kivéve a 2023. január 1-jén hatályba lépő 2. és 3. cikket.</w:t>
      </w:r>
    </w:p>
    <w:p w14:paraId="2D7F991E" w14:textId="77777777" w:rsidR="0061349E" w:rsidRDefault="0061349E" w:rsidP="00BE3757">
      <w:pPr>
        <w:pStyle w:val="BodyText"/>
      </w:pPr>
    </w:p>
    <w:p w14:paraId="1321CCFF" w14:textId="77777777" w:rsidR="00064968" w:rsidRDefault="0061349E" w:rsidP="00BE3757">
      <w:pPr>
        <w:pStyle w:val="BodyText"/>
      </w:pPr>
      <w:r>
        <w:t xml:space="preserve">2025. december 31-ig a francia területen megvalósuló projektek finanszírozása egyenértékű a D. 229–107. cikk 3. pontjának rendelkezéseivel összhangban a hirdetőnek kiosztott kibocsátáscsökkentéssel, ha a hirdető szerződéssel igazolni tudja a projekt hitelesített kibocsátáscsökkentéséből származó előny esetleges elismerését.</w:t>
      </w:r>
      <w:r>
        <w:t xml:space="preserve"> </w:t>
      </w:r>
      <w:r>
        <w:t xml:space="preserve">A hirdető biztosítja kibocsátáskompenzációs kötelezettségeinek való megfelelést, adott esetben a projekt hitelesített kibocsátáscsökkentése és a finanszírozott kibocsátáscsökkentések közötti különbségnek megfelelő további szén-dioxid-kreditek beszerzésével.</w:t>
      </w:r>
    </w:p>
    <w:p w14:paraId="12C215DA" w14:textId="77777777" w:rsidR="00064968" w:rsidRDefault="00064968" w:rsidP="00BE3757">
      <w:pPr>
        <w:pStyle w:val="BodyText"/>
      </w:pPr>
    </w:p>
    <w:p w14:paraId="3ACCFD0D" w14:textId="77777777" w:rsidR="00064968" w:rsidRPr="00851850" w:rsidRDefault="00851850" w:rsidP="00851850">
      <w:pPr>
        <w:pStyle w:val="SNArticle"/>
        <w:rPr>
          <w:bCs/>
        </w:rPr>
      </w:pPr>
      <w:r>
        <w:t xml:space="preserve">5. cikk</w:t>
      </w:r>
    </w:p>
    <w:p w14:paraId="65149FAE" w14:textId="77777777" w:rsidR="00FB6E53" w:rsidRDefault="00FB6E53" w:rsidP="00FB6E53">
      <w:pPr>
        <w:pStyle w:val="BodyText"/>
      </w:pPr>
      <w:r>
        <w:t xml:space="preserve">E rendelet végrehajtásáért a francia ökológiai átállásért felelős miniszter felel, amelyet a Francia Köztársaság </w:t>
      </w:r>
      <w:r>
        <w:rPr>
          <w:i/>
          <w:iCs/>
        </w:rPr>
        <w:t xml:space="preserve">Hivatalos Lapjában</w:t>
      </w:r>
      <w:r>
        <w:t xml:space="preserve"> tesznek közzé.</w:t>
      </w:r>
    </w:p>
    <w:p w14:paraId="633ECCBF" w14:textId="77777777" w:rsidR="00FB6E53" w:rsidRDefault="00FB6E53" w:rsidP="00FB6E53">
      <w:pPr>
        <w:pStyle w:val="SNDate"/>
      </w:pPr>
      <w:r>
        <w:t xml:space="preserve">Kelt [ ]-án/-én.</w:t>
      </w:r>
    </w:p>
    <w:p w14:paraId="7B41A2DC" w14:textId="77777777" w:rsidR="00FB6E53" w:rsidRDefault="00FB6E53" w:rsidP="00FB6E53">
      <w:pPr>
        <w:ind w:left="567"/>
      </w:pPr>
      <w:r>
        <w:t xml:space="preserve">A miniszterelnök nevében:</w:t>
      </w:r>
    </w:p>
    <w:p w14:paraId="2011CC35" w14:textId="77777777" w:rsidR="00FB6E53" w:rsidRDefault="00FB6E53" w:rsidP="00FB6E53">
      <w:pPr>
        <w:pStyle w:val="SNSignatureGauche"/>
        <w:ind w:left="567" w:right="5669"/>
      </w:pPr>
      <w:r>
        <w:t xml:space="preserve">Az ökológiai átállásért felelős miniszter,</w:t>
      </w:r>
    </w:p>
    <w:p w14:paraId="65D3D183" w14:textId="77777777" w:rsidR="00FD3014" w:rsidRDefault="00FB6E53" w:rsidP="003E7D77">
      <w:pPr>
        <w:pStyle w:val="SNSignatureprnomnomGauche"/>
        <w:spacing w:after="240"/>
        <w:ind w:left="567" w:right="4535"/>
      </w:pPr>
      <w:r>
        <w:t xml:space="preserve">Barbara POMPILI</w:t>
      </w:r>
    </w:p>
    <w:sectPr w:rsidR="00FD3014" w:rsidSect="00FD3014">
      <w:pgSz w:w="11906" w:h="16838"/>
      <w:pgMar w:top="1134" w:right="1418" w:bottom="141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34AC9"/>
    <w:multiLevelType w:val="hybridMultilevel"/>
    <w:tmpl w:val="8348C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498F"/>
    <w:multiLevelType w:val="hybridMultilevel"/>
    <w:tmpl w:val="4C1076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710C2"/>
    <w:multiLevelType w:val="hybridMultilevel"/>
    <w:tmpl w:val="16CAB3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E53"/>
    <w:rsid w:val="00001B01"/>
    <w:rsid w:val="00020A46"/>
    <w:rsid w:val="00021079"/>
    <w:rsid w:val="00064968"/>
    <w:rsid w:val="0007470F"/>
    <w:rsid w:val="00076F37"/>
    <w:rsid w:val="00081C95"/>
    <w:rsid w:val="000911C8"/>
    <w:rsid w:val="000A1D6B"/>
    <w:rsid w:val="000D72B2"/>
    <w:rsid w:val="000F0B84"/>
    <w:rsid w:val="000F1712"/>
    <w:rsid w:val="000F4D8E"/>
    <w:rsid w:val="001202A5"/>
    <w:rsid w:val="001253C6"/>
    <w:rsid w:val="001360BB"/>
    <w:rsid w:val="00156FB4"/>
    <w:rsid w:val="00163F8A"/>
    <w:rsid w:val="0018653A"/>
    <w:rsid w:val="001C4F5C"/>
    <w:rsid w:val="001D31A0"/>
    <w:rsid w:val="001E3BBD"/>
    <w:rsid w:val="001F6CAF"/>
    <w:rsid w:val="002259E9"/>
    <w:rsid w:val="00227921"/>
    <w:rsid w:val="002808A7"/>
    <w:rsid w:val="002C342A"/>
    <w:rsid w:val="002D6CC2"/>
    <w:rsid w:val="00324CBF"/>
    <w:rsid w:val="0033279F"/>
    <w:rsid w:val="00336098"/>
    <w:rsid w:val="003600B7"/>
    <w:rsid w:val="0036429E"/>
    <w:rsid w:val="00373B40"/>
    <w:rsid w:val="00392934"/>
    <w:rsid w:val="003953A5"/>
    <w:rsid w:val="003D56F4"/>
    <w:rsid w:val="003E531C"/>
    <w:rsid w:val="003E7D77"/>
    <w:rsid w:val="00417F87"/>
    <w:rsid w:val="004248A4"/>
    <w:rsid w:val="004500CC"/>
    <w:rsid w:val="00451717"/>
    <w:rsid w:val="00452322"/>
    <w:rsid w:val="004B1160"/>
    <w:rsid w:val="004C6705"/>
    <w:rsid w:val="00501509"/>
    <w:rsid w:val="00512792"/>
    <w:rsid w:val="00520B5A"/>
    <w:rsid w:val="005B5D1A"/>
    <w:rsid w:val="00600E69"/>
    <w:rsid w:val="0061349E"/>
    <w:rsid w:val="00640BDF"/>
    <w:rsid w:val="00640D83"/>
    <w:rsid w:val="00643B83"/>
    <w:rsid w:val="006525C1"/>
    <w:rsid w:val="00685933"/>
    <w:rsid w:val="00693019"/>
    <w:rsid w:val="006C22BA"/>
    <w:rsid w:val="006E7C91"/>
    <w:rsid w:val="00702E13"/>
    <w:rsid w:val="007112FA"/>
    <w:rsid w:val="00791B47"/>
    <w:rsid w:val="007A3FFB"/>
    <w:rsid w:val="007B2607"/>
    <w:rsid w:val="007B3186"/>
    <w:rsid w:val="007B5E58"/>
    <w:rsid w:val="007C3419"/>
    <w:rsid w:val="007E19E0"/>
    <w:rsid w:val="008065A8"/>
    <w:rsid w:val="00822045"/>
    <w:rsid w:val="00831FD0"/>
    <w:rsid w:val="00851850"/>
    <w:rsid w:val="00865CE0"/>
    <w:rsid w:val="00884E8B"/>
    <w:rsid w:val="00890740"/>
    <w:rsid w:val="008A0170"/>
    <w:rsid w:val="008B57D4"/>
    <w:rsid w:val="008C2EFB"/>
    <w:rsid w:val="008D746C"/>
    <w:rsid w:val="008E30D0"/>
    <w:rsid w:val="00902234"/>
    <w:rsid w:val="00932796"/>
    <w:rsid w:val="0099494E"/>
    <w:rsid w:val="009A39A4"/>
    <w:rsid w:val="009C4BBD"/>
    <w:rsid w:val="009F1E9F"/>
    <w:rsid w:val="009F2DC3"/>
    <w:rsid w:val="00A26CD3"/>
    <w:rsid w:val="00A364CF"/>
    <w:rsid w:val="00A36FBB"/>
    <w:rsid w:val="00A51457"/>
    <w:rsid w:val="00A852F3"/>
    <w:rsid w:val="00A9018C"/>
    <w:rsid w:val="00AA1CBA"/>
    <w:rsid w:val="00AA35C5"/>
    <w:rsid w:val="00AC0DE4"/>
    <w:rsid w:val="00AC1942"/>
    <w:rsid w:val="00AC27E9"/>
    <w:rsid w:val="00AE0098"/>
    <w:rsid w:val="00B0118D"/>
    <w:rsid w:val="00B60325"/>
    <w:rsid w:val="00B73691"/>
    <w:rsid w:val="00B76A4A"/>
    <w:rsid w:val="00BB26CE"/>
    <w:rsid w:val="00BB66DF"/>
    <w:rsid w:val="00BE3757"/>
    <w:rsid w:val="00C26E13"/>
    <w:rsid w:val="00C35314"/>
    <w:rsid w:val="00C50902"/>
    <w:rsid w:val="00C8186B"/>
    <w:rsid w:val="00C85D8C"/>
    <w:rsid w:val="00CE28B0"/>
    <w:rsid w:val="00CF4307"/>
    <w:rsid w:val="00D066A6"/>
    <w:rsid w:val="00D35BD8"/>
    <w:rsid w:val="00D411B1"/>
    <w:rsid w:val="00D507C6"/>
    <w:rsid w:val="00DA728B"/>
    <w:rsid w:val="00DB0386"/>
    <w:rsid w:val="00DC6664"/>
    <w:rsid w:val="00E075D6"/>
    <w:rsid w:val="00E22AA3"/>
    <w:rsid w:val="00E23DDB"/>
    <w:rsid w:val="00E26347"/>
    <w:rsid w:val="00E3390A"/>
    <w:rsid w:val="00E478EA"/>
    <w:rsid w:val="00E47B26"/>
    <w:rsid w:val="00E971FC"/>
    <w:rsid w:val="00EC0B91"/>
    <w:rsid w:val="00F0638A"/>
    <w:rsid w:val="00F064E7"/>
    <w:rsid w:val="00F16F71"/>
    <w:rsid w:val="00F3475D"/>
    <w:rsid w:val="00F538E4"/>
    <w:rsid w:val="00F820F9"/>
    <w:rsid w:val="00F94097"/>
    <w:rsid w:val="00FA5F21"/>
    <w:rsid w:val="00FB3B22"/>
    <w:rsid w:val="00FB6E53"/>
    <w:rsid w:val="00FC0F7A"/>
    <w:rsid w:val="00FD3014"/>
    <w:rsid w:val="00FD78B7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44AC"/>
  <w15:docId w15:val="{26CE345B-8D68-4F83-B087-BD4010F0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qFormat/>
    <w:rsid w:val="00FB6E53"/>
    <w:rPr>
      <w:sz w:val="16"/>
      <w:szCs w:val="16"/>
    </w:rPr>
  </w:style>
  <w:style w:type="paragraph" w:styleId="BodyText">
    <w:name w:val="Body Text"/>
    <w:basedOn w:val="Normal"/>
    <w:link w:val="BodyTextChar"/>
    <w:rsid w:val="00FB6E53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FB6E5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NREPUBLIQUE">
    <w:name w:val="SNREPUBLIQUE"/>
    <w:basedOn w:val="Normal"/>
    <w:qFormat/>
    <w:rsid w:val="00FB6E53"/>
    <w:pPr>
      <w:jc w:val="center"/>
    </w:pPr>
    <w:rPr>
      <w:b/>
      <w:bCs/>
      <w:szCs w:val="20"/>
    </w:rPr>
  </w:style>
  <w:style w:type="paragraph" w:customStyle="1" w:styleId="SNNature">
    <w:name w:val="SNNature"/>
    <w:basedOn w:val="Normal"/>
    <w:next w:val="SNtitre"/>
    <w:qFormat/>
    <w:rsid w:val="00FB6E53"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qFormat/>
    <w:rsid w:val="00FB6E53"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qFormat/>
    <w:rsid w:val="00FB6E5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Cs/>
      <w:sz w:val="24"/>
      <w:szCs w:val="20"/>
      <w:lang w:eastAsia="zh-CN"/>
    </w:rPr>
  </w:style>
  <w:style w:type="paragraph" w:customStyle="1" w:styleId="SNAutorit">
    <w:name w:val="SNAutorité"/>
    <w:basedOn w:val="Normal"/>
    <w:qFormat/>
    <w:rsid w:val="00FB6E53"/>
    <w:pPr>
      <w:spacing w:before="720" w:after="240"/>
      <w:ind w:firstLine="720"/>
    </w:pPr>
    <w:rPr>
      <w:b/>
    </w:rPr>
  </w:style>
  <w:style w:type="paragraph" w:customStyle="1" w:styleId="SNSignatureprnomnomDroite">
    <w:name w:val="SNSignature prénom+nom Droite"/>
    <w:basedOn w:val="Normal"/>
    <w:next w:val="SNSignatureGauche"/>
    <w:qFormat/>
    <w:rsid w:val="00FB6E53"/>
    <w:pPr>
      <w:spacing w:before="120" w:after="120"/>
      <w:ind w:left="5041"/>
      <w:jc w:val="right"/>
    </w:pPr>
    <w:rPr>
      <w:color w:val="000000"/>
    </w:rPr>
  </w:style>
  <w:style w:type="paragraph" w:customStyle="1" w:styleId="SNSignatureGauche">
    <w:name w:val="SNSignatureGauche"/>
    <w:basedOn w:val="Normal"/>
    <w:next w:val="SNSignatureprnomnomGauche"/>
    <w:qFormat/>
    <w:rsid w:val="00FB6E53"/>
    <w:pPr>
      <w:spacing w:before="120" w:after="1680"/>
      <w:ind w:left="720" w:right="4494"/>
    </w:pPr>
  </w:style>
  <w:style w:type="paragraph" w:customStyle="1" w:styleId="SNSignatureprnomnomGauche">
    <w:name w:val="SNSignature prénom+nom Gauche"/>
    <w:basedOn w:val="SNSignatureGauche"/>
    <w:next w:val="Normal"/>
    <w:qFormat/>
    <w:rsid w:val="00FB6E53"/>
    <w:pPr>
      <w:spacing w:after="120"/>
    </w:pPr>
    <w:rPr>
      <w:color w:val="000000"/>
    </w:rPr>
  </w:style>
  <w:style w:type="paragraph" w:customStyle="1" w:styleId="SNTimbre">
    <w:name w:val="SNTimbre"/>
    <w:basedOn w:val="Normal"/>
    <w:qFormat/>
    <w:rsid w:val="00FB6E53"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qFormat/>
    <w:rsid w:val="00FB6E53"/>
    <w:pPr>
      <w:spacing w:before="240" w:after="120"/>
      <w:ind w:firstLine="720"/>
    </w:pPr>
  </w:style>
  <w:style w:type="paragraph" w:customStyle="1" w:styleId="SNVisa">
    <w:name w:val="SNVisa"/>
    <w:basedOn w:val="Normal"/>
    <w:qFormat/>
    <w:rsid w:val="00FB6E53"/>
    <w:pPr>
      <w:spacing w:before="120" w:after="120"/>
      <w:ind w:firstLine="720"/>
    </w:pPr>
  </w:style>
  <w:style w:type="paragraph" w:customStyle="1" w:styleId="SNDate">
    <w:name w:val="SNDate"/>
    <w:basedOn w:val="Normal"/>
    <w:next w:val="Normal"/>
    <w:qFormat/>
    <w:rsid w:val="00FB6E53"/>
    <w:pPr>
      <w:spacing w:before="480" w:after="2760"/>
      <w:ind w:firstLine="720"/>
    </w:pPr>
  </w:style>
  <w:style w:type="paragraph" w:customStyle="1" w:styleId="SNActe">
    <w:name w:val="SNActe"/>
    <w:basedOn w:val="Normal"/>
    <w:qFormat/>
    <w:rsid w:val="00FB6E53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BodyText"/>
    <w:qFormat/>
    <w:rsid w:val="00FB6E53"/>
    <w:pPr>
      <w:spacing w:before="240" w:after="240"/>
      <w:jc w:val="center"/>
    </w:pPr>
    <w:rPr>
      <w:b/>
    </w:rPr>
  </w:style>
  <w:style w:type="paragraph" w:styleId="CommentText">
    <w:name w:val="annotation text"/>
    <w:basedOn w:val="Normal"/>
    <w:link w:val="CommentTextChar"/>
    <w:uiPriority w:val="99"/>
    <w:qFormat/>
    <w:rsid w:val="00FB6E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FB6E5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FB6E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E53"/>
    <w:rPr>
      <w:rFonts w:ascii="Segoe UI" w:eastAsia="Times New Roman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FB6E5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E5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120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85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B3072-2097-4A35-92E6-3A32BF9B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DICANOT Anthony</dc:creator>
  <cp:lastModifiedBy>Dimitris Dimitriadis</cp:lastModifiedBy>
  <cp:revision>4</cp:revision>
  <dcterms:created xsi:type="dcterms:W3CDTF">2021-12-28T12:10:00Z</dcterms:created>
  <dcterms:modified xsi:type="dcterms:W3CDTF">2022-01-07T07:42:00Z</dcterms:modified>
</cp:coreProperties>
</file>