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8E6F2"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Vyhláška č. 2022-539 ze dne 13. dubna 2022 o kompenzování emisí uhlíku a tvrzeních o uhlíkové neutralitě v reklamě</w:t>
      </w:r>
    </w:p>
    <w:p w14:paraId="14B0A277"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JORF č. 0088 ze dne 14. dubna 2022</w:t>
      </w:r>
      <w:r>
        <w:rPr>
          <w:rFonts w:ascii="Times New Roman" w:hAnsi="Times New Roman"/>
          <w:sz w:val="24"/>
        </w:rPr>
        <w:br/>
        <w:t>Text č. 17</w:t>
      </w:r>
    </w:p>
    <w:p w14:paraId="57556CD2"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Cílová skupina: zadavatelé reklamy. </w:t>
      </w:r>
      <w:r>
        <w:rPr>
          <w:rFonts w:ascii="Times New Roman" w:hAnsi="Times New Roman"/>
          <w:sz w:val="24"/>
        </w:rPr>
        <w:br/>
        <w:t xml:space="preserve">Předmět: podrobná pravidla pro provádění sdělení zadavatelů reklamy ohledně označení uhlíkové neutrality na produktech a službách, stanovené v článku 12 zákona č. 2021-1104 ze dne 22. srpna 2021 o boji proti změně klimatu a posílení odolnosti vůči jejím dopadům. </w:t>
      </w:r>
      <w:r>
        <w:rPr>
          <w:rFonts w:ascii="Times New Roman" w:hAnsi="Times New Roman"/>
          <w:sz w:val="24"/>
        </w:rPr>
        <w:br/>
        <w:t xml:space="preserve">Vstup v platnost: znění vstupuje v platnost dne 1. ledna 2023. </w:t>
      </w:r>
      <w:r>
        <w:rPr>
          <w:rFonts w:ascii="Times New Roman" w:hAnsi="Times New Roman"/>
          <w:sz w:val="24"/>
        </w:rPr>
        <w:br/>
        <w:t xml:space="preserve">Poznámka: ve vyhlášce se stanoví podrobná pravidla pro sdělování údajů ze strany zadavatelů reklamy o uhlíkové neutralitě jejich výrobků nebo služeb. Rovněž se stanoví protinávrhy k těmto nárokům, aby byla zajištěna transparentnost vůči veřejnosti a aby se zabránilo jakémukoli riziku environmentálních dezinformací (tzv. greenwashingu). Vztahuje se na všechny reklamy vysílané po vstupu znění v platnost. </w:t>
      </w:r>
      <w:r>
        <w:rPr>
          <w:rFonts w:ascii="Times New Roman" w:hAnsi="Times New Roman"/>
          <w:sz w:val="24"/>
        </w:rPr>
        <w:br/>
        <w:t xml:space="preserve">Odkazy: zákoník životního prostředí upravený vyhláškou je k nahlédnutí ve znění vyplývajícím z této změny na internetových stránkách Légifrance (http://www.legifrance.gouv.fr). </w:t>
      </w:r>
    </w:p>
    <w:p w14:paraId="033C99F9"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Předseda vlády,</w:t>
      </w:r>
      <w:r>
        <w:rPr>
          <w:rFonts w:ascii="Times New Roman" w:hAnsi="Times New Roman"/>
          <w:sz w:val="24"/>
        </w:rPr>
        <w:br/>
        <w:t>na základě zprávy ministryně pro ekologickou transformaci,</w:t>
      </w:r>
      <w:r>
        <w:rPr>
          <w:rFonts w:ascii="Times New Roman" w:hAnsi="Times New Roman"/>
          <w:sz w:val="24"/>
        </w:rPr>
        <w:br/>
        <w:t>s ohledem na směrnici Evropského parlamentu a Rady (EU) 2015/1535 ze dne 9. září 2015 o postupu při poskytování informací v oblasti technických předpisů a předpisů pro služby informační společnosti, a zejména na oznámení č. 2021/904/F;</w:t>
      </w:r>
      <w:r>
        <w:rPr>
          <w:rFonts w:ascii="Times New Roman" w:hAnsi="Times New Roman"/>
          <w:sz w:val="24"/>
        </w:rPr>
        <w:br/>
        <w:t>s ohledem na zákoníku životního prostředí;</w:t>
      </w:r>
      <w:r>
        <w:rPr>
          <w:rFonts w:ascii="Times New Roman" w:hAnsi="Times New Roman"/>
          <w:sz w:val="24"/>
        </w:rPr>
        <w:br/>
        <w:t>s ohledem na zákon č. 2021-1104 ze dne 22. srpna 2021 o boji proti změně klimatu a posílení odolnosti vůči jejím dopadům, a zejména na články 12 a 147 tohoto zákoníku;</w:t>
      </w:r>
      <w:r>
        <w:rPr>
          <w:rFonts w:ascii="Times New Roman" w:hAnsi="Times New Roman"/>
          <w:sz w:val="24"/>
        </w:rPr>
        <w:br/>
        <w:t>s ohledem na výnos č. 97-1198 ze dne 19. prosince 1997, kterým se provádí čl. 2 odst. 1 výnosu č. 97-34 ze dne 15. ledna 1997 o dekoncentraci jednotlivých správních rozhodnutí na ministry odpovědné za ekologickou a sociální transformaci, územní soudržnost a vztahy s místními a regionálními orgány;</w:t>
      </w:r>
      <w:r>
        <w:rPr>
          <w:rFonts w:ascii="Times New Roman" w:hAnsi="Times New Roman"/>
          <w:sz w:val="24"/>
        </w:rPr>
        <w:br/>
        <w:t>s ohledem na výnos č. 2020-457 ze dne 21. dubna 2020 o vnitrostátních uhlíkových rozpočtech a vnitrostátní strategii pro nízkouhlíkové hospodářství;</w:t>
      </w:r>
      <w:r>
        <w:rPr>
          <w:rFonts w:ascii="Times New Roman" w:hAnsi="Times New Roman"/>
          <w:sz w:val="24"/>
        </w:rPr>
        <w:br/>
        <w:t>s ohledem na připomínky učiněné během veřejné konzultace mezi 20. lednem 2022 a 10. únorem 2022 podle článku L. 123-19-1 zákoníku životního prostředí;</w:t>
      </w:r>
      <w:r>
        <w:rPr>
          <w:rFonts w:ascii="Times New Roman" w:hAnsi="Times New Roman"/>
          <w:sz w:val="24"/>
        </w:rPr>
        <w:br/>
        <w:t>stanovuje:</w:t>
      </w:r>
    </w:p>
    <w:p w14:paraId="46EB853A" w14:textId="77777777" w:rsidR="002A3E9F" w:rsidRPr="002A3E9F" w:rsidRDefault="002A3E9F" w:rsidP="00F84946">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Článek 1</w:t>
      </w:r>
    </w:p>
    <w:p w14:paraId="5462DC83" w14:textId="77777777" w:rsidR="002A3E9F" w:rsidRPr="002A3E9F" w:rsidRDefault="002A3E9F" w:rsidP="00F84946">
      <w:pPr>
        <w:keepNext/>
        <w:spacing w:before="100" w:beforeAutospacing="1" w:after="100" w:afterAutospacing="1" w:line="240" w:lineRule="auto"/>
        <w:ind w:left="448"/>
        <w:rPr>
          <w:rFonts w:ascii="Times New Roman" w:eastAsia="Times New Roman" w:hAnsi="Times New Roman" w:cs="Times New Roman"/>
          <w:sz w:val="24"/>
          <w:szCs w:val="24"/>
        </w:rPr>
      </w:pPr>
      <w:r>
        <w:rPr>
          <w:rFonts w:ascii="Times New Roman" w:hAnsi="Times New Roman"/>
          <w:sz w:val="24"/>
        </w:rPr>
        <w:br/>
        <w:t>Kapitola IX hlavy II knihy II zákoníku životního prostředí se doplňuje o oddíl 9 takto:</w:t>
      </w:r>
    </w:p>
    <w:p w14:paraId="6FB26148"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bookmarkStart w:id="0" w:name="_Hlk110257211"/>
      <w:r>
        <w:rPr>
          <w:rFonts w:ascii="Times New Roman" w:hAnsi="Times New Roman"/>
          <w:sz w:val="24"/>
        </w:rPr>
        <w:t>„</w:t>
      </w:r>
      <w:bookmarkEnd w:id="0"/>
      <w:r>
        <w:rPr>
          <w:rFonts w:ascii="Times New Roman" w:hAnsi="Times New Roman"/>
          <w:sz w:val="24"/>
        </w:rPr>
        <w:t>Oddíl 9 „Environmentální tvrzení“</w:t>
      </w:r>
    </w:p>
    <w:p w14:paraId="294B033D" w14:textId="68E04DE9"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„Článek D. 229-106. - Zadavatel reklamy, který v reklamě tvrdí, že výrobek nebo služba jsou „uhlíkově neutrální“, „mají nulové emise uhlíku“, „s nulovou uhlíkovou stopou“, jsou „klimaticky neutrální“, nebo „plně kompenzovány“, „100% kompenzovány“ nebo používá jakékoli vyjádření rovnocenného významu nebo rozsahu, musí být v souladu s ustanoveními tohoto oddílu.</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Tento oddíl se vztahuje na reklamní korespondenci, reklamní tiskoviny, reklamní plakáty, reklamy v tiskových publikacích, reklamy v kinech, reklamy vysílané televizními nebo rozhlasovými vysílacími službami a prostřednictvím komunikačních služeb on-line, jakož i na tvrzení na obalu zboží.</w:t>
      </w:r>
    </w:p>
    <w:p w14:paraId="3DC80D35" w14:textId="55944298"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„Článek D. 229-107. - Zadavatel reklamy uvedený v článku D. 229-106 vypracuje rozvahu emisí skleníkových plynů pro dotčený výrobek nebo službu zahrnující celý jejich životní cyklus. Tato rozvaha je každoročně aktualizována.</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Tato rozvaha musí být vypracována v souladu s požadavky normy NF EN ISO 14067 nebo jakékoli jiné normy, která je rovnocenná požadavkům této normy. Nařízením ministra odpovědného za životní prostředí mohou být tyto požadavky doplněny s cílem uvést metodiku pro rozvahu emisí do souladu s metodikou environmentálního označování podle článku L. 541-9-11 tohoto zákoníku.</w:t>
      </w:r>
    </w:p>
    <w:p w14:paraId="3EAF801F" w14:textId="402A7341"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„Článek D. 229-108. - Zadavatel reklamy uvedený v článku D. 229-106 zveřejní na svých internetových stránkách veřejných komunikací online, nebo pokud to není možné, ve své mobilní aplikaci, souhrnnou zprávu popisující uhlíkovou stopu inzerovaného produktu nebo služby a prostředky, jimiž se těmto emisím skleníkových plynů především zabraňuje, poté jimiž se snižují a nakonec kterými se kompenzují. Tato zpráva obsahuje tři přílohy, které podrobně popisují její obsah a jsou předkládány v tomto pořadí:</w:t>
      </w:r>
      <w:r>
        <w:rPr>
          <w:rFonts w:ascii="Times New Roman" w:hAnsi="Times New Roman"/>
          <w:sz w:val="24"/>
        </w:rPr>
        <w:br/>
        <w:t>„(1) Příloha uvádějící výsledky rozvahy uvedené v článku D. 229-107 a shrnutí metodiky použité pro sestavení této rozvahy. V tomto shrnutí se uvedou zejména obsah působnosti použitý pro definici dotčeného výrobku nebo služby, použité funkční nebo deklarované jednotky, hranice dotčeného systému, způsob zpracování fáze konce životnosti, údaje o emisích zohledněné v případě spotřeby elektřiny nebo plynu ze sítí. Uvede zemi (země) nebo zeměpisnou oblast (oblasti), ve kterých dochází k emisím a k emisím z mezinárodní dopravy, a to v rozsahu, v jakém jsou tyto údaje k dispozici;</w:t>
      </w:r>
      <w:r>
        <w:rPr>
          <w:rFonts w:ascii="Times New Roman" w:hAnsi="Times New Roman"/>
          <w:sz w:val="24"/>
        </w:rPr>
        <w:br/>
        <w:t>„(2) Příloha, v níž se stanoví cílová trajektorie pro snižování emisí skleníkových plynů ve spojení s inzerovaným výrobkem nebo službou, s kvantifikovanými cíli ročního pokroku, pokrývající nejméně deset let od zveřejnění zprávy podle tohoto oddílu. Každých 5 let po zveřejnění první zprávy podle tohoto oddílu se stanoví aktualizovaná trajektorie pokrývající další období 10 let;</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 xml:space="preserve">(3) příloha, v níž jsou podrobně popsány postupy pro kompenzaci zbytkových emisí, uvádějící zejména povahu a popis kompenzačních projektů.  Tato příloha rovněž uvádí </w:t>
      </w:r>
      <w:r>
        <w:rPr>
          <w:rFonts w:ascii="Times New Roman" w:hAnsi="Times New Roman"/>
          <w:sz w:val="24"/>
        </w:rPr>
        <w:lastRenderedPageBreak/>
        <w:t>informace o jejich nákladech prostřednictvím jejich klasifikace podle následujících kategorií: méně než 10 EUR/t CO2, mezi 10 a 40 EUR/t CO2 nebo nad 40 EUR/t CO2. Tato příloha prokazuje, že objem emisí, které byly prostřednictvím této kompenzace sníženy nebo zachyceny, odpovídá zbytkovým emisím všech prodaných výrobků nebo služeb, kterých se reklama týká. Tato příloha rovněž upřesňuje prostředky realizované zadavatelem reklamy, aby se zajistilo, že nebude dvakrát započítávat kompenzaci, kterou tyto projekty umožňují. Stanoví zejména metody pro odstranění snížení a zachycení emisí z trhu při použití kompenzačních kreditů. Tato příloha rovněž podrobně popisuje úsilí vynaložené k zajištění co nejlepší soudržnosti mezi zeměpisnými oblastmi, v nichž se projekty uskutečňují, a v nichž dochází k emisím.</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Toto zveřejnění se každoročně aktualizuje po celou dobu uvádění produktu nebo služby na trh, během kterého zadavatel reklamy v reklamě tvrdí, že stejný produkt nebo služba je uhlíkově neutrální nebo používá jakékoli vyjádření rovnocenného významu nebo rozsahu. Aktualizace zejména umožňuje sledovat vývoj emisí spojených s výrobkem nebo službou ve srovnání s výše uvedeným postupem snižování. Zadavatel reklamy tudíž stáhne tvrzení uvedené v článku D. 229-106, pokud se ukáže, že jednotkové emise spojené s výrobkem nebo službou před kompenzací se za dobu dvou po sobě následujících let zvýšily.</w:t>
      </w:r>
      <w:r>
        <w:rPr>
          <w:rFonts w:ascii="Times New Roman" w:hAnsi="Times New Roman"/>
          <w:sz w:val="24"/>
        </w:rPr>
        <w:br/>
        <w:t xml:space="preserve">Odkaz na web nebo kód rychlé reakce pro přístup k této publikaci je uveden v reklamě nebo na obalu s tvrzením o uhlíkové neutralitě. </w:t>
      </w:r>
    </w:p>
    <w:p w14:paraId="6DD3053E" w14:textId="2E0277D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„Článek D. 229-109. - Snížení a zachycování emisí vyplývající z kompenzačních projektů používaných zadavatelem reklamy uvedeným v článku D. 229-106 musí být v souladu se zásadami stanovenými v článku L. 229-55 a jeho prováděcích textech.</w:t>
      </w:r>
      <w:r>
        <w:rPr>
          <w:rFonts w:ascii="Times New Roman" w:hAnsi="Times New Roman"/>
          <w:sz w:val="24"/>
        </w:rPr>
        <w:br/>
        <w:t xml:space="preserve">Kompenzační projekty nesmí být škodlivé pro zachování a obnovu přírodních ekosystémů a jejich funkcí. </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Má se za to, že snížení emisí uznaná podle výnosu č. 2018-1043 ze dne 28. listopadu 2018, kterým se zavádí štítek „Bas Carbone“ („nízkouhlíkový výrobek“), jsou v souladu se dvěma předchozími odstavci.</w:t>
      </w:r>
      <w:r>
        <w:rPr>
          <w:rFonts w:ascii="Times New Roman" w:hAnsi="Times New Roman"/>
          <w:sz w:val="24"/>
        </w:rPr>
        <w:br/>
      </w:r>
      <w:r w:rsidR="004805EE" w:rsidRPr="004805EE">
        <w:rPr>
          <w:rFonts w:ascii="Times New Roman" w:hAnsi="Times New Roman"/>
          <w:sz w:val="24"/>
        </w:rPr>
        <w:t>„</w:t>
      </w:r>
      <w:r>
        <w:rPr>
          <w:rFonts w:ascii="Times New Roman" w:hAnsi="Times New Roman"/>
          <w:sz w:val="24"/>
        </w:rPr>
        <w:t>Zadavatelé reklamy mohou připojit slova „kompenzace provedená ve Francii“ nebo jakoukoli zmínku rovnocenného významu nebo rozsahu, pouze pokud jsou všechny kompenzační projekty prováděny ve Francii.“</w:t>
      </w:r>
    </w:p>
    <w:p w14:paraId="537D0F83"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2</w:t>
      </w:r>
    </w:p>
    <w:p w14:paraId="7FC8F552"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Tato vyhláška vstupuje v platnost dne 1. ledna 2023.</w:t>
      </w:r>
      <w:r>
        <w:rPr>
          <w:rFonts w:ascii="Times New Roman" w:hAnsi="Times New Roman"/>
          <w:sz w:val="24"/>
        </w:rPr>
        <w:br/>
        <w:t>Do 31. prosince 2025 se financování projektů v členských státech Evropské unie rovná přídělu na snížení a zachycení emisí zadavateli reklamy v souladu s ustanoveními čl. D. 229-109, pokud zadavatel reklamy může smluvně odůvodnit případné uznání výhody zkontrolovaného a ověřeného snížení a zachycení emisí tohoto projektu. Zadavatel reklamy zajistí dodržování svých povinností týkajících se kompenzace emisí, případně získáním dodatečných uhlíkových kreditů odpovídajících rozdílu mezi zkontrolovaným a ověřeným snížením a zachycením emisí tohoto projektu a financovanými emisemi.</w:t>
      </w:r>
    </w:p>
    <w:p w14:paraId="5B7837BC" w14:textId="77777777" w:rsidR="002A3E9F" w:rsidRPr="002A3E9F" w:rsidRDefault="002A3E9F" w:rsidP="00F84946">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Článek 3</w:t>
      </w:r>
    </w:p>
    <w:p w14:paraId="2DFF0555"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provedení tohoto výnosu, který bude zveřejněn v Úředním věstníku Francouzské republiky, odpovídá francouzská ministryně pro ekologickou transformaci.</w:t>
      </w:r>
    </w:p>
    <w:p w14:paraId="2B7C6625"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13. dubna 2022.</w:t>
      </w:r>
    </w:p>
    <w:p w14:paraId="5E67723B"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za předsedu vlády:</w:t>
      </w:r>
    </w:p>
    <w:p w14:paraId="419624A4" w14:textId="591A84F0"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ministryně pro ekologickou transformaci,</w:t>
      </w:r>
      <w:r>
        <w:rPr>
          <w:rFonts w:ascii="Times New Roman" w:hAnsi="Times New Roman"/>
          <w:sz w:val="24"/>
        </w:rPr>
        <w:br/>
        <w:t xml:space="preserve">Barbara </w:t>
      </w:r>
      <w:r w:rsidR="00F84946">
        <w:rPr>
          <w:rFonts w:ascii="Times New Roman" w:hAnsi="Times New Roman"/>
          <w:sz w:val="24"/>
        </w:rPr>
        <w:t>Pompili</w:t>
      </w:r>
    </w:p>
    <w:p w14:paraId="38086DF0"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4805EE"/>
    <w:rsid w:val="00F849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E5F8"/>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1289</Words>
  <Characters>7350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2022-08-01T12:40:00Z</dcterms:created>
  <dcterms:modified xsi:type="dcterms:W3CDTF">2022-08-02T15:17:00Z</dcterms:modified>
</cp:coreProperties>
</file>