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3982" w:type="dxa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527"/>
        <w:gridCol w:w="968"/>
        <w:gridCol w:w="1487"/>
      </w:tblGrid>
      <w:tr w:rsidR="005F5078" w14:paraId="2EF49194" w14:textId="77777777">
        <w:trPr>
          <w:cantSplit/>
        </w:trPr>
        <w:tc>
          <w:tcPr>
            <w:tcW w:w="3982" w:type="dxa"/>
            <w:gridSpan w:val="3"/>
          </w:tcPr>
          <w:p w14:paraId="142A1F04" w14:textId="77777777" w:rsidR="005F5078" w:rsidRDefault="00731862">
            <w:pPr>
              <w:pStyle w:val="SNREPUBLIQUE"/>
              <w:widowControl w:val="0"/>
            </w:pPr>
            <w:r>
              <w:t xml:space="preserve">FRANCOUZSKÁ REPUBLIKA</w:t>
            </w:r>
          </w:p>
        </w:tc>
      </w:tr>
      <w:tr w:rsidR="005F5078" w14:paraId="327BF3FE" w14:textId="77777777">
        <w:trPr>
          <w:cantSplit/>
          <w:trHeight w:hRule="exact" w:val="113"/>
        </w:trPr>
        <w:tc>
          <w:tcPr>
            <w:tcW w:w="1527" w:type="dxa"/>
          </w:tcPr>
          <w:p w14:paraId="7781AC49" w14:textId="77777777" w:rsidR="005F5078" w:rsidRDefault="005F5078">
            <w:pPr>
              <w:widowControl w:val="0"/>
            </w:pPr>
          </w:p>
        </w:tc>
        <w:tc>
          <w:tcPr>
            <w:tcW w:w="968" w:type="dxa"/>
            <w:tcBorders>
              <w:bottom w:val="single" w:sz="2" w:space="0" w:color="000000"/>
            </w:tcBorders>
          </w:tcPr>
          <w:p w14:paraId="44BB5E56" w14:textId="77777777" w:rsidR="005F5078" w:rsidRDefault="005F5078">
            <w:pPr>
              <w:widowControl w:val="0"/>
            </w:pPr>
          </w:p>
        </w:tc>
        <w:tc>
          <w:tcPr>
            <w:tcW w:w="1487" w:type="dxa"/>
          </w:tcPr>
          <w:p w14:paraId="631EDFC8" w14:textId="77777777" w:rsidR="005F5078" w:rsidRDefault="005F5078">
            <w:pPr>
              <w:widowControl w:val="0"/>
            </w:pPr>
          </w:p>
        </w:tc>
      </w:tr>
      <w:tr w:rsidR="005F5078" w14:paraId="7C614A16" w14:textId="77777777">
        <w:trPr>
          <w:cantSplit/>
        </w:trPr>
        <w:tc>
          <w:tcPr>
            <w:tcW w:w="3982" w:type="dxa"/>
            <w:gridSpan w:val="3"/>
          </w:tcPr>
          <w:p w14:paraId="584C262C" w14:textId="77777777" w:rsidR="005F5078" w:rsidRDefault="00731862" w:rsidP="009154B2">
            <w:pPr>
              <w:pStyle w:val="SNTimbre"/>
            </w:pPr>
            <w:r>
              <w:t xml:space="preserve">Ministerstvo hospodářství, financí a průmyslové a digitální suverenity</w:t>
            </w:r>
          </w:p>
        </w:tc>
      </w:tr>
      <w:tr w:rsidR="005F5078" w14:paraId="72A0FA66" w14:textId="77777777">
        <w:trPr>
          <w:cantSplit/>
          <w:trHeight w:hRule="exact" w:val="227"/>
        </w:trPr>
        <w:tc>
          <w:tcPr>
            <w:tcW w:w="1527" w:type="dxa"/>
          </w:tcPr>
          <w:p w14:paraId="3B64219B" w14:textId="77777777" w:rsidR="005F5078" w:rsidRDefault="005F5078">
            <w:pPr>
              <w:widowControl w:val="0"/>
            </w:pPr>
          </w:p>
        </w:tc>
        <w:tc>
          <w:tcPr>
            <w:tcW w:w="968" w:type="dxa"/>
            <w:tcBorders>
              <w:bottom w:val="single" w:sz="2" w:space="0" w:color="000000"/>
            </w:tcBorders>
          </w:tcPr>
          <w:p w14:paraId="0B6A1BA4" w14:textId="77777777" w:rsidR="005F5078" w:rsidRDefault="005F5078">
            <w:pPr>
              <w:widowControl w:val="0"/>
            </w:pPr>
          </w:p>
        </w:tc>
        <w:tc>
          <w:tcPr>
            <w:tcW w:w="1487" w:type="dxa"/>
          </w:tcPr>
          <w:p w14:paraId="00B31E60" w14:textId="77777777" w:rsidR="005F5078" w:rsidRDefault="005F5078">
            <w:pPr>
              <w:widowControl w:val="0"/>
            </w:pPr>
          </w:p>
        </w:tc>
      </w:tr>
      <w:tr w:rsidR="005F5078" w14:paraId="4D905DBE" w14:textId="77777777">
        <w:trPr>
          <w:cantSplit/>
          <w:trHeight w:hRule="exact" w:val="227"/>
        </w:trPr>
        <w:tc>
          <w:tcPr>
            <w:tcW w:w="1527" w:type="dxa"/>
          </w:tcPr>
          <w:p w14:paraId="24B31DBC" w14:textId="77777777" w:rsidR="005F5078" w:rsidRDefault="005F5078">
            <w:pPr>
              <w:widowControl w:val="0"/>
            </w:pPr>
          </w:p>
        </w:tc>
        <w:tc>
          <w:tcPr>
            <w:tcW w:w="968" w:type="dxa"/>
          </w:tcPr>
          <w:p w14:paraId="06886BEC" w14:textId="77777777" w:rsidR="005F5078" w:rsidRDefault="005F5078">
            <w:pPr>
              <w:widowControl w:val="0"/>
            </w:pPr>
          </w:p>
        </w:tc>
        <w:tc>
          <w:tcPr>
            <w:tcW w:w="1487" w:type="dxa"/>
          </w:tcPr>
          <w:p w14:paraId="3AA1002C" w14:textId="77777777" w:rsidR="005F5078" w:rsidRDefault="005F5078">
            <w:pPr>
              <w:widowControl w:val="0"/>
            </w:pPr>
          </w:p>
        </w:tc>
      </w:tr>
    </w:tbl>
    <w:p w14:paraId="36691FFC" w14:textId="77777777" w:rsidR="005F5078" w:rsidRDefault="00731862">
      <w:pPr>
        <w:pStyle w:val="SNNature"/>
      </w:pPr>
      <w:r>
        <w:t xml:space="preserve">Nařízení č.                           ze dne,</w:t>
      </w:r>
    </w:p>
    <w:p w14:paraId="79FCD7D7" w14:textId="20F1CEA7" w:rsidR="005F5078" w:rsidRDefault="001C1031">
      <w:pPr>
        <w:pStyle w:val="SNtitre"/>
      </w:pPr>
      <w:r>
        <w:t xml:space="preserve">kterým se stanoví seznam výrobků, u nichž je z důvodů veřejného zdraví zakázán prodej bez obalu</w:t>
      </w:r>
    </w:p>
    <w:p w14:paraId="73F15661" w14:textId="77777777" w:rsidR="005F5078" w:rsidRDefault="00731862">
      <w:pPr>
        <w:pStyle w:val="SNNORCentr"/>
      </w:pPr>
      <w:r>
        <w:t xml:space="preserve">NOR:</w:t>
      </w:r>
      <w:r>
        <w:t xml:space="preserve"> </w:t>
      </w:r>
      <w:r>
        <w:t xml:space="preserve">[…]</w:t>
      </w:r>
    </w:p>
    <w:p w14:paraId="0C8BAA12" w14:textId="77777777" w:rsidR="005F5078" w:rsidRDefault="00731862">
      <w:pPr>
        <w:pStyle w:val="SNVisa"/>
        <w:jc w:val="both"/>
        <w:rPr>
          <w:i/>
        </w:rPr>
      </w:pPr>
      <w:r>
        <w:rPr>
          <w:b/>
          <w:i/>
        </w:rPr>
        <w:t xml:space="preserve">Dotčená veřejnost</w:t>
      </w:r>
      <w:r>
        <w:t xml:space="preserve">:</w:t>
      </w:r>
      <w:r>
        <w:t xml:space="preserve"> </w:t>
      </w:r>
      <w:r>
        <w:rPr>
          <w:i/>
        </w:rPr>
        <w:t xml:space="preserve">maloobchodní prodejny přístupné spotřebitelům, v nichž může docházet k prodeji zboží bez obalu, včetně prodeje na dálku a prodeje mimo provozovnu.</w:t>
      </w:r>
    </w:p>
    <w:p w14:paraId="65083E7E" w14:textId="77777777" w:rsidR="005F5078" w:rsidRDefault="00731862">
      <w:pPr>
        <w:pStyle w:val="SNVisa"/>
        <w:jc w:val="both"/>
        <w:rPr>
          <w:i/>
        </w:rPr>
      </w:pPr>
      <w:r>
        <w:rPr>
          <w:b/>
          <w:i/>
        </w:rPr>
        <w:t xml:space="preserve">Účel</w:t>
      </w:r>
      <w:r>
        <w:t xml:space="preserve">:</w:t>
      </w:r>
      <w:r>
        <w:t xml:space="preserve"> </w:t>
      </w:r>
      <w:r>
        <w:rPr>
          <w:i/>
        </w:rPr>
        <w:t xml:space="preserve">seznam výrobků, u nichž je za určitých podmínek povolen prodej bez obalu, nebo u nichž je z důvodů veřejného zdraví prodej bez obalu zakázán</w:t>
      </w:r>
    </w:p>
    <w:p w14:paraId="08524C55" w14:textId="77777777" w:rsidR="005F5078" w:rsidRDefault="00731862">
      <w:pPr>
        <w:pStyle w:val="SNVisa"/>
        <w:jc w:val="both"/>
      </w:pPr>
      <w:r>
        <w:rPr>
          <w:b/>
          <w:i/>
        </w:rPr>
        <w:t xml:space="preserve">Nabytí účinnosti</w:t>
      </w:r>
      <w:r>
        <w:t xml:space="preserve">:</w:t>
      </w:r>
      <w:r>
        <w:t xml:space="preserve"> </w:t>
      </w:r>
      <w:r>
        <w:rPr>
          <w:i/>
        </w:rPr>
        <w:t xml:space="preserve">nařízení nabývá účinnosti dnem</w:t>
      </w:r>
      <w:r>
        <w:t xml:space="preserve"> </w:t>
      </w:r>
    </w:p>
    <w:p w14:paraId="58470336" w14:textId="460E7DB9" w:rsidR="005F5078" w:rsidRDefault="00731862">
      <w:pPr>
        <w:pStyle w:val="SNVisa"/>
        <w:jc w:val="both"/>
        <w:rPr>
          <w:i/>
        </w:rPr>
      </w:pPr>
      <w:r>
        <w:rPr>
          <w:b/>
        </w:rPr>
        <w:t xml:space="preserve">Poznámka</w:t>
      </w:r>
      <w:r>
        <w:t xml:space="preserve">:</w:t>
      </w:r>
      <w:r>
        <w:t xml:space="preserve"> </w:t>
      </w:r>
      <w:r>
        <w:rPr>
          <w:i/>
        </w:rPr>
        <w:t xml:space="preserve">ve nařízení se stanoví za účelem vyjasnění předpisu a jeho srozumitelnosti několik definic.</w:t>
      </w:r>
      <w:r>
        <w:rPr>
          <w:i/>
        </w:rPr>
        <w:t xml:space="preserve"> </w:t>
      </w:r>
      <w:r>
        <w:rPr>
          <w:i/>
        </w:rPr>
        <w:t xml:space="preserve">Stanoví seznam výrobků, u nichž je prodej bez obalu povolen pouze za určitých podmínek, nebo u nichž je z bezpečnostních důvodů nebo z důvodů veřejného zdraví zakázán, s přihlédnutím k platným právním předpisům zakazujícím prodej bez obalu, k ustanovením práva Unie, zejména v oblasti hygieny, které znemožňují prodej zboží bez obalu, jakož i k doporučením Národní agentury pro bezpečnost potravin, životní prostředí a bezpečnost a ochranu zdraví při práci v jejím sdělení o vědecké a technické podpoře ze dne 15. listopadu 2021.</w:t>
      </w:r>
      <w:r>
        <w:rPr>
          <w:i/>
        </w:rPr>
        <w:t xml:space="preserve"> </w:t>
      </w:r>
    </w:p>
    <w:p w14:paraId="37532082" w14:textId="1AA39CF8" w:rsidR="005F5078" w:rsidRDefault="00731862">
      <w:pPr>
        <w:pStyle w:val="SNVisa"/>
        <w:jc w:val="both"/>
        <w:rPr>
          <w:i/>
        </w:rPr>
      </w:pPr>
      <w:r>
        <w:rPr>
          <w:i/>
        </w:rPr>
        <w:t xml:space="preserve">V neposlední řadě nařízení stanoví, že vyhláška ministra pověřeného spotřebitelskými záležitostmi a ministrů odpovědných za příslušná odvětví může v případě potřeby stanovit podmínky pro prodej bez obalu v případě některých výrobků, zejména z bezpečnostních důvodů.</w:t>
      </w:r>
      <w:r>
        <w:rPr>
          <w:i/>
        </w:rPr>
        <w:t xml:space="preserve">  </w:t>
      </w:r>
    </w:p>
    <w:p w14:paraId="0B12F8AA" w14:textId="77777777" w:rsidR="005F5078" w:rsidRDefault="00731862">
      <w:pPr>
        <w:pStyle w:val="SNVisa"/>
        <w:jc w:val="both"/>
      </w:pPr>
      <w:r>
        <w:rPr>
          <w:b/>
          <w:i/>
        </w:rPr>
        <w:t xml:space="preserve">Odkazy</w:t>
      </w:r>
      <w:r>
        <w:t xml:space="preserve">: spotřebitelský zákoník ve znění vyplývajícím z tohoto nařízení je k dispozici k nahlédnutí na internetových stránkách Légifrance (www.legifrance.gouv.fr).</w:t>
      </w:r>
    </w:p>
    <w:p w14:paraId="71DA58A3" w14:textId="77777777" w:rsidR="005F5078" w:rsidRDefault="009154B2">
      <w:pPr>
        <w:pStyle w:val="SNAutorit"/>
      </w:pPr>
      <w:r>
        <w:t xml:space="preserve">Předsedkyně vlády,</w:t>
      </w:r>
    </w:p>
    <w:p w14:paraId="60875EF9" w14:textId="77777777" w:rsidR="005F5078" w:rsidRDefault="00731862">
      <w:pPr>
        <w:pStyle w:val="SNRapport"/>
        <w:jc w:val="both"/>
      </w:pPr>
      <w:r>
        <w:t xml:space="preserve">na základě zprávy ministra hospodářství, financí a průmyslové a digitální suverenity,</w:t>
      </w:r>
    </w:p>
    <w:p w14:paraId="445356BD" w14:textId="77777777" w:rsidR="005F5078" w:rsidRDefault="00731862">
      <w:pPr>
        <w:pStyle w:val="SNVisa"/>
        <w:jc w:val="both"/>
      </w:pPr>
      <w:r>
        <w:t xml:space="preserve">s ohledem na nařízení Evropského parlamentu a Rady (ES) č. 1831/2003 ze dne 22. září 2003 o doplňkových látkách používaných ve výživě zvířat, v platném znění;</w:t>
      </w:r>
    </w:p>
    <w:p w14:paraId="4C337A29" w14:textId="77777777" w:rsidR="005F5078" w:rsidRDefault="00731862">
      <w:pPr>
        <w:pStyle w:val="SNVisa"/>
        <w:jc w:val="both"/>
      </w:pPr>
      <w:r>
        <w:t xml:space="preserve">s ohledem na nařízení Evropského parlamentu a Rady (ES) č. 648/2004 ze dne 31. března 2004 o detergentech;</w:t>
      </w:r>
    </w:p>
    <w:p w14:paraId="6DE24724" w14:textId="77777777" w:rsidR="005F5078" w:rsidRDefault="00731862">
      <w:pPr>
        <w:pStyle w:val="SNVisa"/>
        <w:jc w:val="both"/>
      </w:pPr>
      <w:r>
        <w:t xml:space="preserve">s ohledem na nařízení Evropského parlamentu a Rady (ES) č. 852/2004 ze dne 29. dubna 2004 o hygieně potravin, v platném znění;</w:t>
      </w:r>
    </w:p>
    <w:p w14:paraId="1CD01E86" w14:textId="77777777" w:rsidR="005F5078" w:rsidRDefault="00731862">
      <w:pPr>
        <w:pStyle w:val="SNVisa"/>
        <w:jc w:val="both"/>
      </w:pPr>
      <w:r>
        <w:t xml:space="preserve">s ohledem nařízení Evropského Parlamentu a Rady (ES) č. 853/2004 ze dne 29. dubna 2004, kterým se stanoví zvláštní hygienická pravidla pro potraviny živočišného původu, v platném znění;</w:t>
      </w:r>
    </w:p>
    <w:p w14:paraId="772FCAA0" w14:textId="77777777" w:rsidR="005F5078" w:rsidRDefault="00731862">
      <w:pPr>
        <w:pStyle w:val="SNVisa"/>
        <w:jc w:val="both"/>
      </w:pPr>
      <w:r>
        <w:t xml:space="preserve">s ohledem na nařízení Evropského parlamentu a Rady (ES) č. 1272/2008 ze dne 16. prosince 2008 o klasifikaci, označování a balení látek a směsí, o změně a zrušení směrnic 67/548/EHS a 1999/45/ES a o změně nařízení (ES) č. 1907/2006, v platném znění;</w:t>
      </w:r>
    </w:p>
    <w:p w14:paraId="7F7D550E" w14:textId="77777777" w:rsidR="005F5078" w:rsidRDefault="00731862">
      <w:pPr>
        <w:pStyle w:val="SNVisa"/>
        <w:jc w:val="both"/>
      </w:pPr>
      <w:r>
        <w:t xml:space="preserve">s ohledem na nařízení Evropského parlamentu a Rady (ES) č. 767/2009 ze dne 13. července 2009 o uvádění na trh a používání krmiv, o změně nařízení (ES) č. 1831/2003 a o zrušení směrnice Rady 79/373/EHS, směrnice Komise 80/511/EHS, směrnic Rady 82/471/EHS, 83/228/EHS, 93/74/EHS, 93/113/ES a 96/25/ES a rozhodnutí Komise 2004/217/ES, v platném znění;</w:t>
      </w:r>
    </w:p>
    <w:p w14:paraId="063500E3" w14:textId="77777777" w:rsidR="005F5078" w:rsidRDefault="00731862">
      <w:pPr>
        <w:pStyle w:val="SNVisa"/>
        <w:jc w:val="both"/>
      </w:pPr>
      <w:r>
        <w:t xml:space="preserve">s ohledem na nařízení Evropského parlamentu a Rady (ES) č. 1069/2009 ze dne 21. října 2009 o hygienických pravidlech pro vedlejší produkty živočišného původu a získané produkty, které nejsou určeny k lidské spotřebě, a o zrušení nařízení (ES) č. 1774/2002, v platném znění;</w:t>
      </w:r>
    </w:p>
    <w:p w14:paraId="3A6FAF40" w14:textId="77777777" w:rsidR="005F5078" w:rsidRDefault="00731862">
      <w:pPr>
        <w:pStyle w:val="SNVisa"/>
        <w:jc w:val="both"/>
      </w:pPr>
      <w:r>
        <w:t xml:space="preserve">s ohledem na nařízení Evropského parlamentu a Rady (ES) č. 1107/2009 ze dne 21. října 2009 o uvádění přípravků na ochranu rostlin na trh a o zrušení směrnic Rady 79/117/EHS a 91/414/EHS, v platném znění;</w:t>
      </w:r>
    </w:p>
    <w:p w14:paraId="69A2F939" w14:textId="77777777" w:rsidR="005F5078" w:rsidRDefault="00731862">
      <w:pPr>
        <w:pStyle w:val="SNVisa"/>
        <w:jc w:val="both"/>
      </w:pPr>
      <w:r>
        <w:t xml:space="preserve">s ohledem na nařízení Evropského parlamentu a Rady (ES) č. 1223/2009 o kosmetických přípravcích, v platném znění;</w:t>
      </w:r>
    </w:p>
    <w:p w14:paraId="2C3FEAC8" w14:textId="77777777" w:rsidR="005F5078" w:rsidRDefault="00731862">
      <w:pPr>
        <w:pStyle w:val="SNVisa"/>
        <w:jc w:val="both"/>
      </w:pPr>
      <w:r>
        <w:t xml:space="preserve">s ohledem na nařízení Komise (EU) č. 142/2011 ze dne 25. února 2011, kterým se provádí nařízení Evropského parlamentu a Rady (ES) č. 1069/2009 o hygienických pravidlech pro vedlejší produkty živočišného původu a získané produkty, které nejsou určeny k lidské spotřebě, a provádí směrnice Rady 97/78/ES, pokud jde o určité vzorky a předměty osvobozené od veterinárních kontrol na hranici podle uvedené směrnice, v platném znění;</w:t>
      </w:r>
    </w:p>
    <w:p w14:paraId="2B1EC3CA" w14:textId="77777777" w:rsidR="005F5078" w:rsidRDefault="00731862">
      <w:pPr>
        <w:pStyle w:val="SNVisa"/>
        <w:jc w:val="both"/>
      </w:pPr>
      <w:r>
        <w:t xml:space="preserve">s ohledem na nařízení Evropského parlamentu a Rady (EU) č. 528/2012 ze dne 22. května 2012 o dodávání biocidních přípravků na trh a jejich používání, v platném znění;</w:t>
      </w:r>
    </w:p>
    <w:p w14:paraId="5649DAA6" w14:textId="77777777" w:rsidR="005F5078" w:rsidRDefault="00731862">
      <w:pPr>
        <w:pStyle w:val="SNVisa"/>
        <w:jc w:val="both"/>
      </w:pPr>
      <w:r>
        <w:t xml:space="preserve">s ohledem na nařízení Evropského parlamentu a Rady (EU) č. 609/2013 ze dne 12. června 2013 o potravinách určených pro kojence a malé děti, potravinách pro zvláštní lékařské účely a náhradě celodenní stravy pro regulaci hmotnosti a o zrušení směrnice Rady 92/52/EHS, směrnic Komise 96/8/ES, 1999/21/ES, 2006/125/ES a 2006/141/ES, směrnice Evropského parlamentu a Rady 2009/39/ES a nařízení Komise (ES) č. 41/2009 a (ES) č. 953/2009, v platném znění;</w:t>
      </w:r>
    </w:p>
    <w:p w14:paraId="6A55E9F8" w14:textId="77777777" w:rsidR="005F5078" w:rsidRDefault="00731862">
      <w:pPr>
        <w:pStyle w:val="SNVisa"/>
        <w:jc w:val="both"/>
      </w:pPr>
      <w:r>
        <w:t xml:space="preserve">s ohledem na směrnici Evropského parlamentu a Rady (EU) 2015/1535 ze dne 9. září 2015 o postupu při poskytování informací v oblasti technických předpisů a předpisů pro služby informační společnosti, v platném znění, a zejména na oznámení č. </w:t>
      </w:r>
      <w:r>
        <w:rPr>
          <w:highlight w:val="yellow"/>
        </w:rPr>
        <w:t xml:space="preserve">………………..</w:t>
      </w:r>
      <w:r>
        <w:t xml:space="preserve"> </w:t>
      </w:r>
      <w:r>
        <w:t xml:space="preserve">;</w:t>
      </w:r>
    </w:p>
    <w:p w14:paraId="7CFDBCDC" w14:textId="77777777" w:rsidR="005F5078" w:rsidRDefault="00731862">
      <w:pPr>
        <w:pStyle w:val="SNVisa"/>
        <w:jc w:val="both"/>
      </w:pPr>
      <w:r>
        <w:t xml:space="preserve">s ohledem na spotřebitelský zákoník, a zejména na jeho článek L. 120-1, </w:t>
      </w:r>
      <w:r>
        <w:rPr>
          <w:i/>
        </w:rPr>
        <w:t xml:space="preserve">ve znění vyplývajícím z článku 41 zákona č. 020-105 ze dne 10. února 2020 o boji proti plýtvání a o oběhovém hospodářství;</w:t>
      </w:r>
    </w:p>
    <w:p w14:paraId="2D434819" w14:textId="77777777" w:rsidR="005F5078" w:rsidRDefault="00731862">
      <w:pPr>
        <w:pStyle w:val="SNVisa"/>
        <w:jc w:val="both"/>
      </w:pPr>
      <w:r>
        <w:t xml:space="preserve">s ohledem na zákoník životního prostředí, a zejména na jeho článek L. 557-6-1;</w:t>
      </w:r>
    </w:p>
    <w:p w14:paraId="0931AA72" w14:textId="77777777" w:rsidR="005F5078" w:rsidRDefault="00731862">
      <w:pPr>
        <w:ind w:left="708" w:firstLine="1"/>
        <w:jc w:val="both"/>
      </w:pPr>
      <w:r>
        <w:t xml:space="preserve">s ohledem na zákoník o zemědělství a mořském rybolovu, a zejména na jeho články L. 253-1 a R. 253-43;</w:t>
      </w:r>
    </w:p>
    <w:p w14:paraId="51649634" w14:textId="77777777" w:rsidR="005F5078" w:rsidRDefault="00731862">
      <w:pPr>
        <w:pStyle w:val="SNVisa"/>
        <w:jc w:val="both"/>
      </w:pPr>
      <w:r>
        <w:t xml:space="preserve">s ohledem na nařízení č. 64-949 ze dne 9. září 1964, kterým se provádí článek L. 214-1 spotřebitelského zákoníku v případě zmrazených výrobků;</w:t>
      </w:r>
    </w:p>
    <w:p w14:paraId="1AE32AF9" w14:textId="77777777" w:rsidR="005F5078" w:rsidRDefault="00731862">
      <w:pPr>
        <w:pStyle w:val="SNVisa"/>
        <w:jc w:val="both"/>
      </w:pPr>
      <w:r>
        <w:t xml:space="preserve">s ohledem na nařízení č. 91-827 ze dne 29. srpna 1991 o potravinách pro zvláštní výživu;</w:t>
      </w:r>
    </w:p>
    <w:p w14:paraId="17F46362" w14:textId="77777777" w:rsidR="005F5078" w:rsidRDefault="00731862">
      <w:pPr>
        <w:pStyle w:val="SNVisa"/>
        <w:jc w:val="both"/>
      </w:pPr>
      <w:r>
        <w:t xml:space="preserve">s ohledem na nařízení č. 2006-352 ze dne 20. března 2006 o doplňcích stravy;</w:t>
      </w:r>
    </w:p>
    <w:p w14:paraId="159560AD" w14:textId="77777777" w:rsidR="005F5078" w:rsidRDefault="00731862">
      <w:pPr>
        <w:pStyle w:val="SNVisa"/>
        <w:jc w:val="both"/>
      </w:pPr>
      <w:r>
        <w:t xml:space="preserve">s ohledem na sdělení o vědecké a technické podpoře Národní agentury pro bezpečnost potravin, životní prostředí a bezpečnost a ochranu zdraví při práci ze dne 15. listopadu 2021;</w:t>
      </w:r>
    </w:p>
    <w:p w14:paraId="1EAA778F" w14:textId="77777777" w:rsidR="005F5078" w:rsidRDefault="00731862">
      <w:pPr>
        <w:pStyle w:val="SNActe"/>
      </w:pPr>
      <w:r>
        <w:t xml:space="preserve">nařizuje:</w:t>
      </w:r>
    </w:p>
    <w:p w14:paraId="0CB970F5" w14:textId="77777777" w:rsidR="005F5078" w:rsidRDefault="00731862">
      <w:pPr>
        <w:pStyle w:val="SNArticle"/>
      </w:pPr>
      <w:r>
        <w:t xml:space="preserve">Článek 1</w:t>
      </w:r>
    </w:p>
    <w:p w14:paraId="412F2FD6" w14:textId="77777777" w:rsidR="005F5078" w:rsidRDefault="00731862">
      <w:pPr>
        <w:pStyle w:val="BodyText"/>
      </w:pPr>
      <w:r>
        <w:t xml:space="preserve">Před knihu 1 hlavu II kapitolu 1 spotřebitelského zákoníku se vkládá kapitola I A, která zní:</w:t>
      </w:r>
    </w:p>
    <w:p w14:paraId="4A4AED7F" w14:textId="77777777" w:rsidR="005F5078" w:rsidRDefault="00731862">
      <w:pPr>
        <w:pStyle w:val="BodyText"/>
        <w:jc w:val="center"/>
        <w:rPr>
          <w:i/>
        </w:rPr>
      </w:pPr>
      <w:r>
        <w:t xml:space="preserve">„</w:t>
      </w:r>
      <w:r>
        <w:rPr>
          <w:i/>
        </w:rPr>
        <w:t xml:space="preserve">Kapitola I A:</w:t>
      </w:r>
      <w:r>
        <w:rPr>
          <w:i/>
        </w:rPr>
        <w:t xml:space="preserve"> </w:t>
      </w:r>
      <w:r>
        <w:rPr>
          <w:i/>
        </w:rPr>
        <w:t xml:space="preserve">Podporované obchodní praktiky</w:t>
      </w:r>
    </w:p>
    <w:p w14:paraId="3786094A" w14:textId="77777777" w:rsidR="005F5078" w:rsidRDefault="00731862">
      <w:pPr>
        <w:pStyle w:val="BodyText"/>
        <w:jc w:val="center"/>
        <w:rPr>
          <w:i/>
        </w:rPr>
      </w:pPr>
      <w:r>
        <w:rPr>
          <w:i/>
        </w:rPr>
        <w:t xml:space="preserve">„Oddíl 1:</w:t>
      </w:r>
      <w:r>
        <w:rPr>
          <w:i/>
        </w:rPr>
        <w:t xml:space="preserve"> </w:t>
      </w:r>
      <w:r>
        <w:rPr>
          <w:i/>
        </w:rPr>
        <w:t xml:space="preserve">Prodej výrobků bez obalu</w:t>
      </w:r>
    </w:p>
    <w:p w14:paraId="2C1F21CB" w14:textId="77777777" w:rsidR="005F5078" w:rsidRDefault="00731862">
      <w:pPr>
        <w:pStyle w:val="BodyText"/>
        <w:jc w:val="center"/>
      </w:pPr>
      <w:r>
        <w:rPr>
          <w:i/>
        </w:rPr>
        <w:t xml:space="preserve">„Pododdíl 1:</w:t>
      </w:r>
      <w:r>
        <w:rPr>
          <w:i/>
        </w:rPr>
        <w:t xml:space="preserve"> </w:t>
      </w:r>
      <w:r>
        <w:rPr>
          <w:i/>
        </w:rPr>
        <w:t xml:space="preserve">Definice</w:t>
      </w:r>
    </w:p>
    <w:p w14:paraId="41602E48" w14:textId="77777777" w:rsidR="002E171A" w:rsidRDefault="002E171A" w:rsidP="002E171A">
      <w:pPr>
        <w:pStyle w:val="BodyText"/>
      </w:pPr>
      <w:r>
        <w:t xml:space="preserve">„</w:t>
      </w:r>
      <w:r>
        <w:rPr>
          <w:i/>
          <w:iCs/>
        </w:rPr>
        <w:t xml:space="preserve">Článek D. 120-1.</w:t>
      </w:r>
      <w:r>
        <w:t xml:space="preserve"> </w:t>
      </w:r>
      <w:r>
        <w:t xml:space="preserve">–</w:t>
      </w:r>
      <w:r>
        <w:t xml:space="preserve"> </w:t>
      </w:r>
      <w:r>
        <w:t xml:space="preserve">Výrobky pro běžné spotřeby ve smyslu článku L. 120-1 jsou spotřební zboží ve smyslu článku D. 441-1 obchodního zákoníku.</w:t>
      </w:r>
    </w:p>
    <w:p w14:paraId="21DC4937" w14:textId="34FA0AE2" w:rsidR="005F5078" w:rsidRDefault="00731862">
      <w:pPr>
        <w:pStyle w:val="BodyText"/>
      </w:pPr>
      <w:r>
        <w:t xml:space="preserve">„</w:t>
      </w:r>
      <w:r>
        <w:rPr>
          <w:i/>
          <w:iCs/>
        </w:rPr>
        <w:t xml:space="preserve">Článek D. 120-2.</w:t>
      </w:r>
      <w:r>
        <w:t xml:space="preserve"> </w:t>
      </w:r>
      <w:r>
        <w:t xml:space="preserve">–</w:t>
      </w:r>
      <w:r>
        <w:t xml:space="preserve"> </w:t>
      </w:r>
      <w:r>
        <w:t xml:space="preserve">Prodej s obsluhou ve smyslu článku L. 120-1 je způsob prodeje, při kterém je výrobek zabalen a jeho okamžité předán spotřebiteli pracovníkem v místě prodeje.</w:t>
      </w:r>
    </w:p>
    <w:p w14:paraId="1AF17A48" w14:textId="77777777" w:rsidR="005F5078" w:rsidRDefault="00731862">
      <w:pPr>
        <w:pStyle w:val="BodyText"/>
      </w:pPr>
      <w:r>
        <w:t xml:space="preserve">Pokud výrobek může představovat riziko pro spotřebitele, musí být při prodeji s obsluhou zajištěna dostatečná ochrana spotřebitelů před riziky specifickými pro daný výrobek.</w:t>
      </w:r>
      <w:r>
        <w:t xml:space="preserve"> </w:t>
      </w:r>
    </w:p>
    <w:p w14:paraId="3CECD195" w14:textId="7780506C" w:rsidR="005F5078" w:rsidRDefault="00731862">
      <w:pPr>
        <w:pStyle w:val="BodyText"/>
      </w:pPr>
      <w:r>
        <w:t xml:space="preserve"> </w:t>
      </w:r>
      <w:r>
        <w:t xml:space="preserve">„</w:t>
      </w:r>
      <w:r>
        <w:rPr>
          <w:i/>
          <w:iCs/>
        </w:rPr>
        <w:t xml:space="preserve">Článek D. 120-3.</w:t>
      </w:r>
      <w:r>
        <w:t xml:space="preserve"> </w:t>
      </w:r>
      <w:r>
        <w:t xml:space="preserve">–</w:t>
      </w:r>
      <w:r>
        <w:t xml:space="preserve"> </w:t>
      </w:r>
      <w:r>
        <w:t xml:space="preserve">Vhodné zařízení pro distribuci je zařízení, které s ohledem na vlastnosti výrobku umožňuje zachovat jeho integritu, zajistit jeho uchování, splnit zvláštní požadavky týkající se jeho bezpečnosti a vyhovět hygienickým a bezpečnostním požadavkům na prodejní místo.</w:t>
      </w:r>
    </w:p>
    <w:p w14:paraId="64310829" w14:textId="77777777" w:rsidR="005F5078" w:rsidRDefault="00731862">
      <w:pPr>
        <w:pStyle w:val="BodyText"/>
      </w:pPr>
      <w:r>
        <w:t xml:space="preserve">„Pokud výrobek může představovat riziko pro spotřebitele, musí vhodné zařízení pro distribuci zajistit dostatečnou ochranu spotřebitelů před riziky specifickými pro daný výrobek.</w:t>
      </w:r>
      <w:r>
        <w:t xml:space="preserve"> </w:t>
      </w:r>
    </w:p>
    <w:p w14:paraId="4812EE3A" w14:textId="109A34A6" w:rsidR="005F5078" w:rsidRDefault="00731862">
      <w:pPr>
        <w:pStyle w:val="BodyText"/>
      </w:pPr>
      <w:r>
        <w:t xml:space="preserve">„</w:t>
      </w:r>
      <w:r>
        <w:rPr>
          <w:i/>
          <w:iCs/>
        </w:rPr>
        <w:t xml:space="preserve">Článek D. 120-4.</w:t>
      </w:r>
      <w:r>
        <w:t xml:space="preserve"> </w:t>
      </w:r>
      <w:r>
        <w:t xml:space="preserve">–</w:t>
      </w:r>
      <w:r>
        <w:t xml:space="preserve"> </w:t>
      </w:r>
      <w:r>
        <w:t xml:space="preserve">Samoobslužný prodej potravin určených k odnesení s sebou a okamžité spotřebě se nepovažuje za způsob prodeje výrobků bez obalu ve smyslu článku L. 120-1.</w:t>
      </w:r>
      <w:r>
        <w:t xml:space="preserve">  </w:t>
      </w:r>
    </w:p>
    <w:p w14:paraId="1949FF0A" w14:textId="77777777" w:rsidR="005F5078" w:rsidRDefault="005F5078">
      <w:pPr>
        <w:pStyle w:val="BodyText"/>
      </w:pPr>
    </w:p>
    <w:p w14:paraId="46C9DF8D" w14:textId="77777777" w:rsidR="005F5078" w:rsidRDefault="00731862">
      <w:pPr>
        <w:pStyle w:val="BodyText"/>
        <w:jc w:val="center"/>
        <w:rPr>
          <w:i/>
        </w:rPr>
      </w:pPr>
      <w:r>
        <w:rPr>
          <w:i/>
        </w:rPr>
        <w:t xml:space="preserve">„Pododdíl 2:</w:t>
      </w:r>
      <w:r>
        <w:rPr>
          <w:i/>
        </w:rPr>
        <w:t xml:space="preserve"> </w:t>
      </w:r>
      <w:r>
        <w:rPr>
          <w:i/>
        </w:rPr>
        <w:t xml:space="preserve">Výrobky, které mohou být prodávány bez obalu pouze za určitých podmínek</w:t>
      </w:r>
      <w:r>
        <w:rPr>
          <w:i/>
        </w:rPr>
        <w:t xml:space="preserve"> </w:t>
      </w:r>
    </w:p>
    <w:p w14:paraId="4991F18C" w14:textId="77777777" w:rsidR="005F5078" w:rsidRDefault="005F5078">
      <w:pPr>
        <w:pStyle w:val="BodyText"/>
      </w:pPr>
    </w:p>
    <w:p w14:paraId="7EEC7314" w14:textId="06E29010" w:rsidR="005F5078" w:rsidRDefault="00731862">
      <w:pPr>
        <w:pStyle w:val="BodyText"/>
      </w:pPr>
      <w:r>
        <w:t xml:space="preserve">„</w:t>
      </w:r>
      <w:r>
        <w:rPr>
          <w:i/>
          <w:iCs/>
        </w:rPr>
        <w:t xml:space="preserve">Článek D. 120-5.</w:t>
      </w:r>
      <w:r>
        <w:t xml:space="preserve"> </w:t>
      </w:r>
      <w:r>
        <w:t xml:space="preserve">–</w:t>
      </w:r>
      <w:r>
        <w:t xml:space="preserve"> </w:t>
      </w:r>
      <w:r>
        <w:t xml:space="preserve">Ustanoveními tohoto pododdílu o povolení prodeje výrobků bez obalu za určitých podmínek není dotčeno použití zvláštních předpisů vztahujících se na výrobky, zejména těch, které vyžadují, aby obchodníci uvádějící tyto výrobky na trh dodržovali povinnosti v oblasti informování spotřebitelů o základních vlastnostech výrobků, opatřeních, která je třeba přijmout při jejich spotřebě nebo použití, o jejich nebezpečnosti a rizicích, která mohou způsobit.</w:t>
      </w:r>
    </w:p>
    <w:p w14:paraId="5007C3B2" w14:textId="77777777" w:rsidR="005F5078" w:rsidRDefault="00731862">
      <w:pPr>
        <w:pStyle w:val="BodyText"/>
      </w:pPr>
      <w:r>
        <w:t xml:space="preserve"> </w:t>
      </w:r>
    </w:p>
    <w:p w14:paraId="54EB6033" w14:textId="3CBD5B6D" w:rsidR="005F5078" w:rsidRDefault="00731862">
      <w:pPr>
        <w:pStyle w:val="BodyText"/>
      </w:pPr>
      <w:r>
        <w:t xml:space="preserve">„</w:t>
      </w:r>
      <w:r>
        <w:rPr>
          <w:i/>
          <w:iCs/>
        </w:rPr>
        <w:t xml:space="preserve">Článek D. 120-6.</w:t>
      </w:r>
      <w:r>
        <w:t xml:space="preserve"> </w:t>
      </w:r>
      <w:r>
        <w:t xml:space="preserve">–</w:t>
      </w:r>
      <w:r>
        <w:t xml:space="preserve">  </w:t>
      </w:r>
      <w:r>
        <w:t xml:space="preserve">I. Ustanovení tohoto článku se vztahují na tyto výrobky:</w:t>
      </w:r>
      <w:r>
        <w:t xml:space="preserve"> </w:t>
      </w:r>
    </w:p>
    <w:p w14:paraId="64D66AE1" w14:textId="77777777" w:rsidR="005F5078" w:rsidRDefault="00731862">
      <w:pPr>
        <w:pStyle w:val="BodyText"/>
      </w:pPr>
      <w:r>
        <w:t xml:space="preserve"> </w:t>
      </w:r>
      <w:r>
        <w:t xml:space="preserve">„1.</w:t>
      </w:r>
      <w:r>
        <w:t xml:space="preserve"> </w:t>
      </w:r>
      <w:r>
        <w:t xml:space="preserve">Materiály a předměty na jedno použití určené pro styk s potravinami, které nelze před použitím umýt;</w:t>
      </w:r>
    </w:p>
    <w:p w14:paraId="10CF183A" w14:textId="77777777" w:rsidR="005F5078" w:rsidRDefault="00731862">
      <w:pPr>
        <w:pStyle w:val="BodyText"/>
      </w:pPr>
      <w:r>
        <w:t xml:space="preserve">„2.</w:t>
      </w:r>
      <w:r>
        <w:t xml:space="preserve"> </w:t>
      </w:r>
      <w:r>
        <w:t xml:space="preserve">Dětské pleny na jedno použití a v rámci výrobků pro intimní hygienu na jedno použití: menstruační vložky;</w:t>
      </w:r>
      <w:r>
        <w:t xml:space="preserve"> </w:t>
      </w:r>
    </w:p>
    <w:p w14:paraId="73E11E6B" w14:textId="77777777" w:rsidR="005F5078" w:rsidRDefault="00731862">
      <w:pPr>
        <w:pStyle w:val="BodyText"/>
      </w:pPr>
      <w:r>
        <w:t xml:space="preserve">„3.</w:t>
      </w:r>
      <w:r>
        <w:t xml:space="preserve"> </w:t>
      </w:r>
      <w:r>
        <w:t xml:space="preserve">Toaletní papír, utěrky pro domácnost, papírové ubrousky, papírové kapesníky, hydrofilní vata a jiné výrobky z bavlny nebo jiných rostlinných vláken na jedno použití určené k čištění nebo otírání obličeje a těla, vatové tyčinky na jedno použití;</w:t>
      </w:r>
    </w:p>
    <w:p w14:paraId="1E58D54D" w14:textId="77777777" w:rsidR="005F5078" w:rsidRDefault="00731862">
      <w:pPr>
        <w:pStyle w:val="BodyText"/>
      </w:pPr>
      <w:r>
        <w:t xml:space="preserve">„4.</w:t>
      </w:r>
      <w:r>
        <w:t xml:space="preserve"> </w:t>
      </w:r>
      <w:r>
        <w:t xml:space="preserve">Potraviny podléhající rychlé zkáze, které mohou po krátké době představovat nebezpečí pro lidské zdraví;</w:t>
      </w:r>
    </w:p>
    <w:p w14:paraId="50FBAA23" w14:textId="4769457B" w:rsidR="005F5078" w:rsidRDefault="00731862">
      <w:pPr>
        <w:pStyle w:val="BodyText"/>
      </w:pPr>
      <w:r>
        <w:t xml:space="preserve">„5.</w:t>
      </w:r>
      <w:r>
        <w:t xml:space="preserve"> </w:t>
      </w:r>
      <w:r>
        <w:t xml:space="preserve">Potraviny neuvedené v čl. D. 120-7 bodě 8, které jsou při prodeji spotřebitelům uchovávány při teplotě –12 °C nebo nižší;</w:t>
      </w:r>
    </w:p>
    <w:p w14:paraId="61BADF46" w14:textId="77777777" w:rsidR="005F5078" w:rsidRDefault="00731862">
      <w:pPr>
        <w:pStyle w:val="BodyText"/>
      </w:pPr>
      <w:r>
        <w:t xml:space="preserve">„6.</w:t>
      </w:r>
      <w:r>
        <w:t xml:space="preserve"> </w:t>
      </w:r>
      <w:r>
        <w:t xml:space="preserve">Kosmetické přípravky, u nichž je podle prováděcího rozhodnutí Komise ze dne 25. listopadu 2013 o pokynech k příloze I nařízení Evropského parlamentu a Rady (ES) č. 1223/2009 o kosmetických přípravcích vyžadován zátěžový test konzervace a testy mikrobiologické kvality konečného přípravku;</w:t>
      </w:r>
    </w:p>
    <w:p w14:paraId="5914631C" w14:textId="77777777" w:rsidR="005F5078" w:rsidRDefault="00731862">
      <w:pPr>
        <w:pStyle w:val="BodyText"/>
      </w:pPr>
      <w:r>
        <w:t xml:space="preserve">„7.</w:t>
      </w:r>
      <w:r>
        <w:t xml:space="preserve"> </w:t>
      </w:r>
      <w:r>
        <w:t xml:space="preserve">Výrobky, které splňují tyto kumulativní podmínky:</w:t>
      </w:r>
    </w:p>
    <w:p w14:paraId="7E2B0B79" w14:textId="77777777" w:rsidR="005F5078" w:rsidRDefault="00731862">
      <w:pPr>
        <w:pStyle w:val="BodyText"/>
      </w:pPr>
      <w:r>
        <w:t xml:space="preserve">„a) jsou látky nebo směsi, na něž se vztahují ustanovení nařízení Evropského parlamentu a Rady (ES) č. 1272/2008 ze dne 16. prosince 2008 o klasifikaci, označování a balení látek a směsí a výrobky, na něž se vztahuje nařízení Evropského parlamentu a Rady (ES) č. 648/2004 ze dne 31. března 2004 o detergentech;</w:t>
      </w:r>
    </w:p>
    <w:p w14:paraId="54642D26" w14:textId="605866D9" w:rsidR="005F5078" w:rsidRDefault="00731862">
      <w:pPr>
        <w:pStyle w:val="BodyText"/>
      </w:pPr>
      <w:r>
        <w:t xml:space="preserve">„b) nespadají do žádné z kategorií výrobků uvedených v čl. D. 120-7 bodech 9 a 10.</w:t>
      </w:r>
      <w:r>
        <w:t xml:space="preserve"> </w:t>
      </w:r>
    </w:p>
    <w:p w14:paraId="2224DEF4" w14:textId="77777777" w:rsidR="005F5078" w:rsidRDefault="00731862">
      <w:pPr>
        <w:pStyle w:val="BodyText"/>
      </w:pPr>
      <w:r>
        <w:t xml:space="preserve">„II. Výrobky uvedené v odstavci I mohou být prodávány bez obalu pouze tehdy, jsou-li prodávány za následujících podmínek, s přihlédnutím ke specifickým rizikům spojeným s jejich vlastnostmi:</w:t>
      </w:r>
    </w:p>
    <w:p w14:paraId="7B89E970" w14:textId="77777777" w:rsidR="005F5078" w:rsidRDefault="00731862">
      <w:pPr>
        <w:pStyle w:val="BodyText"/>
      </w:pPr>
      <w:r>
        <w:t xml:space="preserve">„1.</w:t>
      </w:r>
      <w:r>
        <w:t xml:space="preserve"> </w:t>
      </w:r>
      <w:r>
        <w:t xml:space="preserve">buď v rámci prodeje s obsluhou;</w:t>
      </w:r>
    </w:p>
    <w:p w14:paraId="74CD73BB" w14:textId="77777777" w:rsidR="005F5078" w:rsidRDefault="00731862">
      <w:pPr>
        <w:pStyle w:val="BodyText"/>
      </w:pPr>
      <w:r>
        <w:t xml:space="preserve">„2.</w:t>
      </w:r>
      <w:r>
        <w:t xml:space="preserve"> </w:t>
      </w:r>
      <w:r>
        <w:t xml:space="preserve">nebo prostřednictvím zařízení pro distribuci vhodného pro samoobslužný prodej zboží bez obalu.</w:t>
      </w:r>
    </w:p>
    <w:p w14:paraId="08DDCB7E" w14:textId="77777777" w:rsidR="005F5078" w:rsidRDefault="005F5078">
      <w:pPr>
        <w:pStyle w:val="BodyText"/>
      </w:pPr>
    </w:p>
    <w:p w14:paraId="3FD44C4F" w14:textId="3A6E6CD2" w:rsidR="005F5078" w:rsidRDefault="00731862">
      <w:pPr>
        <w:pStyle w:val="BodyText"/>
        <w:jc w:val="center"/>
        <w:rPr>
          <w:i/>
        </w:rPr>
      </w:pPr>
      <w:r>
        <w:rPr>
          <w:i/>
        </w:rPr>
        <w:t xml:space="preserve">„Pododdíl 3:</w:t>
      </w:r>
      <w:r>
        <w:rPr>
          <w:i/>
        </w:rPr>
        <w:t xml:space="preserve"> </w:t>
      </w:r>
      <w:r>
        <w:rPr>
          <w:i/>
        </w:rPr>
        <w:t xml:space="preserve">Výrobky, u nichž je zakázán prodej bez obalu</w:t>
      </w:r>
    </w:p>
    <w:p w14:paraId="4E803AA1" w14:textId="77777777" w:rsidR="005F5078" w:rsidRDefault="005F5078">
      <w:pPr>
        <w:pStyle w:val="BodyText"/>
      </w:pPr>
    </w:p>
    <w:p w14:paraId="28561AB7" w14:textId="395193E6" w:rsidR="005F5078" w:rsidRDefault="00731862">
      <w:pPr>
        <w:pStyle w:val="BodyText"/>
      </w:pPr>
      <w:r>
        <w:t xml:space="preserve">„</w:t>
      </w:r>
      <w:r>
        <w:rPr>
          <w:i/>
          <w:iCs/>
        </w:rPr>
        <w:t xml:space="preserve">Článek D. 120-7.</w:t>
      </w:r>
      <w:r>
        <w:t xml:space="preserve"> </w:t>
      </w:r>
      <w:r>
        <w:t xml:space="preserve">–</w:t>
      </w:r>
      <w:r>
        <w:t xml:space="preserve"> </w:t>
      </w:r>
      <w:r>
        <w:t xml:space="preserve">V případě níže uvedených výrobků je zakázána jakákoli forma prodeje bez obalu:</w:t>
      </w:r>
      <w:r>
        <w:t xml:space="preserve">  </w:t>
      </w:r>
    </w:p>
    <w:p w14:paraId="0A4BAB5C" w14:textId="77777777" w:rsidR="005F5078" w:rsidRDefault="00731862">
      <w:pPr>
        <w:pStyle w:val="BodyText"/>
      </w:pPr>
      <w:r>
        <w:t xml:space="preserve">„1.</w:t>
      </w:r>
      <w:r>
        <w:t xml:space="preserve"> </w:t>
      </w:r>
      <w:r>
        <w:t xml:space="preserve">tepelně ošetřené tekuté mléčné výrobky v souladu s ustanoveními kapitoly III oddílu IX přílohy III nařízení Evropského Parlamentu a Rady (ES) č. 853/2004 ze dne 29. dubna 2004, kterým se stanoví zvláštní hygienická pravidla pro potraviny živočišného původu;</w:t>
      </w:r>
    </w:p>
    <w:p w14:paraId="13F9A9D6" w14:textId="09A3AFB5" w:rsidR="005F5078" w:rsidRDefault="00731862">
      <w:pPr>
        <w:pStyle w:val="BodyText"/>
      </w:pPr>
      <w:r>
        <w:t xml:space="preserve">„2.</w:t>
      </w:r>
      <w:r>
        <w:t xml:space="preserve"> </w:t>
      </w:r>
      <w:r>
        <w:t xml:space="preserve">syrové mléko, s výjimkou případů, kdy je dodáváno nebalené přímo konečnému spotřebiteli hospodářským subjektem provádějícím balení před spotřebitelem nebo prostřednictvím automatu na kapaliny v souladu s článkem 7 vyhlášky ze dne 13. července 2012 o podmínkách produkce a uvádění na trh v případě syrového mléka krav, malých přežvýkavců a domácích lichokopytníků dodávaného konečnému spotřebiteli bez zpracování;</w:t>
      </w:r>
    </w:p>
    <w:p w14:paraId="6BF5402B" w14:textId="77777777" w:rsidR="005F5078" w:rsidRDefault="00731862">
      <w:pPr>
        <w:pStyle w:val="BodyText"/>
      </w:pPr>
      <w:r>
        <w:t xml:space="preserve">„3.</w:t>
      </w:r>
      <w:r>
        <w:t xml:space="preserve"> </w:t>
      </w:r>
      <w:r>
        <w:t xml:space="preserve">počáteční a pokračovací kojenecká výživa, obilné příkrmy a potraviny pro malé děti, potraviny pro zvláštní lékařské účely, náhrada celodenní stravy pro regulaci hmotnosti podle článku 4 nařízení Evropského parlamentu a Rady (EU) č. 609/2013 ze dne 12. června 2013 o potravinách určených pro kojence a malé děti, potravinách pro zvláštní lékařské účely a náhradě celodenní stravy pro regulaci hmotnosti, jakož i potraviny pro zvláštní výživu podle ustanovení článku 6 nařízení č. 91-827 ze dne 29. srpna 1991 o potravinách pro zvláštní výživu;</w:t>
      </w:r>
    </w:p>
    <w:p w14:paraId="3AABB220" w14:textId="77777777" w:rsidR="005F5078" w:rsidRDefault="00731862">
      <w:pPr>
        <w:jc w:val="both"/>
      </w:pPr>
      <w:r>
        <w:t xml:space="preserve">„4.</w:t>
      </w:r>
      <w:r>
        <w:t xml:space="preserve"> </w:t>
      </w:r>
      <w:r>
        <w:t xml:space="preserve">krmné suroviny a krmné směsi, s výjimkou krmiv uvedených v čl. 23 odst. 2 nařízení Evropského parlamentu a Rady (ES) č. 767/2009 ze dne 13. července 2009 o uvádění na trh a používání krmiv, které jsou uváděny na trh za podmínek splňujících požadavky přílohy II nařízení (ES) č. 183/2005, kterým se stanoví požadavky na hygienu krmiv, a aniž je dotčen bod 5;</w:t>
      </w:r>
    </w:p>
    <w:p w14:paraId="67DD3CE1" w14:textId="77777777" w:rsidR="005F5078" w:rsidRDefault="00731862">
      <w:pPr>
        <w:pStyle w:val="BodyText"/>
      </w:pPr>
      <w:r>
        <w:t xml:space="preserve">„5.</w:t>
      </w:r>
      <w:r>
        <w:t xml:space="preserve"> </w:t>
      </w:r>
      <w:r>
        <w:t xml:space="preserve">syrové krmivo pro zvířata v zájmovém chovu podle definice v příloze I nařízení Komise (EU) č. 142/2011 ze dne 25. února 2011, kterým se provádí nařízení Evropského parlamentu a Rady (ES) č. 1069/2009 o hygienických pravidlech pro vedlejší produkty živočišného původu a získané produkty, které nejsou určeny k lidské spotřebě, a provádí směrnice Rady 97/78/ES, pokud jde o určité vzorky a předměty osvobozené od veterinárních kontrol na hranici podle uvedené směrnice, v souladu s ustanoveními bodu 1 kapitoly II přílohy XIII uvedeného nařízení, s výjimkou maloobchodních prodejen, kde k bourání a skladování dochází pouze za účelem přímého prodeje spotřebiteli na místě, v souladu s čl. 2 odst. 2 písm. i) nařízení Evropského parlamentu a Rady (ES) č. 1069/2009 ze dne 21. října 2009 o hygienických pravidlech pro vedlejší produkty živočišného původu a získané produkty, které nejsou určeny k lidské spotřebě, aniž je dotčen bod 4;</w:t>
      </w:r>
      <w:r>
        <w:t xml:space="preserve"> </w:t>
      </w:r>
    </w:p>
    <w:p w14:paraId="2D7579FA" w14:textId="77777777" w:rsidR="005F5078" w:rsidRDefault="00731862">
      <w:pPr>
        <w:pStyle w:val="BodyText"/>
      </w:pPr>
      <w:r>
        <w:t xml:space="preserve">„6.</w:t>
      </w:r>
      <w:r>
        <w:t xml:space="preserve"> </w:t>
      </w:r>
      <w:r>
        <w:t xml:space="preserve">doplňkové látky a premixy používané ve výživě zvířat podle ustanovení čl. 16 odst. 5 nařízení Evropského parlamentu a Rady (ES) č. 1831/2003 ze dne 22. září 2003 o doplňkových látkách používaných ve výživě zvířat;</w:t>
      </w:r>
    </w:p>
    <w:p w14:paraId="0ED5376D" w14:textId="77777777" w:rsidR="005F5078" w:rsidRDefault="00731862">
      <w:pPr>
        <w:pStyle w:val="BodyText"/>
      </w:pPr>
      <w:r>
        <w:t xml:space="preserve">„7.</w:t>
      </w:r>
      <w:r>
        <w:t xml:space="preserve"> </w:t>
      </w:r>
      <w:r>
        <w:t xml:space="preserve">doplňky stravy podle článku 1 nařízení č. 2006-352 ze dne 20. března 2006 o doplňcích stravy;</w:t>
      </w:r>
    </w:p>
    <w:p w14:paraId="24BC0EA4" w14:textId="77777777" w:rsidR="005F5078" w:rsidRDefault="00731862">
      <w:pPr>
        <w:pStyle w:val="BodyText"/>
      </w:pPr>
      <w:r>
        <w:t xml:space="preserve">„8.</w:t>
      </w:r>
      <w:r>
        <w:t xml:space="preserve"> </w:t>
      </w:r>
      <w:r>
        <w:t xml:space="preserve">mražené výrobky podle ustanovení článku 4 nařízení č. 64-949 ze dne 9. září 1964, kterým se provádí článek L. 214-1 spotřebitelského zákoníku v případě mražených výrobků;</w:t>
      </w:r>
    </w:p>
    <w:p w14:paraId="226B1961" w14:textId="146CE55B" w:rsidR="005F5078" w:rsidRDefault="00731862">
      <w:pPr>
        <w:pStyle w:val="BodyText"/>
      </w:pPr>
      <w:r>
        <w:t xml:space="preserve">„9.</w:t>
      </w:r>
      <w:r>
        <w:t xml:space="preserve"> </w:t>
      </w:r>
      <w:r>
        <w:t xml:space="preserve">biocidní přípravky, jak jsou definovány v článku 3 nařízení Evropského parlamentu a Rady (EU) č. 528/2012 ze dne 22. května 2012 o dodávání biocidních přípravků na trh a jejich používání, není-li jejich prodej bez obalu výslovně stanoven v povolení k uvedení na trh, jakož i biocidní přípravky, na něž se vztahují přechodná opatření stanovená v článku 89 nařízení (EU) č. 528/2012;</w:t>
      </w:r>
    </w:p>
    <w:p w14:paraId="01B95491" w14:textId="06AB1D9D" w:rsidR="005F5078" w:rsidRDefault="00731862">
      <w:pPr>
        <w:pStyle w:val="BodyText"/>
      </w:pPr>
      <w:r>
        <w:t xml:space="preserve">„10.</w:t>
      </w:r>
      <w:r>
        <w:t xml:space="preserve"> </w:t>
      </w:r>
      <w:r>
        <w:t xml:space="preserve">látky nebo směsi, jejichž obal je opatřen uzávěrem odolným proti otevření dětmi nebo hmatatelnou výstrahou před nebezpečím podle článku 35 nařízení (ES) č. 1272/2008, jakož i tekuté prací prostředky v rozpustném obalu pro jednorázové použití určené pro spotřebitele podle téhož článku;</w:t>
      </w:r>
    </w:p>
    <w:p w14:paraId="6AA68867" w14:textId="2F278FE3" w:rsidR="005F5078" w:rsidRDefault="002E171A">
      <w:pPr>
        <w:pStyle w:val="BodyText"/>
      </w:pPr>
      <w:r>
        <w:t xml:space="preserve"> </w:t>
      </w:r>
      <w:r>
        <w:t xml:space="preserve">„11.</w:t>
      </w:r>
      <w:r>
        <w:t xml:space="preserve"> </w:t>
      </w:r>
      <w:r>
        <w:t xml:space="preserve">elektrické články a akumulátory;</w:t>
      </w:r>
    </w:p>
    <w:p w14:paraId="5233166B" w14:textId="60635F85" w:rsidR="005F5078" w:rsidRDefault="002E171A">
      <w:pPr>
        <w:pStyle w:val="BodyText"/>
      </w:pPr>
      <w:r>
        <w:t xml:space="preserve"> </w:t>
      </w:r>
      <w:r>
        <w:t xml:space="preserve">„12.</w:t>
      </w:r>
      <w:r>
        <w:t xml:space="preserve"> </w:t>
      </w:r>
      <w:r>
        <w:t xml:space="preserve">v rámci výrobků pro intimní hygienu na jedno použití: tampony;</w:t>
      </w:r>
    </w:p>
    <w:p w14:paraId="0CEFEA4E" w14:textId="5F545DA9" w:rsidR="005F5078" w:rsidRDefault="00731862">
      <w:pPr>
        <w:pStyle w:val="BodyText"/>
      </w:pPr>
      <w:r>
        <w:t xml:space="preserve">„13.</w:t>
      </w:r>
      <w:r>
        <w:t xml:space="preserve"> </w:t>
      </w:r>
      <w:r>
        <w:t xml:space="preserve">každý výrobek, jehož prodej bez obalu je neslučitelný s povinnostmi v oblasti ochrany veřejného zdraví stanovenými nařízeními a směrnicemi přijatými podle Smlouvy o fungování Evropské unie.</w:t>
      </w:r>
    </w:p>
    <w:p w14:paraId="6AFC673C" w14:textId="77777777" w:rsidR="005F5078" w:rsidRDefault="005F5078">
      <w:pPr>
        <w:pStyle w:val="BodyText"/>
      </w:pPr>
    </w:p>
    <w:p w14:paraId="70114BC6" w14:textId="429A0F43" w:rsidR="005F5078" w:rsidRDefault="00731862">
      <w:pPr>
        <w:pStyle w:val="BodyText"/>
        <w:jc w:val="center"/>
        <w:rPr>
          <w:i/>
        </w:rPr>
      </w:pPr>
      <w:r>
        <w:rPr>
          <w:i/>
        </w:rPr>
        <w:t xml:space="preserve">„Pododdíl 4:</w:t>
      </w:r>
      <w:r>
        <w:rPr>
          <w:i/>
        </w:rPr>
        <w:t xml:space="preserve"> </w:t>
      </w:r>
      <w:r>
        <w:rPr>
          <w:i/>
        </w:rPr>
        <w:t xml:space="preserve">Zvláštní podmínky pro prodej bez obalu</w:t>
      </w:r>
    </w:p>
    <w:p w14:paraId="6294E92F" w14:textId="77777777" w:rsidR="005F5078" w:rsidRDefault="005F5078">
      <w:pPr>
        <w:pStyle w:val="BodyText"/>
        <w:jc w:val="center"/>
        <w:rPr>
          <w:b/>
        </w:rPr>
      </w:pPr>
    </w:p>
    <w:p w14:paraId="05C28C77" w14:textId="7C928E7E" w:rsidR="005F5078" w:rsidRDefault="00731862">
      <w:pPr>
        <w:pStyle w:val="BodyText"/>
      </w:pPr>
      <w:r>
        <w:t xml:space="preserve">„</w:t>
      </w:r>
      <w:r>
        <w:rPr>
          <w:i/>
          <w:iCs/>
        </w:rPr>
        <w:t xml:space="preserve">Článek D. 120-8.</w:t>
      </w:r>
      <w:r>
        <w:t xml:space="preserve"> </w:t>
      </w:r>
      <w:r>
        <w:t xml:space="preserve">–</w:t>
      </w:r>
      <w:r>
        <w:t xml:space="preserve">  </w:t>
      </w:r>
      <w:r>
        <w:t xml:space="preserve">Zvláštní podmínky, zejména pokud jde o bezpečnost, kterým podléhá prodej některých výrobků bez obalu, jsou v případě potřeby stanoveny společným nařízením ministra pověřeného spotřebitelskými záležitostmi a ministra odpovědného za dotčené výrobky.“</w:t>
      </w:r>
    </w:p>
    <w:p w14:paraId="13936349" w14:textId="77777777" w:rsidR="005F5078" w:rsidRDefault="00731862">
      <w:pPr>
        <w:pStyle w:val="SNArticle"/>
      </w:pPr>
      <w:r>
        <w:t xml:space="preserve">Článek 2</w:t>
      </w:r>
    </w:p>
    <w:p w14:paraId="1854A7E3" w14:textId="77777777" w:rsidR="005F5078" w:rsidRDefault="00731862">
      <w:pPr>
        <w:pStyle w:val="SNArticle"/>
        <w:jc w:val="left"/>
        <w:rPr>
          <w:b w:val="0"/>
        </w:rPr>
      </w:pPr>
      <w:r>
        <w:rPr>
          <w:b w:val="0"/>
        </w:rPr>
        <w:t xml:space="preserve">Toto nařízení nabývá účinnosti dnem xx. xx. 2022.</w:t>
      </w:r>
    </w:p>
    <w:p w14:paraId="02B96412" w14:textId="7C8C3B6D" w:rsidR="005F5078" w:rsidRDefault="00731862">
      <w:pPr>
        <w:pStyle w:val="SNArticle"/>
      </w:pPr>
      <w:r>
        <w:rPr>
          <w:b w:val="0"/>
        </w:rPr>
        <w:t xml:space="preserve"> </w:t>
      </w:r>
      <w:r>
        <w:t xml:space="preserve">Článek 3</w:t>
      </w:r>
    </w:p>
    <w:p w14:paraId="1D40A749" w14:textId="77777777" w:rsidR="005F5078" w:rsidRDefault="00731862">
      <w:pPr>
        <w:pStyle w:val="BodyText"/>
      </w:pPr>
      <w:r>
        <w:t xml:space="preserve">Ministři hospodářství, financí a průmyslové suverenity;</w:t>
      </w:r>
      <w:r>
        <w:t xml:space="preserve"> </w:t>
      </w:r>
      <w:r>
        <w:t xml:space="preserve">zemědělství a potravinové soběstačnosti;</w:t>
      </w:r>
      <w:r>
        <w:t xml:space="preserve"> </w:t>
      </w:r>
      <w:r>
        <w:t xml:space="preserve">ekologické transformace a územní soudržnosti;</w:t>
      </w:r>
      <w:r>
        <w:t xml:space="preserve"> </w:t>
      </w:r>
      <w:r>
        <w:t xml:space="preserve">a zdravotnictví a prevence odpovídají, každý v rámci své působnosti, za provádění tohoto nařízení, které bude vyhlášeno v </w:t>
      </w:r>
      <w:r>
        <w:rPr>
          <w:i/>
          <w:iCs/>
        </w:rPr>
        <w:t xml:space="preserve">Úředním věstníku</w:t>
      </w:r>
      <w:r>
        <w:t xml:space="preserve"> Francouzské republiky.</w:t>
      </w:r>
    </w:p>
    <w:p w14:paraId="545E5D75" w14:textId="77777777" w:rsidR="00F66D41" w:rsidRDefault="00F66D41" w:rsidP="00F66D41">
      <w:pPr>
        <w:pStyle w:val="SNDate"/>
      </w:pPr>
      <w:r>
        <w:t xml:space="preserve">Dne</w:t>
      </w:r>
      <w:r>
        <w:t xml:space="preserve"> </w:t>
      </w:r>
    </w:p>
    <w:p w14:paraId="43343C5A" w14:textId="77777777" w:rsidR="00F66D41" w:rsidRDefault="00F66D41" w:rsidP="00F66D41">
      <w:pPr>
        <w:pStyle w:val="SNDate"/>
      </w:pPr>
      <w:r>
        <w:t xml:space="preserve">Élisabeth BORNE</w:t>
      </w:r>
    </w:p>
    <w:p w14:paraId="45FC2349" w14:textId="77777777" w:rsidR="00F66D41" w:rsidRDefault="00F66D41" w:rsidP="00F66D41">
      <w:pPr>
        <w:pStyle w:val="SNContreseing"/>
      </w:pPr>
      <w:r>
        <w:t xml:space="preserve">Za předsedkyni vlády:</w:t>
      </w:r>
      <w:r>
        <w:t xml:space="preserve"> </w:t>
      </w:r>
    </w:p>
    <w:p w14:paraId="74E27225" w14:textId="77777777" w:rsidR="00F66D41" w:rsidRDefault="00F66D41" w:rsidP="00F66D41">
      <w:pPr>
        <w:pStyle w:val="SNSignatureDroite"/>
      </w:pPr>
      <w:r>
        <w:t xml:space="preserve">Ministr hospodářství, financí a průmyslové a digitální suverenity,</w:t>
      </w:r>
    </w:p>
    <w:p w14:paraId="2E41F259" w14:textId="77777777" w:rsidR="00F66D41" w:rsidRDefault="00F66D41" w:rsidP="00F66D41">
      <w:pPr>
        <w:pStyle w:val="SNSignatureDroite"/>
      </w:pPr>
      <w:r>
        <w:t xml:space="preserve">Bruno LE MAIRE</w:t>
      </w:r>
    </w:p>
    <w:p w14:paraId="32FB1261" w14:textId="77777777" w:rsidR="00F66D41" w:rsidRDefault="00F66D41" w:rsidP="00F66D41">
      <w:pPr>
        <w:pStyle w:val="SNSignatureDroite"/>
      </w:pPr>
      <w:r>
        <w:t xml:space="preserve">Ministr zemědělství a potravinové soběstačnosti,</w:t>
      </w:r>
      <w:r>
        <w:t xml:space="preserve"> </w:t>
      </w:r>
    </w:p>
    <w:p w14:paraId="64FCE91B" w14:textId="77777777" w:rsidR="005F5078" w:rsidRDefault="00F66D41" w:rsidP="00F66D41">
      <w:pPr>
        <w:pStyle w:val="SNSignatureDroite"/>
      </w:pPr>
      <w:r>
        <w:t xml:space="preserve">Marc FESNEAU</w:t>
      </w:r>
    </w:p>
    <w:p w14:paraId="558790CA" w14:textId="77777777" w:rsidR="00F66D41" w:rsidRDefault="00F66D41" w:rsidP="00F66D41">
      <w:pPr>
        <w:pStyle w:val="SNSignatureDroite"/>
      </w:pPr>
      <w:r>
        <w:t xml:space="preserve">Ministr pro ekologickou transformaci a územní soudržnost,</w:t>
      </w:r>
    </w:p>
    <w:p w14:paraId="4CCA895F" w14:textId="77777777" w:rsidR="00F66D41" w:rsidRDefault="00F66D41" w:rsidP="00F66D41">
      <w:pPr>
        <w:pStyle w:val="SNContreseing"/>
        <w:jc w:val="right"/>
      </w:pPr>
      <w:r>
        <w:t xml:space="preserve">Christophe BÉCHU</w:t>
      </w:r>
    </w:p>
    <w:p w14:paraId="1104E23F" w14:textId="77777777" w:rsidR="00F66D41" w:rsidRPr="00F66D41" w:rsidRDefault="00F66D41" w:rsidP="00F66D41">
      <w:pPr>
        <w:pStyle w:val="SNSignatureGauche"/>
      </w:pPr>
    </w:p>
    <w:p w14:paraId="03685179" w14:textId="77777777" w:rsidR="00F66D41" w:rsidRDefault="00F66D41" w:rsidP="00F66D41">
      <w:pPr>
        <w:pStyle w:val="SNSignatureDroite"/>
      </w:pPr>
      <w:r>
        <w:t xml:space="preserve">Ministr zdravotnictví a prevence,</w:t>
      </w:r>
    </w:p>
    <w:p w14:paraId="540A467A" w14:textId="77777777" w:rsidR="005F5078" w:rsidRDefault="00F66D41" w:rsidP="00F66D41">
      <w:pPr>
        <w:pStyle w:val="SNContreseing"/>
        <w:jc w:val="right"/>
      </w:pPr>
      <w:r>
        <w:t xml:space="preserve">François BRAUN</w:t>
      </w:r>
    </w:p>
    <w:p w14:paraId="293EA704" w14:textId="77777777" w:rsidR="00F66D41" w:rsidRPr="00F66D41" w:rsidRDefault="00F66D41" w:rsidP="00F66D41">
      <w:pPr>
        <w:pStyle w:val="SNSignatureGauche"/>
      </w:pPr>
    </w:p>
    <w:sectPr w:rsidR="00F66D41" w:rsidRPr="00F66D41">
      <w:pgSz w:w="11906" w:h="16838"/>
      <w:pgMar w:top="1134" w:right="1418" w:bottom="1418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158B4" w14:textId="77777777" w:rsidR="006C37FB" w:rsidRDefault="006C37FB">
      <w:pPr>
        <w:spacing w:after="0" w:line="240" w:lineRule="auto"/>
      </w:pPr>
      <w:r>
        <w:separator/>
      </w:r>
    </w:p>
  </w:endnote>
  <w:endnote w:type="continuationSeparator" w:id="0">
    <w:p w14:paraId="05D2E9A9" w14:textId="77777777" w:rsidR="006C37FB" w:rsidRDefault="006C3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3DA20" w14:textId="77777777" w:rsidR="006C37FB" w:rsidRDefault="006C37FB">
      <w:pPr>
        <w:spacing w:after="0" w:line="240" w:lineRule="auto"/>
      </w:pPr>
      <w:r>
        <w:separator/>
      </w:r>
    </w:p>
  </w:footnote>
  <w:footnote w:type="continuationSeparator" w:id="0">
    <w:p w14:paraId="5A47CC3F" w14:textId="77777777" w:rsidR="006C37FB" w:rsidRDefault="006C37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dirty" w:grammar="dirty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078"/>
    <w:rsid w:val="000B51D1"/>
    <w:rsid w:val="001C1031"/>
    <w:rsid w:val="002E171A"/>
    <w:rsid w:val="005C7EF3"/>
    <w:rsid w:val="005F5078"/>
    <w:rsid w:val="006C37FB"/>
    <w:rsid w:val="006E603D"/>
    <w:rsid w:val="00731862"/>
    <w:rsid w:val="009154B2"/>
    <w:rsid w:val="0093040D"/>
    <w:rsid w:val="00A040C9"/>
    <w:rsid w:val="00C9285A"/>
    <w:rsid w:val="00D52C12"/>
    <w:rsid w:val="00E03AB7"/>
    <w:rsid w:val="00E4701B"/>
    <w:rsid w:val="00F1433B"/>
    <w:rsid w:val="00F66D41"/>
    <w:rsid w:val="00FC0A78"/>
    <w:rsid w:val="00FF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DE4FA"/>
  <w15:docId w15:val="{EA1D06FE-9AE1-4E77-B740-6894B8B68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Cs w:val="22"/>
        <w:lang w:val="cs-CZ" w:eastAsia="fr-FR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240"/>
      <w:jc w:val="center"/>
      <w:outlineLvl w:val="0"/>
    </w:pPr>
    <w:rPr>
      <w:rFonts w:cs="Arial"/>
      <w:bCs/>
      <w:caps/>
    </w:rPr>
  </w:style>
  <w:style w:type="paragraph" w:styleId="Heading2">
    <w:name w:val="heading 2"/>
    <w:basedOn w:val="Normal"/>
    <w:next w:val="Normal"/>
    <w:link w:val="Heading2Char"/>
    <w:qFormat/>
    <w:pPr>
      <w:keepNext/>
      <w:spacing w:before="240"/>
      <w:jc w:val="center"/>
      <w:outlineLvl w:val="1"/>
    </w:pPr>
    <w:rPr>
      <w:bCs/>
      <w:iCs/>
      <w:smallCaps/>
    </w:rPr>
  </w:style>
  <w:style w:type="paragraph" w:styleId="Heading3">
    <w:name w:val="heading 3"/>
    <w:basedOn w:val="Normal"/>
    <w:next w:val="Normal"/>
    <w:link w:val="Heading3Char"/>
    <w:qFormat/>
    <w:pPr>
      <w:keepNext/>
      <w:spacing w:before="120"/>
      <w:jc w:val="center"/>
      <w:outlineLvl w:val="2"/>
    </w:pPr>
    <w:rPr>
      <w:rFonts w:cs="Arial"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sz w:val="21"/>
      <w:szCs w:val="21"/>
    </w:rPr>
  </w:style>
  <w:style w:type="paragraph" w:styleId="NoSpacing">
    <w:name w:val="No Spacing"/>
    <w:uiPriority w:val="1"/>
    <w:qFormat/>
    <w:pPr>
      <w:spacing w:line="240" w:lineRule="auto"/>
    </w:pPr>
  </w:style>
  <w:style w:type="character" w:customStyle="1" w:styleId="TitleChar">
    <w:name w:val="Title Char"/>
    <w:basedOn w:val="DefaultParagraphFont"/>
    <w:link w:val="Title"/>
    <w:uiPriority w:val="10"/>
    <w:rPr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00"/>
    </w:pPr>
  </w:style>
  <w:style w:type="character" w:customStyle="1" w:styleId="SubtitleChar">
    <w:name w:val="Subtitle Char"/>
    <w:basedOn w:val="DefaultParagraphFont"/>
    <w:link w:val="Subtitle"/>
    <w:uiPriority w:val="11"/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pPr>
      <w:ind w:left="720" w:right="720"/>
    </w:pPr>
    <w:rPr>
      <w:i/>
    </w:rPr>
  </w:style>
  <w:style w:type="character" w:customStyle="1" w:styleId="QuoteChar">
    <w:name w:val="Quote Char"/>
    <w:link w:val="Quote"/>
    <w:uiPriority w:val="29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eQuoteChar">
    <w:name w:val="Intense Quote Char"/>
    <w:link w:val="IntenseQuote"/>
    <w:uiPriority w:val="30"/>
    <w:rPr>
      <w:i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1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DefaultParagraphFont"/>
    <w:uiPriority w:val="99"/>
  </w:style>
  <w:style w:type="character" w:customStyle="1" w:styleId="FooterChar1">
    <w:name w:val="Footer Char1"/>
    <w:link w:val="Footer"/>
    <w:uiPriority w:val="99"/>
  </w:style>
  <w:style w:type="table" w:styleId="TableGrid">
    <w:name w:val="Table Grid"/>
    <w:basedOn w:val="TableNormal"/>
    <w:uiPriority w:val="59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1">
    <w:name w:val="Table Grid Light1"/>
    <w:basedOn w:val="TableNormal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1">
    <w:name w:val="Grid Table 1 Light - Accent 2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1">
    <w:name w:val="Grid Table 1 Light - Accent 3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1">
    <w:name w:val="Grid Table 1 Light - Accent 4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1">
    <w:name w:val="Grid Table 1 Light - Accent 5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1">
    <w:name w:val="Grid Table 1 Light - Accent 6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1">
    <w:name w:val="Grid Table 2 - Accent 11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1">
    <w:name w:val="Grid Table 2 - Accent 21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1">
    <w:name w:val="Grid Table 2 - Accent 31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1">
    <w:name w:val="Grid Table 2 - Accent 41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1">
    <w:name w:val="Grid Table 2 - Accent 51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1">
    <w:name w:val="Grid Table 2 - Accent 61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1">
    <w:name w:val="Grid Table 3 - Accent 11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1">
    <w:name w:val="Grid Table 3 - Accent 21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1">
    <w:name w:val="Grid Table 3 - Accent 31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1">
    <w:name w:val="Grid Table 3 - Accent 41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1">
    <w:name w:val="Grid Table 3 - Accent 51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1">
    <w:name w:val="Grid Table 3 - Accent 61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1">
    <w:name w:val="Grid Table 4 - Accent 11"/>
    <w:basedOn w:val="Table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1">
    <w:name w:val="Grid Table 4 - Accent 21"/>
    <w:basedOn w:val="Table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1">
    <w:name w:val="Grid Table 4 - Accent 31"/>
    <w:basedOn w:val="Table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1">
    <w:name w:val="Grid Table 4 - Accent 41"/>
    <w:basedOn w:val="Table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1">
    <w:name w:val="Grid Table 4 - Accent 51"/>
    <w:basedOn w:val="Table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1">
    <w:name w:val="Grid Table 4 - Accent 61"/>
    <w:basedOn w:val="Table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1">
    <w:name w:val="Grid Table 5 Dark - Accent 2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1">
    <w:name w:val="Grid Table 5 Dark - Accent 3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1">
    <w:name w:val="Grid Table 5 Dark - Accent 5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1">
    <w:name w:val="Grid Table 5 Dark - Accent 6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styleId="GridTable6Colorful">
    <w:name w:val="Grid Table 6 Colorful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1">
    <w:name w:val="Grid Table 6 Colorful - Accent 1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1">
    <w:name w:val="Grid Table 6 Colorful - Accent 6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rful">
    <w:name w:val="Grid Table 7 Colorful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1">
    <w:name w:val="Grid Table 7 Colorful - Accent 11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1">
    <w:name w:val="List Table 1 Light - Accent 11"/>
    <w:basedOn w:val="Table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1">
    <w:name w:val="List Table 1 Light - Accent 21"/>
    <w:basedOn w:val="Table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1">
    <w:name w:val="List Table 1 Light - Accent 31"/>
    <w:basedOn w:val="Table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1">
    <w:name w:val="List Table 1 Light - Accent 41"/>
    <w:basedOn w:val="Table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1">
    <w:name w:val="List Table 1 Light - Accent 51"/>
    <w:basedOn w:val="Table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1">
    <w:name w:val="List Table 1 Light - Accent 61"/>
    <w:basedOn w:val="Table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1">
    <w:name w:val="List Table 2 - Accent 1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1">
    <w:name w:val="List Table 2 - Accent 2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1">
    <w:name w:val="List Table 2 - Accent 3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1">
    <w:name w:val="List Table 2 - Accent 4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1">
    <w:name w:val="List Table 2 - Accent 5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1">
    <w:name w:val="List Table 2 - Accent 6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1">
    <w:name w:val="List Table 3 - Accent 2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1">
    <w:name w:val="List Table 3 - Accent 3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1">
    <w:name w:val="List Table 3 - Accent 4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1">
    <w:name w:val="List Table 3 - Accent 5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1">
    <w:name w:val="List Table 3 - Accent 6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1">
    <w:name w:val="List Table 4 - Accent 1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1">
    <w:name w:val="List Table 4 - Accent 2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1">
    <w:name w:val="List Table 4 - Accent 3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1">
    <w:name w:val="List Table 4 - Accent 4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1">
    <w:name w:val="List Table 4 - Accent 5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1">
    <w:name w:val="List Table 4 - Accent 6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1">
    <w:name w:val="List Table 5 Dark - Accent 1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1">
    <w:name w:val="List Table 5 Dark - Accent 2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1">
    <w:name w:val="List Table 5 Dark - Accent 3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1">
    <w:name w:val="List Table 5 Dark - Accent 4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1">
    <w:name w:val="List Table 5 Dark - Accent 5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1">
    <w:name w:val="List Table 5 Dark - Accent 6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styleId="ListTable6Colorful">
    <w:name w:val="List Table 6 Colorful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1">
    <w:name w:val="List Table 6 Colorful - Accent 1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1">
    <w:name w:val="List Table 6 Colorful - Accent 2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rful">
    <w:name w:val="List Table 7 Colorful"/>
    <w:basedOn w:val="Table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1">
    <w:name w:val="List Table 7 Colorful - Accent 11"/>
    <w:basedOn w:val="Table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Table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basedOn w:val="Table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basedOn w:val="Table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basedOn w:val="Table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basedOn w:val="Table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line="240" w:lineRule="auto"/>
    </w:pPr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line="240" w:lineRule="auto"/>
    </w:pPr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line="240" w:lineRule="auto"/>
    </w:pPr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line="240" w:lineRule="auto"/>
    </w:pPr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line="240" w:lineRule="auto"/>
    </w:pPr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line="240" w:lineRule="auto"/>
    </w:pPr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line="240" w:lineRule="auto"/>
    </w:pPr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line="240" w:lineRule="auto"/>
    </w:pPr>
    <w:rPr>
      <w:color w:val="40404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line="240" w:lineRule="auto"/>
    </w:pPr>
    <w:rPr>
      <w:color w:val="40404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line="240" w:lineRule="auto"/>
    </w:pPr>
    <w:rPr>
      <w:color w:val="40404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line="240" w:lineRule="auto"/>
    </w:pPr>
    <w:rPr>
      <w:color w:val="40404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line="240" w:lineRule="auto"/>
    </w:pPr>
    <w:rPr>
      <w:color w:val="40404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line="240" w:lineRule="auto"/>
    </w:pPr>
    <w:rPr>
      <w:color w:val="40404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line="240" w:lineRule="auto"/>
    </w:pPr>
    <w:rPr>
      <w:color w:val="40404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ootnoteTextChar">
    <w:name w:val="Footnote Text Char"/>
    <w:link w:val="FootnoteText"/>
    <w:uiPriority w:val="99"/>
    <w:rPr>
      <w:sz w:val="18"/>
    </w:rPr>
  </w:style>
  <w:style w:type="character" w:styleId="FootnoteReference">
    <w:name w:val="footnote reference"/>
    <w:basedOn w:val="DefaultParagraphFont"/>
    <w:uiPriority w:val="99"/>
    <w:unhideWhenUsed/>
    <w:rPr>
      <w:vertAlign w:val="superscript"/>
    </w:rPr>
  </w:style>
  <w:style w:type="paragraph" w:styleId="TOC1">
    <w:name w:val="toc 1"/>
    <w:basedOn w:val="Normal"/>
    <w:next w:val="Normal"/>
    <w:uiPriority w:val="39"/>
    <w:unhideWhenUsed/>
    <w:pPr>
      <w:spacing w:after="57"/>
    </w:pPr>
  </w:style>
  <w:style w:type="paragraph" w:styleId="TOC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OC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OC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OC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OC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OC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OC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OC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OCHeading">
    <w:name w:val="TOC Heading"/>
    <w:uiPriority w:val="39"/>
    <w:unhideWhenUsed/>
  </w:style>
  <w:style w:type="character" w:customStyle="1" w:styleId="SNTimbreCar">
    <w:name w:val="SNTimbre Car"/>
    <w:basedOn w:val="DefaultParagraphFont"/>
    <w:qFormat/>
    <w:rPr>
      <w:rFonts w:eastAsia="Lucida Sans Unicode"/>
      <w:sz w:val="24"/>
      <w:szCs w:val="24"/>
      <w:lang w:val="cs-CZ" w:bidi="ar-SA"/>
    </w:rPr>
  </w:style>
  <w:style w:type="character" w:customStyle="1" w:styleId="SNDateCar">
    <w:name w:val="SNDate Car"/>
    <w:basedOn w:val="DefaultParagraphFont"/>
    <w:qFormat/>
    <w:rPr>
      <w:sz w:val="24"/>
      <w:szCs w:val="24"/>
      <w:lang w:val="cs-CZ" w:eastAsia="fr-FR" w:bidi="ar-SA"/>
    </w:rPr>
  </w:style>
  <w:style w:type="character" w:customStyle="1" w:styleId="SNArticleCar">
    <w:name w:val="SNArticle Car"/>
    <w:basedOn w:val="DefaultParagraphFont"/>
    <w:qFormat/>
    <w:rPr>
      <w:b/>
      <w:sz w:val="24"/>
      <w:szCs w:val="24"/>
      <w:lang w:val="cs-CZ" w:eastAsia="fr-FR" w:bidi="ar-SA"/>
    </w:rPr>
  </w:style>
  <w:style w:type="character" w:customStyle="1" w:styleId="SNenProjet">
    <w:name w:val="SNenProjet"/>
    <w:basedOn w:val="DefaultParagraphFont"/>
    <w:qFormat/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</w:rPr>
  </w:style>
  <w:style w:type="character" w:customStyle="1" w:styleId="BodyTextChar">
    <w:name w:val="Body Text Char"/>
    <w:basedOn w:val="DefaultParagraphFont"/>
    <w:link w:val="BodyText"/>
    <w:semiHidden/>
    <w:qFormat/>
    <w:rPr>
      <w:sz w:val="24"/>
      <w:szCs w:val="24"/>
    </w:rPr>
  </w:style>
  <w:style w:type="character" w:customStyle="1" w:styleId="LienInternet">
    <w:name w:val="Lien Internet"/>
    <w:basedOn w:val="DefaultParagraphFont"/>
    <w:uiPriority w:val="99"/>
    <w:unhideWhenUsed/>
    <w:rPr>
      <w:color w:val="0563C1"/>
      <w:u w:val="single"/>
    </w:rPr>
  </w:style>
  <w:style w:type="paragraph" w:styleId="Title">
    <w:name w:val="Title"/>
    <w:basedOn w:val="Normal"/>
    <w:next w:val="BodyText"/>
    <w:link w:val="TitleChar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BodyTextChar"/>
    <w:semiHidden/>
    <w:pPr>
      <w:spacing w:after="120"/>
      <w:jc w:val="both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rPr>
      <w:rFonts w:cs="Lucida Sans"/>
    </w:rPr>
  </w:style>
  <w:style w:type="paragraph" w:customStyle="1" w:styleId="SNREPUBLIQUE">
    <w:name w:val="SNREPUBLIQUE"/>
    <w:basedOn w:val="Normal"/>
    <w:qFormat/>
    <w:pPr>
      <w:jc w:val="center"/>
    </w:pPr>
    <w:rPr>
      <w:b/>
      <w:bCs/>
      <w:szCs w:val="20"/>
    </w:rPr>
  </w:style>
  <w:style w:type="paragraph" w:customStyle="1" w:styleId="puce1">
    <w:name w:val="puce1"/>
    <w:basedOn w:val="Normal"/>
    <w:qFormat/>
    <w:pPr>
      <w:widowControl w:val="0"/>
      <w:tabs>
        <w:tab w:val="left" w:pos="1429"/>
      </w:tabs>
      <w:spacing w:before="240"/>
      <w:ind w:left="1429" w:hanging="360"/>
    </w:pPr>
    <w:rPr>
      <w:rFonts w:eastAsia="Lucida Sans Unicode"/>
    </w:rPr>
  </w:style>
  <w:style w:type="paragraph" w:customStyle="1" w:styleId="puce2">
    <w:name w:val="puce2"/>
    <w:basedOn w:val="Normal"/>
    <w:qFormat/>
    <w:pPr>
      <w:widowControl w:val="0"/>
      <w:tabs>
        <w:tab w:val="left" w:pos="2149"/>
      </w:tabs>
      <w:spacing w:before="240"/>
      <w:ind w:left="2149" w:hanging="360"/>
    </w:pPr>
    <w:rPr>
      <w:rFonts w:eastAsia="Lucida Sans Unicode"/>
    </w:rPr>
  </w:style>
  <w:style w:type="paragraph" w:customStyle="1" w:styleId="puce3">
    <w:name w:val="puce3"/>
    <w:basedOn w:val="Normal"/>
    <w:qFormat/>
    <w:pPr>
      <w:widowControl w:val="0"/>
      <w:tabs>
        <w:tab w:val="left" w:pos="2869"/>
      </w:tabs>
      <w:spacing w:before="240"/>
      <w:ind w:left="2869" w:hanging="360"/>
    </w:pPr>
    <w:rPr>
      <w:rFonts w:eastAsia="Lucida Sans Unicode"/>
    </w:rPr>
  </w:style>
  <w:style w:type="paragraph" w:customStyle="1" w:styleId="num1">
    <w:name w:val="num1"/>
    <w:basedOn w:val="Normal"/>
    <w:qFormat/>
    <w:pPr>
      <w:widowControl w:val="0"/>
      <w:tabs>
        <w:tab w:val="left" w:pos="1429"/>
      </w:tabs>
      <w:spacing w:before="240"/>
      <w:ind w:left="1429" w:hanging="360"/>
    </w:pPr>
    <w:rPr>
      <w:rFonts w:eastAsia="Lucida Sans Unicode"/>
    </w:rPr>
  </w:style>
  <w:style w:type="paragraph" w:customStyle="1" w:styleId="num2">
    <w:name w:val="num2"/>
    <w:basedOn w:val="Normal"/>
    <w:qFormat/>
    <w:pPr>
      <w:widowControl w:val="0"/>
      <w:tabs>
        <w:tab w:val="left" w:pos="2149"/>
      </w:tabs>
      <w:spacing w:before="240"/>
      <w:ind w:left="2149" w:hanging="360"/>
    </w:pPr>
    <w:rPr>
      <w:rFonts w:eastAsia="Lucida Sans Unicode"/>
    </w:rPr>
  </w:style>
  <w:style w:type="paragraph" w:customStyle="1" w:styleId="num3">
    <w:name w:val="num3"/>
    <w:basedOn w:val="Normal"/>
    <w:qFormat/>
    <w:pPr>
      <w:widowControl w:val="0"/>
      <w:tabs>
        <w:tab w:val="left" w:pos="2869"/>
      </w:tabs>
      <w:spacing w:before="240"/>
      <w:ind w:left="2869" w:hanging="180"/>
    </w:pPr>
    <w:rPr>
      <w:rFonts w:eastAsia="Lucida Sans Unicode"/>
    </w:rPr>
  </w:style>
  <w:style w:type="paragraph" w:customStyle="1" w:styleId="SNConsultation">
    <w:name w:val="SNConsultation"/>
    <w:basedOn w:val="Normal"/>
    <w:qFormat/>
    <w:pPr>
      <w:widowControl w:val="0"/>
      <w:spacing w:before="120" w:after="120"/>
      <w:ind w:firstLine="709"/>
      <w:jc w:val="both"/>
    </w:pPr>
    <w:rPr>
      <w:rFonts w:eastAsia="Lucida Sans Unicode"/>
    </w:rPr>
  </w:style>
  <w:style w:type="paragraph" w:customStyle="1" w:styleId="SNNature">
    <w:name w:val="SNNature"/>
    <w:basedOn w:val="Normal"/>
    <w:next w:val="SNtitre"/>
    <w:qFormat/>
    <w:pPr>
      <w:widowControl w:val="0"/>
      <w:spacing w:before="720" w:after="120"/>
      <w:jc w:val="center"/>
    </w:pPr>
    <w:rPr>
      <w:rFonts w:eastAsia="Lucida Sans Unicode"/>
      <w:b/>
      <w:bCs/>
    </w:rPr>
  </w:style>
  <w:style w:type="paragraph" w:customStyle="1" w:styleId="SNtitre">
    <w:name w:val="SNtitre"/>
    <w:basedOn w:val="Normal"/>
    <w:next w:val="SNNORCentr"/>
    <w:qFormat/>
    <w:pPr>
      <w:widowControl w:val="0"/>
      <w:spacing w:after="360"/>
      <w:jc w:val="center"/>
    </w:pPr>
    <w:rPr>
      <w:rFonts w:eastAsia="Lucida Sans Unicode"/>
      <w:b/>
    </w:rPr>
  </w:style>
  <w:style w:type="paragraph" w:customStyle="1" w:styleId="SNNORCentr">
    <w:name w:val="SNNOR+Centré"/>
    <w:next w:val="SNAutorit"/>
    <w:qFormat/>
    <w:pPr>
      <w:spacing w:after="200"/>
      <w:jc w:val="center"/>
    </w:pPr>
    <w:rPr>
      <w:bCs/>
      <w:sz w:val="24"/>
    </w:rPr>
  </w:style>
  <w:style w:type="paragraph" w:customStyle="1" w:styleId="SNAutorit">
    <w:name w:val="SNAutorité"/>
    <w:basedOn w:val="Normal"/>
    <w:qFormat/>
    <w:pPr>
      <w:spacing w:before="720" w:after="240"/>
      <w:ind w:firstLine="720"/>
    </w:pPr>
    <w:rPr>
      <w:b/>
    </w:rPr>
  </w:style>
  <w:style w:type="paragraph" w:customStyle="1" w:styleId="SNSignatureprnomnomDroite">
    <w:name w:val="SNSignature prénom+nom Droite"/>
    <w:basedOn w:val="SNSignatureDroite"/>
    <w:next w:val="SNSignatureGauche"/>
    <w:qFormat/>
    <w:pPr>
      <w:spacing w:before="0" w:after="120"/>
      <w:ind w:left="5041"/>
    </w:pPr>
  </w:style>
  <w:style w:type="paragraph" w:customStyle="1" w:styleId="SNSignatureDroite">
    <w:name w:val="SNSignatureDroite"/>
    <w:basedOn w:val="Normal"/>
    <w:next w:val="SNSignatureprnomnomDroite"/>
    <w:qFormat/>
    <w:pPr>
      <w:spacing w:before="120" w:after="1680"/>
      <w:ind w:left="5040"/>
      <w:jc w:val="right"/>
    </w:pPr>
    <w:rPr>
      <w:color w:val="000000"/>
    </w:rPr>
  </w:style>
  <w:style w:type="paragraph" w:customStyle="1" w:styleId="SNSignatureGauche">
    <w:name w:val="SNSignatureGauche"/>
    <w:basedOn w:val="Normal"/>
    <w:next w:val="SNSignatureprnomnomGauche"/>
    <w:qFormat/>
    <w:pPr>
      <w:spacing w:before="120" w:after="1680"/>
      <w:ind w:left="720" w:right="4494"/>
    </w:pPr>
  </w:style>
  <w:style w:type="paragraph" w:customStyle="1" w:styleId="SNSignatureprnomnomGauche">
    <w:name w:val="SNSignature prénom+nom Gauche"/>
    <w:basedOn w:val="SNSignatureGauche"/>
    <w:next w:val="SNSignatureDroite"/>
    <w:qFormat/>
    <w:pPr>
      <w:spacing w:after="120"/>
    </w:pPr>
    <w:rPr>
      <w:color w:val="000000"/>
    </w:rPr>
  </w:style>
  <w:style w:type="paragraph" w:customStyle="1" w:styleId="SNTimbre">
    <w:name w:val="SNTimbre"/>
    <w:basedOn w:val="Normal"/>
    <w:qFormat/>
    <w:pPr>
      <w:widowControl w:val="0"/>
      <w:spacing w:before="120"/>
      <w:jc w:val="center"/>
    </w:pPr>
    <w:rPr>
      <w:rFonts w:eastAsia="Lucida Sans Unicode"/>
    </w:rPr>
  </w:style>
  <w:style w:type="paragraph" w:customStyle="1" w:styleId="SNRapport">
    <w:name w:val="SNRapport"/>
    <w:basedOn w:val="Normal"/>
    <w:qFormat/>
    <w:pPr>
      <w:spacing w:before="240" w:after="120"/>
      <w:ind w:firstLine="720"/>
    </w:pPr>
  </w:style>
  <w:style w:type="paragraph" w:customStyle="1" w:styleId="SNVisa">
    <w:name w:val="SNVisa"/>
    <w:basedOn w:val="Normal"/>
    <w:qFormat/>
    <w:pPr>
      <w:spacing w:before="120" w:after="120"/>
      <w:ind w:firstLine="720"/>
    </w:pPr>
  </w:style>
  <w:style w:type="paragraph" w:customStyle="1" w:styleId="SNDate">
    <w:name w:val="SNDate"/>
    <w:basedOn w:val="Normal"/>
    <w:next w:val="SNContreseing"/>
    <w:qFormat/>
    <w:pPr>
      <w:spacing w:before="480" w:after="2760"/>
      <w:ind w:firstLine="720"/>
    </w:pPr>
  </w:style>
  <w:style w:type="paragraph" w:customStyle="1" w:styleId="SNContreseing">
    <w:name w:val="SNContreseing"/>
    <w:basedOn w:val="Normal"/>
    <w:next w:val="SNSignatureGauche"/>
    <w:qFormat/>
    <w:pPr>
      <w:spacing w:before="480"/>
      <w:ind w:firstLine="720"/>
    </w:pPr>
  </w:style>
  <w:style w:type="paragraph" w:customStyle="1" w:styleId="SNActe">
    <w:name w:val="SNActe"/>
    <w:basedOn w:val="Normal"/>
    <w:qFormat/>
    <w:pPr>
      <w:spacing w:before="480" w:after="360"/>
      <w:jc w:val="center"/>
    </w:pPr>
    <w:rPr>
      <w:b/>
    </w:rPr>
  </w:style>
  <w:style w:type="paragraph" w:customStyle="1" w:styleId="SNArticle">
    <w:name w:val="SNArticle"/>
    <w:basedOn w:val="Normal"/>
    <w:next w:val="BodyText"/>
    <w:qFormat/>
    <w:pPr>
      <w:spacing w:before="240" w:after="240"/>
      <w:jc w:val="center"/>
    </w:pPr>
    <w:rPr>
      <w:b/>
    </w:rPr>
  </w:style>
  <w:style w:type="paragraph" w:customStyle="1" w:styleId="SNConsidrant">
    <w:name w:val="SNConsidérant"/>
    <w:basedOn w:val="Normal"/>
    <w:qFormat/>
    <w:pPr>
      <w:ind w:firstLine="720"/>
    </w:pPr>
  </w:style>
  <w:style w:type="paragraph" w:customStyle="1" w:styleId="SNConsultationCE">
    <w:name w:val="SNConsultationCE"/>
    <w:basedOn w:val="SNConsultation"/>
    <w:qFormat/>
  </w:style>
  <w:style w:type="paragraph" w:customStyle="1" w:styleId="SNConsultationCM">
    <w:name w:val="SNConsultationCM"/>
    <w:basedOn w:val="SNConsultation"/>
    <w:qFormat/>
  </w:style>
  <w:style w:type="paragraph" w:customStyle="1" w:styleId="SNDirection">
    <w:name w:val="SNDirection"/>
    <w:basedOn w:val="Normal"/>
    <w:qFormat/>
    <w:pPr>
      <w:spacing w:before="720"/>
      <w:jc w:val="center"/>
    </w:pPr>
    <w:rPr>
      <w:b/>
    </w:rPr>
  </w:style>
  <w:style w:type="paragraph" w:customStyle="1" w:styleId="SNListePrincipale">
    <w:name w:val="SNListePrincipale"/>
    <w:basedOn w:val="Normal"/>
    <w:qFormat/>
  </w:style>
  <w:style w:type="paragraph" w:customStyle="1" w:styleId="SNIntitul">
    <w:name w:val="SNIntitulé"/>
    <w:basedOn w:val="Normal"/>
    <w:qFormat/>
    <w:pPr>
      <w:jc w:val="center"/>
    </w:pPr>
  </w:style>
  <w:style w:type="paragraph" w:customStyle="1" w:styleId="SNTitreRapport">
    <w:name w:val="SNTitreRapport"/>
    <w:basedOn w:val="SNActe"/>
    <w:qFormat/>
  </w:style>
  <w:style w:type="paragraph" w:customStyle="1" w:styleId="SNExcution">
    <w:name w:val="SNExécution"/>
    <w:basedOn w:val="Normal"/>
    <w:qFormat/>
  </w:style>
  <w:style w:type="paragraph" w:customStyle="1" w:styleId="SNAdoption">
    <w:name w:val="SNAdoption"/>
    <w:basedOn w:val="Normal"/>
    <w:qFormat/>
  </w:style>
  <w:style w:type="paragraph" w:customStyle="1" w:styleId="SNLibell">
    <w:name w:val="SNLibellé"/>
    <w:basedOn w:val="Normal"/>
    <w:qFormat/>
  </w:style>
  <w:style w:type="paragraph" w:styleId="BalloonText">
    <w:name w:val="Balloon Text"/>
    <w:basedOn w:val="Normal"/>
    <w:semiHidden/>
    <w:qFormat/>
    <w:rPr>
      <w:rFonts w:ascii="Tahoma" w:hAnsi="Tahoma" w:cs="Tahoma"/>
      <w:sz w:val="16"/>
      <w:szCs w:val="16"/>
    </w:rPr>
  </w:style>
  <w:style w:type="paragraph" w:customStyle="1" w:styleId="Titre1objet">
    <w:name w:val="Titre 1 objet"/>
    <w:basedOn w:val="Heading1"/>
    <w:qFormat/>
    <w:pPr>
      <w:spacing w:before="0" w:after="120"/>
    </w:pPr>
    <w:rPr>
      <w:b/>
    </w:rPr>
  </w:style>
  <w:style w:type="paragraph" w:customStyle="1" w:styleId="Titre2objet">
    <w:name w:val="Titre 2 objet"/>
    <w:basedOn w:val="Heading2"/>
    <w:next w:val="Normal"/>
    <w:qFormat/>
    <w:pPr>
      <w:spacing w:before="0" w:after="120"/>
    </w:pPr>
    <w:rPr>
      <w:b/>
    </w:rPr>
  </w:style>
  <w:style w:type="paragraph" w:customStyle="1" w:styleId="titre3objet">
    <w:name w:val="titre 3 objet"/>
    <w:basedOn w:val="Heading3"/>
    <w:next w:val="Normal"/>
    <w:qFormat/>
    <w:pPr>
      <w:spacing w:before="0" w:after="120"/>
    </w:pPr>
    <w:rPr>
      <w:b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paragraph" w:styleId="ListParagraph">
    <w:name w:val="List Paragraph"/>
    <w:basedOn w:val="Normal"/>
    <w:uiPriority w:val="34"/>
    <w:qFormat/>
    <w:pPr>
      <w:ind w:left="720"/>
    </w:pPr>
    <w:rPr>
      <w:rFonts w:eastAsia="Calibri"/>
      <w:color w:val="000000"/>
    </w:rPr>
  </w:style>
  <w:style w:type="paragraph" w:customStyle="1" w:styleId="western">
    <w:name w:val="western"/>
    <w:basedOn w:val="Normal"/>
    <w:qFormat/>
    <w:pPr>
      <w:spacing w:beforeAutospacing="1" w:after="119"/>
      <w:jc w:val="both"/>
    </w:pPr>
    <w:rPr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2595</Words>
  <Characters>14795</Characters>
  <Application>Microsoft Office Word</Application>
  <DocSecurity>0</DocSecurity>
  <Lines>123</Lines>
  <Paragraphs>34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REPUBLIQUE FRANCAISE</vt:lpstr>
    </vt:vector>
  </TitlesOfParts>
  <Company>SPM</Company>
  <LinksUpToDate>false</LinksUpToDate>
  <CharactersWithSpaces>17356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REPUBLIQUE FRANCAISE</dc:title>
  <dc:subject/>
  <dc:creator>Camille Massy</dc:creator>
  <dc:description/>
  <cp:lastModifiedBy>Dimitris Dimitriadis</cp:lastModifiedBy>
  <cp:revision>5</cp:revision>
  <dcterms:created xsi:type="dcterms:W3CDTF">2022-11-08T16:03:00Z</dcterms:created>
  <dcterms:modified xsi:type="dcterms:W3CDTF">2022-11-23T08:30:00Z</dcterms:modified>
  <dc:language>fr-FR</dc:language>
</cp:coreProperties>
</file>