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6B54" w14:textId="77777777" w:rsidR="002D1522" w:rsidRPr="002D1522" w:rsidRDefault="002D1522" w:rsidP="002D1522">
      <w:pPr>
        <w:shd w:val="clear" w:color="auto" w:fill="FFFFFF"/>
        <w:spacing w:before="150" w:after="150" w:line="240" w:lineRule="auto"/>
        <w:outlineLvl w:val="0"/>
        <w:rPr>
          <w:b/>
          <w:bCs/>
          <w:color w:val="4A0D17"/>
          <w:kern w:val="36"/>
          <w:sz w:val="35"/>
          <w:szCs w:val="35"/>
          <w:rFonts w:ascii="Helvetica" w:eastAsia="Times New Roman" w:hAnsi="Helvetica" w:cs="Helvetica"/>
        </w:rPr>
      </w:pPr>
      <w:r>
        <w:rPr>
          <w:b/>
          <w:color w:val="4A0D17"/>
          <w:sz w:val="35"/>
          <w:rFonts w:ascii="Helvetica" w:hAnsi="Helvetica"/>
        </w:rPr>
        <w:t xml:space="preserve">Przepisy dotyczące ogólnego projektowania pojazdów silnikowych używanych do transportu licencjonowanego itp.</w:t>
      </w:r>
    </w:p>
    <w:p w14:paraId="431BB729" w14:textId="77777777" w:rsidR="00106164" w:rsidRDefault="00106164" w:rsidP="001061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val="en-US"/>
        </w:rPr>
      </w:pPr>
    </w:p>
    <w:p w14:paraId="5B06AE60" w14:textId="3AC8C433" w:rsidR="00106164" w:rsidRPr="00106164" w:rsidRDefault="00106164" w:rsidP="00106164">
      <w:pPr>
        <w:spacing w:after="0" w:line="240" w:lineRule="auto"/>
        <w:rPr>
          <w:b/>
          <w:bCs/>
          <w:i/>
          <w:iCs/>
          <w:szCs w:val="24"/>
          <w:rFonts w:ascii="Times New Roman" w:eastAsia="Times New Roman" w:hAnsi="Times New Roman" w:cs="Times New Roman"/>
        </w:rPr>
      </w:pPr>
      <w:r>
        <w:rPr>
          <w:b/>
          <w:i/>
          <w:rFonts w:ascii="Times New Roman" w:hAnsi="Times New Roman"/>
        </w:rPr>
        <w:t xml:space="preserve">Proponowane zmiany zaznaczono na czerwono.</w:t>
      </w:r>
    </w:p>
    <w:p w14:paraId="2AA45474" w14:textId="7E60E1F7" w:rsid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14:paraId="65C9B0D2" w14:textId="77777777" w:rsidR="00106164" w:rsidRPr="002D1522" w:rsidRDefault="00106164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14:paraId="12695058" w14:textId="77777777" w:rsidR="0054005C" w:rsidRPr="0054005C" w:rsidRDefault="0054005C" w:rsidP="0054005C">
      <w:pPr>
        <w:spacing w:after="0" w:line="240" w:lineRule="auto"/>
        <w:rPr>
          <w:b/>
          <w:bCs/>
          <w:i/>
          <w:iCs/>
          <w:szCs w:val="24"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 1.</w:t>
      </w:r>
      <w:r>
        <w:rPr>
          <w:b/>
          <w:i/>
          <w:rFonts w:ascii="Times New Roman" w:hAnsi="Times New Roman"/>
        </w:rPr>
        <w:t xml:space="preserve"> </w:t>
      </w:r>
      <w:r>
        <w:rPr>
          <w:b/>
          <w:i/>
          <w:rFonts w:ascii="Times New Roman" w:hAnsi="Times New Roman"/>
        </w:rPr>
        <w:t xml:space="preserve">Zakres stosowania</w:t>
      </w:r>
    </w:p>
    <w:p w14:paraId="1F3CD3E5" w14:textId="77777777" w:rsidR="0054005C" w:rsidRDefault="0054005C" w:rsidP="0054005C">
      <w:pPr>
        <w:spacing w:after="0" w:line="240" w:lineRule="auto"/>
        <w:rPr>
          <w:rFonts w:ascii="Times New Roman" w:eastAsia="Times New Roman" w:hAnsi="Times New Roman" w:cs="Times New Roman"/>
          <w:bCs/>
          <w:iCs/>
          <w:szCs w:val="24"/>
          <w:lang w:val="en-US"/>
        </w:rPr>
      </w:pPr>
    </w:p>
    <w:p w14:paraId="7D489EEF" w14:textId="5694A2F7" w:rsidR="002D1522" w:rsidRPr="0054005C" w:rsidRDefault="0054005C" w:rsidP="0054005C">
      <w:pPr>
        <w:spacing w:after="0" w:line="240" w:lineRule="auto"/>
        <w:rPr>
          <w:bCs/>
          <w:iCs/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Niniejsze przepisy mają zastosowanie do przewozu osób wymagającego licencji w ramach usług regularnych oraz do przewozu wymagającego licencji, gdy pojazd silnikowy jest używany do przewozu osób niepełnosprawnych, por. art. 4, 6 i 9 ustawy o transporcie zawodowym. Przepisy nie dotyczą autobusów klasy I, z wyjątkiem przepisu zawartego w art. 4 akapit piąty.</w:t>
      </w:r>
    </w:p>
    <w:p w14:paraId="6EACF846" w14:textId="7CBD8DFC" w:rsidR="0054005C" w:rsidRDefault="0054005C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14:paraId="0EFD06CB" w14:textId="77777777" w:rsidR="0054005C" w:rsidRPr="002D1522" w:rsidRDefault="0054005C" w:rsidP="002D1522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GB"/>
        </w:rPr>
      </w:pPr>
    </w:p>
    <w:p w14:paraId="66062AE3" w14:textId="77777777" w:rsidR="002D1522" w:rsidRPr="002D1522" w:rsidRDefault="002D1522" w:rsidP="002D1522">
      <w:pPr>
        <w:spacing w:after="0" w:line="240" w:lineRule="auto"/>
        <w:rPr>
          <w:b/>
          <w:szCs w:val="24"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2. </w:t>
      </w:r>
      <w:r>
        <w:rPr>
          <w:b/>
          <w:i/>
          <w:rFonts w:ascii="Times New Roman" w:hAnsi="Times New Roman"/>
        </w:rPr>
        <w:t xml:space="preserve">Definicje</w:t>
      </w:r>
    </w:p>
    <w:p w14:paraId="15A82E3E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W stosownych przypadkach stosuje się definicje zawarte w przepisach nr 817 z dnia 5 lipca 2012 r. dotyczących homologacji pojazdów silnikowych i ich przyczep („bilforskriften”).</w:t>
      </w:r>
      <w:hyperlink r:id="rId6" w:anchor="reference/forskrift/2012-07-05-817" w:history="1">
        <w:r>
          <w:rPr>
            <w:rFonts w:ascii="Times New Roman" w:hAnsi="Times New Roman"/>
          </w:rPr>
          <w:t xml:space="preserve"> </w:t>
        </w:r>
      </w:hyperlink>
    </w:p>
    <w:p w14:paraId="7002C9F3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W przeciwnym razie do niniejszych przepisów stosuje się następujące definicje: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45356AE2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360A6FC8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496F12EA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i/>
                <w:rFonts w:ascii="Times New Roman" w:hAnsi="Times New Roman"/>
              </w:rPr>
              <w:t xml:space="preserve">pojazd silnikowy do przewozu osób niepełnosprawnych: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pojazd silnikowy w transporcie licencjonowanym, który jest specjalnie zaprojektowany lub wyposażony do transportu osób niepełnosprawnych;</w:t>
            </w:r>
          </w:p>
        </w:tc>
      </w:tr>
    </w:tbl>
    <w:p w14:paraId="2D522BB5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110C1EC9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44637CCB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b)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37B760DF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i/>
                <w:rFonts w:ascii="Times New Roman" w:hAnsi="Times New Roman"/>
              </w:rPr>
              <w:t xml:space="preserve">przestrzeń pasażerska: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przestrzeń przeznaczona do przewozu pasażerów;</w:t>
            </w:r>
          </w:p>
        </w:tc>
      </w:tr>
    </w:tbl>
    <w:p w14:paraId="1905BB58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4D6DF5C9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0BF0ECE6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c)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34BCE36F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i/>
                <w:rFonts w:ascii="Times New Roman" w:hAnsi="Times New Roman"/>
              </w:rPr>
              <w:t xml:space="preserve">miejsce siedzące: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przestrzeń przeznaczona dla pasażerów siedzących na przytwierdzonych na stałe lub demontowalnych siedzeniach;</w:t>
            </w:r>
          </w:p>
        </w:tc>
      </w:tr>
    </w:tbl>
    <w:p w14:paraId="0E7AFF68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662B2BE6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1FA4F507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1658C285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i/>
                <w:rFonts w:ascii="Times New Roman" w:hAnsi="Times New Roman"/>
              </w:rPr>
              <w:t xml:space="preserve">miejsce na przewóz wózka inwalidzkiego: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miejsce przeznaczone dla pasażera siedzącego na wózku inwalidzkim.</w:t>
            </w:r>
          </w:p>
        </w:tc>
      </w:tr>
    </w:tbl>
    <w:p w14:paraId="3423BA29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59A98CC3" w14:textId="77777777" w:rsidR="002D1522" w:rsidRPr="002D1522" w:rsidRDefault="002D1522" w:rsidP="002D1522">
      <w:pPr>
        <w:spacing w:after="0" w:line="240" w:lineRule="auto"/>
        <w:rPr>
          <w:b/>
          <w:szCs w:val="24"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3.</w:t>
      </w:r>
      <w:r>
        <w:rPr>
          <w:b/>
          <w:rFonts w:ascii="Times New Roman" w:hAnsi="Times New Roman"/>
        </w:rPr>
        <w:t xml:space="preserve"> </w:t>
      </w:r>
      <w:r>
        <w:rPr>
          <w:b/>
          <w:i/>
          <w:rFonts w:ascii="Times New Roman" w:hAnsi="Times New Roman"/>
        </w:rPr>
        <w:t xml:space="preserve">Homologacja</w:t>
      </w:r>
    </w:p>
    <w:p w14:paraId="5889F4D2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Autobusy objęte niniejszymi przepisami muszą uzyskać homologację Norweskiego Zarządu Dróg Publicznych zgodnie z wymogami określonymi w przepisach dotyczących pojazdów silnikowych i ich przyczep, jak również wymogami określonymi w art. 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 przyznaniu homologacji należy przedstawić dokumentację potwierdzającą spełnienie wymogów określonych w art. 4.</w:t>
      </w:r>
    </w:p>
    <w:p w14:paraId="3F821047" w14:textId="6F51F7D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Samochody osobowe objęte niniejszymi przepisami muszą uzyskać homologację Norweskiego Zarządu Dróg Publicznych zgodnie z wymogami określonymi w przepisach dotyczących pojazdów silnikowych i ich przyczep, jak również wymogami określonymi w art. 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 przyznaniu homologacji należy przedstawić dokumentację potwierdzającą spełnienie wymogów określonych w art. 6.</w:t>
      </w:r>
    </w:p>
    <w:p w14:paraId="7BB75486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Dokumentacja, o której mowa w akapicie pierwszym i drugim, jest wydawana przez producenta nadwozia, podwozia, wyposażenia bezpieczeństwa lub kompletnego pojazdu silnikowego, lub przez właściwe niezależne laboratorium.</w:t>
      </w:r>
    </w:p>
    <w:p w14:paraId="433285A0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729342EF" w14:textId="77777777" w:rsidR="00B71823" w:rsidRPr="00B71823" w:rsidRDefault="00B71823" w:rsidP="00B71823">
      <w:pPr>
        <w:spacing w:after="0" w:line="240" w:lineRule="auto"/>
        <w:rPr>
          <w:b/>
          <w:bCs/>
          <w:szCs w:val="24"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4.</w:t>
      </w:r>
      <w:r>
        <w:rPr>
          <w:b/>
          <w:i/>
          <w:rFonts w:ascii="Times New Roman" w:hAnsi="Times New Roman"/>
        </w:rPr>
        <w:t xml:space="preserve"> </w:t>
      </w:r>
      <w:r>
        <w:rPr>
          <w:b/>
          <w:i/>
          <w:rFonts w:ascii="Times New Roman" w:hAnsi="Times New Roman"/>
        </w:rPr>
        <w:t xml:space="preserve">Wymogi mające zastosowanie do autobusów</w:t>
      </w:r>
      <w:r>
        <w:rPr>
          <w:b/>
          <w:rFonts w:ascii="Times New Roman" w:hAnsi="Times New Roman"/>
        </w:rPr>
        <w:t xml:space="preserve"> </w:t>
      </w:r>
    </w:p>
    <w:p w14:paraId="00C4A60C" w14:textId="77777777" w:rsidR="00E81585" w:rsidRDefault="00E81585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  <w:lang w:val="en-US"/>
        </w:rPr>
      </w:pPr>
    </w:p>
    <w:p w14:paraId="167BB47A" w14:textId="1C2634CF" w:rsidR="00B71823" w:rsidRDefault="00B71823" w:rsidP="00B71823">
      <w:pPr>
        <w:spacing w:after="0" w:line="240" w:lineRule="auto"/>
        <w:rPr>
          <w:iCs/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Autobusy objęte niniejszymi przepisami muszą spełniać wymogi regulaminu EKG ONZ nr 107-05, załącznik 8.</w:t>
      </w:r>
    </w:p>
    <w:p w14:paraId="1D3883D5" w14:textId="77777777" w:rsidR="00E81585" w:rsidRPr="00B71823" w:rsidRDefault="00E81585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  <w:lang w:val="en-GB"/>
        </w:rPr>
      </w:pPr>
    </w:p>
    <w:p w14:paraId="3E99923D" w14:textId="3F82DC23" w:rsidR="006007DD" w:rsidRPr="00B71823" w:rsidRDefault="00B71823" w:rsidP="00B71823">
      <w:pPr>
        <w:spacing w:after="0" w:line="240" w:lineRule="auto"/>
        <w:rPr>
          <w:iCs/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Ponadto autobusy wykorzystywane do przewozu osób w ramach usług regularnych wymagających licencji muszą posiadać:</w:t>
      </w:r>
    </w:p>
    <w:p w14:paraId="565F5F05" w14:textId="1322BA5B" w:rsidR="00B71823" w:rsidRDefault="00B71823" w:rsidP="00B71823">
      <w:pPr>
        <w:spacing w:after="0" w:line="240" w:lineRule="auto"/>
        <w:rPr>
          <w:iCs/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a) automatyczną zapowiedź przystanku z komunikatami głosowymi i elektroniczną tablicą informacyjną wewnątrz autobusu, umieszczoną tak, aby była dobrze widoczna z przestrzeni pasażerskiej;</w:t>
      </w:r>
    </w:p>
    <w:p w14:paraId="3653FE0A" w14:textId="77777777" w:rsidR="00E81585" w:rsidRPr="00B71823" w:rsidRDefault="00E81585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  <w:lang w:val="en-US"/>
        </w:rPr>
      </w:pPr>
    </w:p>
    <w:p w14:paraId="23CD317D" w14:textId="77777777" w:rsidR="00B71823" w:rsidRPr="00B71823" w:rsidRDefault="00B71823" w:rsidP="00B71823">
      <w:pPr>
        <w:spacing w:after="0" w:line="240" w:lineRule="auto"/>
        <w:rPr>
          <w:iCs/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b) zewnętrzny system nadawczy (urządzenie dźwiękowe) informujący o tym, który autobus przyjeżdża na przystanek.</w:t>
      </w:r>
    </w:p>
    <w:p w14:paraId="11F046C1" w14:textId="77777777" w:rsidR="00B71823" w:rsidRPr="00B71823" w:rsidRDefault="00B71823" w:rsidP="00B71823">
      <w:pPr>
        <w:spacing w:after="0" w:line="240" w:lineRule="auto"/>
        <w:rPr>
          <w:iCs/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Wybór urządzenia wspomagającego wsiadanie musi być oparty na konstrukcji autobusu.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każdym autobusie musi być co najmniej jedno miejsce dla wózka inwalidzkiego.</w:t>
      </w:r>
    </w:p>
    <w:p w14:paraId="49D71262" w14:textId="1A440A1A" w:rsidR="00B71823" w:rsidRDefault="00B71823" w:rsidP="00B71823">
      <w:pPr>
        <w:spacing w:after="0" w:line="240" w:lineRule="auto"/>
        <w:rPr>
          <w:iCs/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Autobusy klasy II powinny być wyposażone w pasy bezpieczeństwa spełniające wymagania regulaminu EKG ONZ nr 16-06.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Punkty mocowania pasów bezpieczeństwa powinny spełniać wymagania regulaminu EKG ONZ nr 14-07.</w:t>
      </w:r>
    </w:p>
    <w:p w14:paraId="3F4443B0" w14:textId="77777777" w:rsidR="006007DD" w:rsidRPr="00B71823" w:rsidRDefault="006007DD" w:rsidP="00B71823">
      <w:pPr>
        <w:spacing w:after="0" w:line="240" w:lineRule="auto"/>
        <w:rPr>
          <w:rFonts w:ascii="Times New Roman" w:eastAsia="Times New Roman" w:hAnsi="Times New Roman" w:cs="Times New Roman"/>
          <w:iCs/>
          <w:szCs w:val="24"/>
          <w:lang w:val="en-GB"/>
        </w:rPr>
      </w:pPr>
    </w:p>
    <w:p w14:paraId="5AE92340" w14:textId="77777777" w:rsidR="00B71823" w:rsidRPr="00B71823" w:rsidRDefault="00B71823" w:rsidP="00B71823">
      <w:pPr>
        <w:spacing w:after="0" w:line="240" w:lineRule="auto"/>
        <w:rPr>
          <w:iCs/>
          <w:color w:val="C00000"/>
          <w:szCs w:val="24"/>
          <w:rFonts w:ascii="Times New Roman" w:eastAsia="Times New Roman" w:hAnsi="Times New Roman" w:cs="Times New Roman"/>
        </w:rPr>
      </w:pPr>
      <w:r>
        <w:rPr>
          <w:color w:val="C00000"/>
          <w:rFonts w:ascii="Times New Roman" w:hAnsi="Times New Roman"/>
        </w:rPr>
        <w:t xml:space="preserve">Od dnia 1 stycznia 2023 r. autobusy klasy I, II i III powinny spełniać wymagania w zakresie ochrony przed uderzeniami czołowymi opisane pkt 5 regulaminu EKG ONZ nr 29, jeżeli badanie zderzeniowe przeprowadzono zgodnie z załącznikiem 3 badanie A, a wartość uderzenia impaktora powinna być zgodna z pkt 5.5.2.</w:t>
      </w:r>
    </w:p>
    <w:p w14:paraId="3CFA2C6F" w14:textId="77777777" w:rsidR="00B71823" w:rsidRPr="00B71823" w:rsidRDefault="00B71823" w:rsidP="00B71823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043D292A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3960E229" w14:textId="77777777" w:rsidR="002D1522" w:rsidRPr="002D1522" w:rsidRDefault="002D1522" w:rsidP="002D1522">
      <w:pPr>
        <w:spacing w:after="0" w:line="240" w:lineRule="auto"/>
        <w:rPr>
          <w:b/>
          <w:szCs w:val="24"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(Uchylony)</w:t>
      </w:r>
    </w:p>
    <w:p w14:paraId="748677C7" w14:textId="7572CA36" w:rsid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4FC47300" w14:textId="77777777" w:rsidR="00106164" w:rsidRPr="002D1522" w:rsidRDefault="00106164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65ADFA03" w14:textId="77777777" w:rsidR="002D1522" w:rsidRPr="002D1522" w:rsidRDefault="002D1522" w:rsidP="002D1522">
      <w:pPr>
        <w:spacing w:after="0" w:line="240" w:lineRule="auto"/>
        <w:rPr>
          <w:b/>
          <w:szCs w:val="24"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6.</w:t>
      </w:r>
      <w:r>
        <w:rPr>
          <w:b/>
          <w:rFonts w:ascii="Times New Roman" w:hAnsi="Times New Roman"/>
        </w:rPr>
        <w:t xml:space="preserve"> </w:t>
      </w:r>
      <w:r>
        <w:rPr>
          <w:b/>
          <w:i/>
          <w:rFonts w:ascii="Times New Roman" w:hAnsi="Times New Roman"/>
        </w:rPr>
        <w:t xml:space="preserve">Wymogi mające zastosowanie do samochodów osobowych</w:t>
      </w:r>
    </w:p>
    <w:p w14:paraId="5E5D3482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Samochody osobowe muszą spełniać wymogi załącznika XI dodatek 3 „Pojazdy z dostępem dla wózków inwalidzkich” do dyrektywy </w:t>
      </w:r>
      <w:hyperlink r:id="rId7" w:anchor="reference/eu/32007l0046" w:history="1">
        <w:r>
          <w:rPr>
            <w:rFonts w:ascii="Times New Roman" w:hAnsi="Times New Roman"/>
          </w:rPr>
          <w:t xml:space="preserve">2007/46/WE</w:t>
        </w:r>
      </w:hyperlink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Ponadto zastosowanie mają następujące przepisy: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4A2D00A5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38B43CE3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7590AC40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miejsca dla wózków inwalidzkich muszą być zgodne z pkt 3.6.1. załącznika 8 do regulaminu EKG ONZ nr 107-05;</w:t>
            </w:r>
          </w:p>
        </w:tc>
      </w:tr>
    </w:tbl>
    <w:p w14:paraId="3B7E9B46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5AC1B2C9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0317A466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b)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3D0A99F9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miejsca siedzące w strefie dla wózków inwalidzkich muszą być zgodne z pkt 3.7. załącznika 8 do regulaminu nr EKG ONZ nr 107-05;</w:t>
            </w:r>
          </w:p>
        </w:tc>
      </w:tr>
    </w:tbl>
    <w:p w14:paraId="53F4A4E1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7D90BF5E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6B664019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c)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4CB602A8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oświetlenie musi być zgodne z pkt 7.6.12. załącznika 3 do regulaminu EKG ONZ nr 107-05;</w:t>
            </w:r>
          </w:p>
        </w:tc>
      </w:tr>
    </w:tbl>
    <w:p w14:paraId="350A7F45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2C777E4F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6EC1594C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0A8BB3A5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dźwigi, pochylnie i tym podobne muszą być zgodne z pkt 3.11. załącznika 8 do regulaminu EKG ONZ nr 107-05;</w:t>
            </w:r>
          </w:p>
        </w:tc>
      </w:tr>
    </w:tbl>
    <w:p w14:paraId="7F356D78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338353A2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3FB58D74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e)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33007488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miejsce na gaśnice i sprzęt pierwszej pomocy należy zapewnić zgodnie z pkt 7.5.4. załącznika 3 do regulaminu EKG ONZ nr 107-05;</w:t>
            </w:r>
          </w:p>
        </w:tc>
      </w:tr>
    </w:tbl>
    <w:p w14:paraId="502C399A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val="en-GB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8735"/>
      </w:tblGrid>
      <w:tr w:rsidR="002D1522" w:rsidRPr="002D1522" w14:paraId="75E503EF" w14:textId="77777777" w:rsidTr="00831C6F">
        <w:tc>
          <w:tcPr>
            <w:tcW w:w="360" w:type="dxa"/>
            <w:noWrap/>
            <w:tcMar>
              <w:right w:w="80" w:type="dxa"/>
            </w:tcMar>
          </w:tcPr>
          <w:p w14:paraId="4BAABB49" w14:textId="77777777" w:rsidR="002D1522" w:rsidRPr="002D1522" w:rsidRDefault="002D1522" w:rsidP="002D1522">
            <w:pPr>
              <w:spacing w:after="0" w:line="240" w:lineRule="auto"/>
              <w:jc w:val="right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f)</w:t>
            </w:r>
          </w:p>
        </w:tc>
        <w:tc>
          <w:tcPr>
            <w:tcW w:w="9506" w:type="dxa"/>
            <w:noWrap/>
            <w:tcMar>
              <w:right w:w="80" w:type="dxa"/>
            </w:tcMar>
          </w:tcPr>
          <w:p w14:paraId="6FDFC066" w14:textId="77777777" w:rsidR="002D1522" w:rsidRPr="002D1522" w:rsidRDefault="002D1522" w:rsidP="002D1522">
            <w:pPr>
              <w:spacing w:after="0" w:line="240" w:lineRule="auto"/>
              <w:rPr>
                <w:szCs w:val="24"/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światła robocze muszą być zgodne z art. 28-5 ust. 8 przepisów dotyczących wymagań technicznych i homologacji pojazdów.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6DD4E3D4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62209B70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17F7FA25" w14:textId="77777777" w:rsidR="002D1522" w:rsidRPr="002D1522" w:rsidRDefault="002D1522" w:rsidP="002D1522">
      <w:pPr>
        <w:spacing w:after="0" w:line="240" w:lineRule="auto"/>
        <w:rPr>
          <w:b/>
          <w:szCs w:val="24"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7.</w:t>
      </w:r>
      <w:r>
        <w:rPr>
          <w:b/>
          <w:rFonts w:ascii="Times New Roman" w:hAnsi="Times New Roman"/>
        </w:rPr>
        <w:t xml:space="preserve"> </w:t>
      </w:r>
      <w:r>
        <w:rPr>
          <w:b/>
          <w:i/>
          <w:rFonts w:ascii="Times New Roman" w:hAnsi="Times New Roman"/>
        </w:rPr>
        <w:t xml:space="preserve">Egzekwowanie przepisów</w:t>
      </w:r>
    </w:p>
    <w:p w14:paraId="1F442AD8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Autobusy objęte niniejszymi przepisami muszą zawsze spełniać wymagania art. 4 podczas wykonywania przewozów licencjonowanych, zob. jednak art. 8.</w:t>
      </w:r>
    </w:p>
    <w:p w14:paraId="152C6C4D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Samochody osobowe objęte niniejszymi przepisami muszą zawsze spełniać wymagania art. 6 podczas wykonywania przewozów licencjonowanych, zob. jednak art. 8.</w:t>
      </w:r>
    </w:p>
    <w:p w14:paraId="6443728E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Norweski Zarząd Dróg Publicznych i policja przeprowadzają inspekcje w celu egzekwowania tych przepisów.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przypadku niewłaściwego wyposażenia lub niewłaściwego wykorzystania materiałów, które nie spełniają wymogów przepisów lub nie funkcjonują prawidłowo, stosuje się odpowiednio art. 40 i 41 ustawy o transporcie zawodowym.</w:t>
      </w:r>
    </w:p>
    <w:p w14:paraId="0A8E8E5A" w14:textId="77777777" w:rsidR="002D1522" w:rsidRPr="002D1522" w:rsidRDefault="002D1522" w:rsidP="002D1522">
      <w:pPr>
        <w:spacing w:before="120"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50BCA031" w14:textId="77777777" w:rsidR="002D1522" w:rsidRPr="002D1522" w:rsidRDefault="002D1522" w:rsidP="002D1522">
      <w:pPr>
        <w:spacing w:after="0" w:line="240" w:lineRule="auto"/>
        <w:rPr>
          <w:b/>
          <w:szCs w:val="24"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8.</w:t>
      </w:r>
      <w:r>
        <w:rPr>
          <w:b/>
          <w:rFonts w:ascii="Times New Roman" w:hAnsi="Times New Roman"/>
        </w:rPr>
        <w:t xml:space="preserve"> </w:t>
      </w:r>
      <w:r>
        <w:rPr>
          <w:b/>
          <w:i/>
          <w:rFonts w:ascii="Times New Roman" w:hAnsi="Times New Roman"/>
        </w:rPr>
        <w:t xml:space="preserve">Zwolnienia</w:t>
      </w:r>
    </w:p>
    <w:p w14:paraId="776DCD13" w14:textId="631381A1" w:rsidR="002D1522" w:rsidRPr="002D1522" w:rsidRDefault="002D1522" w:rsidP="00106164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W przypadku pojazdów objętych niniejszymi przepisami Norweski Zarząd Dróg Publicznych może w indywidualnych przypadkach przyznać zwolnienie z jednego lub kilku wymogów określonych w art. 4 i 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Nie dopuszcza się zwolnień z wymogów dotyczących urządzeń wspomagających wsiadanie, urządzeń przytrzymujących (mechanizmów mocujących) dla wózków inwalidzkich, pasów bezpieczeństwa, sprzętu gaśniczego, sprzętu pierwszej pomocy i świateł roboczych.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odniesieniu do wymogów określonych w art. 4 akapit drugi organ wydający zezwolenia może również przyznać zwolnienia.</w:t>
      </w:r>
    </w:p>
    <w:p w14:paraId="4A61466A" w14:textId="77777777" w:rsidR="002D1522" w:rsidRPr="002D1522" w:rsidRDefault="002D1522" w:rsidP="002D152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p w14:paraId="10D73BBC" w14:textId="77777777" w:rsidR="002D1522" w:rsidRPr="002D1522" w:rsidRDefault="002D1522" w:rsidP="002D1522">
      <w:pPr>
        <w:spacing w:after="0" w:line="240" w:lineRule="auto"/>
        <w:rPr>
          <w:b/>
          <w:szCs w:val="24"/>
          <w:rFonts w:ascii="Times New Roman" w:eastAsia="Times New Roman" w:hAnsi="Times New Roman" w:cs="Times New Roman"/>
        </w:rPr>
      </w:pPr>
      <w:r>
        <w:rPr>
          <w:b/>
          <w:rFonts w:ascii="Times New Roman" w:hAnsi="Times New Roman"/>
        </w:rPr>
        <w:t xml:space="preserve">Artykuł 9.</w:t>
      </w:r>
      <w:r>
        <w:rPr>
          <w:b/>
          <w:rFonts w:ascii="Times New Roman" w:hAnsi="Times New Roman"/>
        </w:rPr>
        <w:t xml:space="preserve"> </w:t>
      </w:r>
      <w:r>
        <w:rPr>
          <w:b/>
          <w:i/>
          <w:rFonts w:ascii="Times New Roman" w:hAnsi="Times New Roman"/>
        </w:rPr>
        <w:t xml:space="preserve">Wejście w życie i przepisy przejściowe</w:t>
      </w:r>
    </w:p>
    <w:p w14:paraId="2C1B4C00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Niniejsze przepisy wchodzą w życie z dniem 1 stycznia 2010 r.</w:t>
      </w:r>
    </w:p>
    <w:p w14:paraId="2E3F7863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Umowy zakupu nowych środków transportu zawarte po dniu 1 stycznia 2010 r. muszą być zgodne z wymogami niniejszych przepisów.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Środki transportu, które otrzymały uprzednio homologację i które zostały zmienione lub zmodyfikowane, mogą uzyskać ponowną homologację zgodnie z art. 3.</w:t>
      </w:r>
    </w:p>
    <w:p w14:paraId="53FA4661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Pojazdy homologowane zgodnie z przepisami nr 599 z dnia 4 stycznia 1984 r. dotyczącymi licencjonowanego transportu osób niepełnosprawnych – wymagania techniczne pojazdów, będą nadal uznawane za homologowane do licencjonowanego transportu osób niepełnosprawnych.</w:t>
      </w:r>
      <w:hyperlink r:id="rId8" w:anchor="reference/forskrift/1984-01-04-599" w:history="1">
        <w:r>
          <w:rPr>
            <w:rFonts w:ascii="Times New Roman" w:hAnsi="Times New Roman"/>
          </w:rPr>
          <w:t xml:space="preserve"> </w:t>
        </w:r>
      </w:hyperlink>
    </w:p>
    <w:p w14:paraId="436ADDF7" w14:textId="77777777" w:rsidR="002D1522" w:rsidRPr="002D1522" w:rsidRDefault="002D1522" w:rsidP="002D1522">
      <w:pPr>
        <w:spacing w:before="120" w:after="0" w:line="240" w:lineRule="auto"/>
        <w:ind w:firstLine="180"/>
        <w:rPr>
          <w:szCs w:val="24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Przepisy nr 599 z dnia 4 stycznia 1984 r. dotyczące licencjonowanego transportu osób niepełnosprawnych – wymagania techniczne pojazdów tracą moc z dniem 1 stycznia 2010 r.</w:t>
      </w:r>
      <w:hyperlink r:id="rId9" w:anchor="reference/forskrift/1984-01-04-599" w:history="1">
        <w:r>
          <w:rPr>
            <w:rFonts w:ascii="Times New Roman" w:hAnsi="Times New Roman"/>
          </w:rPr>
          <w:t xml:space="preserve"> </w:t>
        </w:r>
      </w:hyperlink>
    </w:p>
    <w:p w14:paraId="4A09D46B" w14:textId="77777777" w:rsidR="009970F3" w:rsidRPr="009970F3" w:rsidRDefault="009970F3">
      <w:pPr>
        <w:rPr>
          <w:lang w:val="en-GB"/>
        </w:rPr>
      </w:pPr>
    </w:p>
    <w:sectPr w:rsidR="009970F3" w:rsidRPr="00997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7F23" w14:textId="77777777" w:rsidR="00DE24C8" w:rsidRDefault="00DE24C8" w:rsidP="009970F3">
      <w:pPr>
        <w:spacing w:after="0" w:line="240" w:lineRule="auto"/>
      </w:pPr>
      <w:r>
        <w:separator/>
      </w:r>
    </w:p>
  </w:endnote>
  <w:endnote w:type="continuationSeparator" w:id="0">
    <w:p w14:paraId="13AA7154" w14:textId="77777777" w:rsidR="00DE24C8" w:rsidRDefault="00DE24C8" w:rsidP="0099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3F2D" w14:textId="77777777" w:rsidR="00DE24C8" w:rsidRDefault="00DE24C8" w:rsidP="009970F3">
      <w:pPr>
        <w:spacing w:after="0" w:line="240" w:lineRule="auto"/>
      </w:pPr>
      <w:r>
        <w:separator/>
      </w:r>
    </w:p>
  </w:footnote>
  <w:footnote w:type="continuationSeparator" w:id="0">
    <w:p w14:paraId="305FB64E" w14:textId="77777777" w:rsidR="00DE24C8" w:rsidRDefault="00DE24C8" w:rsidP="0099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F3"/>
    <w:rsid w:val="00106164"/>
    <w:rsid w:val="0011337F"/>
    <w:rsid w:val="002D1522"/>
    <w:rsid w:val="0054005C"/>
    <w:rsid w:val="006007DD"/>
    <w:rsid w:val="00711279"/>
    <w:rsid w:val="009970F3"/>
    <w:rsid w:val="00B71823"/>
    <w:rsid w:val="00DE24C8"/>
    <w:rsid w:val="00E81585"/>
    <w:rsid w:val="00F4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9808B"/>
  <w15:chartTrackingRefBased/>
  <w15:docId w15:val="{6DCD1777-89CE-486A-9668-0DCDA90B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lovdata.no/p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vdata.no/p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p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vdata.no/pr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Birgitte Berg-Halsen</dc:creator>
  <cp:keywords/>
  <dc:description/>
  <cp:lastModifiedBy>Liana Brili</cp:lastModifiedBy>
  <cp:revision>10</cp:revision>
  <dcterms:created xsi:type="dcterms:W3CDTF">2022-02-09T09:31:00Z</dcterms:created>
  <dcterms:modified xsi:type="dcterms:W3CDTF">2022-02-14T13:22:00Z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bf486-f09d-4a86-8810-b4add863c98a_Enabled">
    <vt:lpwstr>true</vt:lpwstr>
  </property>
  <property fmtid="{D5CDD505-2E9C-101B-9397-08002B2CF9AE}" pid="3" name="MSIP_Label_e5fbf486-f09d-4a86-8810-b4add863c98a_SetDate">
    <vt:lpwstr>2022-02-09T09:38:56Z</vt:lpwstr>
  </property>
  <property fmtid="{D5CDD505-2E9C-101B-9397-08002B2CF9AE}" pid="4" name="MSIP_Label_e5fbf486-f09d-4a86-8810-b4add863c98a_Method">
    <vt:lpwstr>Privileged</vt:lpwstr>
  </property>
  <property fmtid="{D5CDD505-2E9C-101B-9397-08002B2CF9AE}" pid="5" name="MSIP_Label_e5fbf486-f09d-4a86-8810-b4add863c98a_Name">
    <vt:lpwstr>Public</vt:lpwstr>
  </property>
  <property fmtid="{D5CDD505-2E9C-101B-9397-08002B2CF9AE}" pid="6" name="MSIP_Label_e5fbf486-f09d-4a86-8810-b4add863c98a_SiteId">
    <vt:lpwstr>38856954-ed55-49f7-8bdd-738ffbbfd390</vt:lpwstr>
  </property>
  <property fmtid="{D5CDD505-2E9C-101B-9397-08002B2CF9AE}" pid="7" name="MSIP_Label_e5fbf486-f09d-4a86-8810-b4add863c98a_ActionId">
    <vt:lpwstr>8d9469b0-ffc8-46d3-90f2-ca585e825876</vt:lpwstr>
  </property>
  <property fmtid="{D5CDD505-2E9C-101B-9397-08002B2CF9AE}" pid="8" name="MSIP_Label_e5fbf486-f09d-4a86-8810-b4add863c98a_ContentBits">
    <vt:lpwstr>0</vt:lpwstr>
  </property>
</Properties>
</file>