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 novembri 2021. aasta dekreet mesilaste ja muude tolmeldavate putukate kaitse ning tolmeldamise säilitamise kohta taimekaitsevahendite kasutamisel</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 AGRG2134356A</w:t>
      </w:r>
      <w:r>
        <w:rPr>
          <w:rFonts w:ascii="Times New Roman" w:hAnsi="Times New Roman"/>
          <w:sz w:val="24"/>
        </w:rPr>
        <w:br/>
        <w:t>ELI: https://www.legifrance.gouv.fr/eli/arrete/2021/11/20/AGRG2134356A/jo/texte</w:t>
      </w:r>
      <w:r>
        <w:rPr>
          <w:rFonts w:ascii="Times New Roman" w:hAnsi="Times New Roman"/>
          <w:sz w:val="24"/>
        </w:rPr>
        <w:br/>
        <w:t>JORF nr 0271, 21. november 2021</w:t>
      </w:r>
      <w:r>
        <w:rPr>
          <w:rFonts w:ascii="Times New Roman" w:hAnsi="Times New Roman"/>
          <w:sz w:val="24"/>
        </w:rPr>
        <w:br/>
        <w:t>Tekst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jaotis. RAAMISTIK TAIMEKAITSEVAHENDITE KASUTAMISE LUBAMISEKS ÕITSEMISE AJAL (artikkel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jagu. JÄRELEVALVE TAIMEKAITSEVAHENDITE KASUTAMISE ÜLE ÕITSEMISE AJAL (artiklid 3–7)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jaotis. ÜLEMINEKUSÄTTED (artiklid 8–11)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Lisa</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Sihtrühm: müügiloa taotlejad ja omanikud, taimekaitsevahendite kasutajad, isikud, kes tolmeldamisest kasu saavad.  </w:t>
      </w:r>
      <w:r>
        <w:rPr>
          <w:rFonts w:ascii="Times New Roman" w:hAnsi="Times New Roman"/>
          <w:sz w:val="24"/>
        </w:rPr>
        <w:br/>
        <w:t xml:space="preserve">Teema: käesolevas dekreedis sätestatakse meetmed tolmeldajate ning põllumajandus- ja ökosüsteemiteenuste kaitsmiseks taimekaitsevahendite kasutamisega seotud ohtude eest.  </w:t>
      </w:r>
      <w:r>
        <w:rPr>
          <w:rFonts w:ascii="Times New Roman" w:hAnsi="Times New Roman"/>
          <w:sz w:val="24"/>
        </w:rPr>
        <w:br/>
        <w:t>Jõustumine: see dekreet jõustub 1. jaanuaril 2022.</w:t>
      </w:r>
      <w:r>
        <w:rPr>
          <w:rFonts w:ascii="Times New Roman" w:hAnsi="Times New Roman"/>
          <w:sz w:val="24"/>
        </w:rPr>
        <w:br/>
        <w:t xml:space="preserve">Märkus: dekreediga laiendatakse kõikidele taimekaitsevahenditele põhimõtet, mille kohaselt tuleb tolmeldajatele avalduva ohu seisukohast hinnata võimalust kasutada taimekaitsevahendit tolmeldajatele atraktiivsetel põllumajanduskultuuridel õitsemise ajal ja korjealadel.  Kui ANSES on toote õitsemise ajal kasutamiseks heaks kiitnud, peab töötlemine toimuma kahe tunni jooksul enne päikeseloojangut ja kolme tunni jooksul pärast päikeseloojangut, välja arvatud erijuhtudel. Dekreediga nähakse ette üleminekumeetmed ja ajakava nende uute sätete rakendamiseks. </w:t>
      </w:r>
      <w:r>
        <w:rPr>
          <w:rFonts w:ascii="Times New Roman" w:hAnsi="Times New Roman"/>
          <w:sz w:val="24"/>
        </w:rPr>
        <w:br/>
        <w:t xml:space="preserve">Viited: käesolev dekreet on välja antud maa- ja merekalapüügi koodeksi artikli L. 253-7 alusel. See on kättesaadav Légifrance’i veebisaidil: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Ökoloogilise ülemineku minister, majanduse, rahanduse ja majanduse elavdamise minister, solidaarsus- ja tervishoiuminister ning põllumajandus- ja toiduminister,</w:t>
      </w:r>
      <w:r>
        <w:rPr>
          <w:rFonts w:ascii="Times New Roman" w:hAnsi="Times New Roman"/>
          <w:sz w:val="24"/>
        </w:rPr>
        <w:br/>
        <w:t>võttes arvesse Euroopa Parlamendi ja nõukogu 21. oktoobri 2009. aasta muudetud määrust (EÜ) nr 1107/2009 taimekaitsevahendite turulelaskmise ja nõukogu direktiivide 79/117/EMÜ ja 91/414/EMÜ kehtetuks tunnistamise kohta;</w:t>
      </w:r>
      <w:r>
        <w:rPr>
          <w:rFonts w:ascii="Times New Roman" w:hAnsi="Times New Roman"/>
          <w:sz w:val="24"/>
        </w:rPr>
        <w:br/>
        <w:t>võttes arvesse komisjoni 8. juuni 2011. aasta määrust (EL) nr 547/2011, millega rakendatakse Euroopa Parlamendi ja nõukogu määrust (EÜ) nr 1107/2009 seoses taimekaitsevahendite märgistamise nõuetega;</w:t>
      </w:r>
      <w:r>
        <w:rPr>
          <w:rFonts w:ascii="Times New Roman" w:hAnsi="Times New Roman"/>
          <w:sz w:val="24"/>
        </w:rPr>
        <w:br/>
        <w:t>võttes arvesse Euroopa Parlamendi ja nõukogu 9. septembri 2015. aasta direktiivi (EL) 2015/1535, millega nähakse ette tehnilistest eeskirjadest ning infoühiskonna teenuste eeskirjadest teatamise kord;</w:t>
      </w:r>
      <w:r>
        <w:rPr>
          <w:rFonts w:ascii="Times New Roman" w:hAnsi="Times New Roman"/>
          <w:sz w:val="24"/>
        </w:rPr>
        <w:br/>
        <w:t>võttes arvesse maa- ja merekalapüügi koodeksit, eriti selle artikleid L. 201-4, L. 251-3, L. 253-1, L. 253-7, D. 253-8, R. 253-43 ja R. 253-45;</w:t>
      </w:r>
      <w:r>
        <w:rPr>
          <w:rFonts w:ascii="Times New Roman" w:hAnsi="Times New Roman"/>
          <w:sz w:val="24"/>
        </w:rPr>
        <w:br/>
        <w:t>võttes arvesse 16. juuni 2009. aasta dekreeti tingimuste kohta, mille alusel artiklis L. 257-1 nimetatud ettevõtjad peavad maakoodeksi artiklis L. 257-3 nimetatud registrit;</w:t>
      </w:r>
      <w:r>
        <w:rPr>
          <w:rFonts w:ascii="Times New Roman" w:hAnsi="Times New Roman"/>
          <w:sz w:val="24"/>
        </w:rPr>
        <w:br/>
        <w:t>võttes arvesse teatist nr 2021/448/F;</w:t>
      </w:r>
      <w:r>
        <w:rPr>
          <w:rFonts w:ascii="Times New Roman" w:hAnsi="Times New Roman"/>
          <w:sz w:val="24"/>
        </w:rPr>
        <w:br/>
      </w:r>
      <w:r>
        <w:rPr>
          <w:rFonts w:ascii="Times New Roman" w:hAnsi="Times New Roman"/>
          <w:sz w:val="24"/>
        </w:rPr>
        <w:lastRenderedPageBreak/>
        <w:t>võttes arvesse tähelepanekuid, mis tehti 28. juuni 2021 ja 20. juuli 2021 vahel vastavalt keskkonnaseadustiku artiklile L. 123-19-1 toimunud avaliku arutelu käigus;</w:t>
      </w:r>
      <w:r>
        <w:rPr>
          <w:rFonts w:ascii="Times New Roman" w:hAnsi="Times New Roman"/>
          <w:sz w:val="24"/>
        </w:rPr>
        <w:br/>
        <w:t>sätestavad käesolevaga järgmist.</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Dekreedis kasutatakse järgmisi mõisteid järgmises tähenduses:</w:t>
      </w:r>
      <w:r>
        <w:rPr>
          <w:rFonts w:ascii="Times New Roman" w:hAnsi="Times New Roman"/>
          <w:sz w:val="24"/>
        </w:rPr>
        <w:br/>
        <w:t xml:space="preserve">„mesilased“ – kodumesilased, metsmesilased ja kimalased; </w:t>
      </w:r>
      <w:r>
        <w:rPr>
          <w:rFonts w:ascii="Times New Roman" w:hAnsi="Times New Roman"/>
          <w:sz w:val="24"/>
        </w:rPr>
        <w:br/>
        <w:t xml:space="preserve">„päikeseloojang“ – töötluskohale kõige lähemal asuva koha efemeeride poolt määratud aeg; </w:t>
      </w:r>
      <w:r>
        <w:rPr>
          <w:rFonts w:ascii="Times New Roman" w:hAnsi="Times New Roman"/>
          <w:sz w:val="24"/>
        </w:rPr>
        <w:br/>
        <w:t>„atraktiivne kultuur“ – atraktiivne saak kujutab endast põllumajanduskultuuri, mis on oma olemuselt ahvatlev mesilastele või teistele tolmeldajatele.  Selle dekreedi tähenduses ei peeta atraktiivseks põllumajanduskultuure, mis on loetletud põllumajandusministeeriumi ametlikus bülletäänis;</w:t>
      </w:r>
      <w:r>
        <w:rPr>
          <w:rFonts w:ascii="Times New Roman" w:hAnsi="Times New Roman"/>
          <w:sz w:val="24"/>
        </w:rPr>
        <w:br/>
        <w:t xml:space="preserve">„eksudaat“ – mesilaste või muude tolmeldajate korjatud lehemesi, taimedest saadud magusad eritised ja õieväline nektar; </w:t>
      </w:r>
      <w:r>
        <w:rPr>
          <w:rFonts w:ascii="Times New Roman" w:hAnsi="Times New Roman"/>
          <w:sz w:val="24"/>
        </w:rPr>
        <w:br/>
        <w:t xml:space="preserve">„õitsemine“ – vegetatiivne periood alates esimeste lillede avanemisest kuni viimaste lillede kroonlehtede langemiseni; </w:t>
      </w:r>
      <w:r>
        <w:rPr>
          <w:rFonts w:ascii="Times New Roman" w:hAnsi="Times New Roman"/>
          <w:sz w:val="24"/>
        </w:rPr>
        <w:br/>
        <w:t xml:space="preserve">„tooted“ – taimekaitsevahendid, välja arvatud harvendustooted ja nende abiained, millele on osutatud maa- ja merekalapüügi koodeksi artiklis L.253-1; </w:t>
      </w:r>
      <w:r>
        <w:rPr>
          <w:rFonts w:ascii="Times New Roman" w:hAnsi="Times New Roman"/>
          <w:sz w:val="24"/>
        </w:rPr>
        <w:br/>
        <w:t>„register“ – taimekaitsevahendite kasutamise register vastavalt 16. juuni 2009. aasta dekreedile tingimuste kohta, mille alusel peavad maa- ja merekalapüügi koodeksi artiklis L. 257-1 osutatud ettevõtjad 21. oktoobri 2009. aasta määruse (EÜ) nr 1107/2009 (taimekaitsevahendite turulelaskmise kohta) artiklis 67 osutatud registrit;</w:t>
      </w:r>
      <w:r>
        <w:rPr>
          <w:rFonts w:ascii="Times New Roman" w:hAnsi="Times New Roman"/>
          <w:sz w:val="24"/>
        </w:rPr>
        <w:br/>
        <w:t xml:space="preserve">„kasutamine“ – taimekaitsevahendi või abiaine kasutamine taimel, taimsel saadusel või taimeperekonnal taimekahjustaja, taimekahjustajate rühma, haiguse või haiguste rühma tõrjeks vastavalt täpselt määratletud funktsioonile ja üksikasjalikele rakenduseeskirjadele, mis on loetletud maa- ja merekalapüügi koodeksi artiklis D.253-8 osutatud kataloogis; </w:t>
      </w:r>
      <w:r>
        <w:rPr>
          <w:rFonts w:ascii="Times New Roman" w:hAnsi="Times New Roman"/>
          <w:sz w:val="24"/>
        </w:rPr>
        <w:br/>
        <w:t>„toote kasutamine“ – taimekaitsevahendi või abiaine mis tahes kasutamine vegetatiivsel tsüklil vastavalt lubatud kasutusviisile, olenemata kasutusviisist ja töödeldavast taimeosast, välja arvatud 1. lisas kindlaksmääratud kasutusviisid, mis välistavad tolmeldajate kokkupuute õitsemise ajal;</w:t>
      </w:r>
      <w:r>
        <w:rPr>
          <w:rFonts w:ascii="Times New Roman" w:hAnsi="Times New Roman"/>
          <w:sz w:val="24"/>
        </w:rPr>
        <w:br/>
        <w:t>„korjeala“ – kui välja arvata tootmises olevad põllumajanduskultuurid, on korjeala põllumajanduslik või mittepõllumajanduslik maa, kus kasvatatakse taimerühma või kasvab spontaanselt taimerühm, mis pakub mesilastele või muudele tolmeldajatele lillede või eksudaatide esinemise tõttu ilmset huvi.  Käesoleva dekreedi tähenduses on toodete kasutamine korjealal selline, mis on ette nähtud nende alade spetsiifiliseks töötlemiseks, olenemata sellest, kuidas neid kasutatakse põllumajanduskultuuride tootmises.</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jaotis. RAAMISTIK TAIMEKAITSEVAHENDITE KASUTAMISE LUBAMISEKS ÕITSEMISE AJAL (artikkel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Maa- ja merekalapüügi koodeksi artiklis L. 253-1 osutatud loa väljastamisel või pikendamisel hindab ANSES riske, mis on seotud toote kasutamisega atraktiivsetel põllumajanduskultuuridel nende õitsemise ajal.</w:t>
      </w:r>
      <w:r>
        <w:rPr>
          <w:rFonts w:ascii="Times New Roman" w:hAnsi="Times New Roman"/>
          <w:sz w:val="24"/>
        </w:rPr>
        <w:br/>
      </w:r>
      <w:r>
        <w:rPr>
          <w:rFonts w:ascii="Times New Roman" w:hAnsi="Times New Roman"/>
          <w:sz w:val="24"/>
        </w:rPr>
        <w:lastRenderedPageBreak/>
        <w:t>Selleks lisab taotleja oma toimikule kehtivate eeskirjadega nõutavad katsed ja riskihinnangud ning teabe, mis on vajalik ANSESil seisukoha võtmiseks esimeses lõigus osutatud hindamise üle otsustamiseks.</w:t>
      </w:r>
      <w:r>
        <w:rPr>
          <w:rFonts w:ascii="Times New Roman" w:hAnsi="Times New Roman"/>
          <w:sz w:val="24"/>
        </w:rPr>
        <w:br/>
        <w:t>Kui ANSESi tehtud riskihinnangus jõutakse järeldusele, et toote kasutamine toob kaasa mesilaste vähese kokkupuute ega põhjusta lubamatut, ägedat või kroonilist mõju mesilastele ega mõju mesilasperede ellujäämisele ja arengule, võib toote kasutamist lubada vastaval atraktiivsel põllumajanduskultuuril õitsemise ajal ja korjealadel. Sellise kasutamise tingimuseks on artiklis 3 sätestatud meetmete järgimine.</w:t>
      </w:r>
      <w:r>
        <w:rPr>
          <w:rFonts w:ascii="Times New Roman" w:hAnsi="Times New Roman"/>
          <w:sz w:val="24"/>
        </w:rPr>
        <w:br/>
        <w:t>Vastasel juhul on toote kasutamine keelatud vastaval atraktiivsel põllumajanduskultuuril õitsemise ajal ja korjealadel.</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jagu. JÄRELEVALVE TAIMEKAITSEVAHENDITE KASUTAMISE ÜLE ÕITSEMISE AJAL (artiklid 3–7)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Artikli 2 alusel lubatud toodet kasutatakse atraktiivsel põllumajanduskultuuril õitsemise ajal või korjealal kahe tunni jooksul enne päikeseloojangut ja kolme tunni jooksul pärast päikeseloojangut.</w:t>
      </w:r>
      <w:r>
        <w:rPr>
          <w:rFonts w:ascii="Times New Roman" w:hAnsi="Times New Roman"/>
          <w:sz w:val="24"/>
        </w:rPr>
        <w:br/>
        <w:t>Seda ajavahemikku võib kohandada või selle võib tühistada vastavalt meetmetele, millega nähakse ette samaväärsed tagatised mesilaste ja teiste tolmeldajate kokkupuute kohta. Need meetmed on esitatud pärast ANSESi arvamust lisas, eriti töötlemisprotseduuride võimaldamisega hommikul või temperatuurilävendi juures.</w:t>
      </w:r>
      <w:r>
        <w:rPr>
          <w:rFonts w:ascii="Times New Roman" w:hAnsi="Times New Roman"/>
          <w:sz w:val="24"/>
        </w:rPr>
        <w:br/>
        <w:t>Erandina esimesest lõikest tehakse katseid taimekaitsevahendite kasutamisega väljaspool nimetatud ajavahemikku, et teha kindlaks otsustamist toetavad vahendid või muud tehnoloogiad, mille kasutamine annaks samaväärseid tagatisi mesilaste ja teiste tolmeldajate kokkupuute kohta. See katse, mille maksimaalne kestus on kolm aastat ja mida ANSES hindab, viiakse läbi keskkonna ja põllumajanduse eest vastutavate ministrite ühisdekreedis kindlaks määratud tingimustel ja korras.</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Kui mitmeaastaste taimede all olev taimkate moodustab korjeala, tuleb see enne insektitsiidi või akaritsiidiga töötlemist muuta tolmeldajate jaoks ebaatraktiivseks.</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Artiklis 3 sätestatud kasutusaega võib muuta järgmistel juhtudel:</w:t>
      </w:r>
    </w:p>
    <w:p w14:paraId="040DB100" w14:textId="5D577868"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854060">
        <w:rPr>
          <w:rFonts w:ascii="Times New Roman" w:hAnsi="Times New Roman"/>
          <w:sz w:val="24"/>
        </w:rPr>
        <w:t>-</w:t>
      </w:r>
      <w:r>
        <w:rPr>
          <w:rFonts w:ascii="Times New Roman" w:hAnsi="Times New Roman"/>
          <w:sz w:val="24"/>
        </w:rPr>
        <w:t xml:space="preserve"> kui taimekahjustajate ja haiguste eksklusiivselt ööpäevase aktiivsuse tõttu ei taga artiklis 3 kindlaksmääratud ajavahemiku jooksul tehtud töötlus töödeldud kultuuri tõhusat kaitset;</w:t>
      </w:r>
      <w:r>
        <w:rPr>
          <w:rFonts w:ascii="Times New Roman" w:hAnsi="Times New Roman"/>
          <w:sz w:val="24"/>
        </w:rPr>
        <w:br/>
      </w:r>
      <w:r w:rsidR="00854060">
        <w:rPr>
          <w:rFonts w:ascii="Times New Roman" w:hAnsi="Times New Roman"/>
          <w:sz w:val="24"/>
        </w:rPr>
        <w:t>-</w:t>
      </w:r>
      <w:r>
        <w:rPr>
          <w:rFonts w:ascii="Times New Roman" w:hAnsi="Times New Roman"/>
          <w:sz w:val="24"/>
        </w:rPr>
        <w:t xml:space="preserve"> kui haiguse arengut silmas pidades sõltub fungitsiidravi tõhusus selle lõpetamisest piiratud aja jooksul, mis ei ole kooskõlas artiklis 3 sätestatud ajavahemikuga.</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Mõlemal juhul võib taimi töödelda ilma ajaliste piiranguteta.</w:t>
      </w:r>
      <w:r>
        <w:rPr>
          <w:rFonts w:ascii="Times New Roman" w:hAnsi="Times New Roman"/>
          <w:sz w:val="24"/>
        </w:rPr>
        <w:br/>
        <w:t>Ajutiselt võib taotluse esitada kaheksa kuu jooksul alates käesoleva dekreedi avaldamisest ilma tunnipiiranguta, tingimusel et temperatuur on mesilaste esinemise vältimiseks piisavalt madal.</w:t>
      </w:r>
      <w:r>
        <w:rPr>
          <w:rFonts w:ascii="Times New Roman" w:hAnsi="Times New Roman"/>
          <w:sz w:val="24"/>
        </w:rPr>
        <w:br/>
        <w:t>Registrisse kantakse töötlemise algus- ja lõppkuupäev ning artiklis 3 sätestatud ajavahemiku muutmise põhjus.</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Artikli 2 neljandas lõikes sätestatud keelust ja artiklis 3 ette nähtud majandamismeetmetest võib teha erandeid maa- ja merekalapüügi koodeksi artikli L. 201-4 jaotise II alusel välja antud dekreedi põhjal ja sama seadustiku artikli L. 251-3 kohaldamisalasse kuuluvatele asutustele.</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7</w:t>
      </w:r>
    </w:p>
    <w:p w14:paraId="1044327C" w14:textId="1F356342"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854060">
        <w:rPr>
          <w:rFonts w:ascii="Times New Roman" w:hAnsi="Times New Roman"/>
          <w:sz w:val="24"/>
        </w:rPr>
        <w:t>-</w:t>
      </w:r>
      <w:r>
        <w:rPr>
          <w:rFonts w:ascii="Times New Roman" w:hAnsi="Times New Roman"/>
          <w:sz w:val="24"/>
        </w:rPr>
        <w:t xml:space="preserve"> Nende toodete märgistusel, mida ei ole lubatud kasutada põllumajanduskultuuridel õitsemise ajal vastavalt artiklile 2, peab olema märge „Mesilastele ohtlik. Mesilaste ja muude tolmeldajate kaitsmiseks ei tohi neid õitsemise ajal kasutada ega kasutada korjealadel.“</w:t>
      </w:r>
      <w:r>
        <w:rPr>
          <w:rFonts w:ascii="Times New Roman" w:hAnsi="Times New Roman"/>
          <w:sz w:val="24"/>
        </w:rPr>
        <w:br/>
        <w:t xml:space="preserve">II. </w:t>
      </w:r>
      <w:r w:rsidR="00854060">
        <w:rPr>
          <w:rFonts w:ascii="Times New Roman" w:hAnsi="Times New Roman"/>
          <w:sz w:val="24"/>
        </w:rPr>
        <w:t xml:space="preserve">- </w:t>
      </w:r>
      <w:r>
        <w:rPr>
          <w:rFonts w:ascii="Times New Roman" w:hAnsi="Times New Roman"/>
          <w:sz w:val="24"/>
        </w:rPr>
        <w:t>Nende toodete märgistusel, mille puhul on vastavalt artiklile 2 lubatud toodet kasutada vähemalt üks kord põllumajanduskultuuril õitsemise ajal, peab olema märge „Võib olla mesilastele ohtlik.  Võimalik kasutamine õitsemise ajal ja korjealadel kahe tunni jooksul enne päikeseloojangut või kolme tunni jooksul pärast päikeseloojangut üksnes järgmistel kasutuseesmärkidel: [...] Tunnikorda võib kohandada vastavalt 20. novembri 2021. aasta dekreedile mesilaste ja muude tolmeldavate putukate kaitse ning tolmeldamisteenuste säilitamise kohta taimekaitsevahendite kasutamisel.“</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jaotis. ÜLEMINEKUSÄTTED (artiklid 8–11)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8</w:t>
      </w:r>
    </w:p>
    <w:p w14:paraId="47A5BAF5"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Üleminekumeetmena võib kasutada insektitsiide ja akaritsiide, mille müügiluba sisaldab käesoleva dekreedi jõustumise kuupäeval ühte järgmistest üksikasjadest:</w:t>
      </w:r>
    </w:p>
    <w:p w14:paraId="3C0215A8" w14:textId="59CA8C35"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854060">
        <w:rPr>
          <w:rFonts w:ascii="Times New Roman" w:hAnsi="Times New Roman"/>
          <w:sz w:val="24"/>
        </w:rPr>
        <w:t xml:space="preserve">- </w:t>
      </w:r>
      <w:r>
        <w:rPr>
          <w:rFonts w:ascii="Times New Roman" w:hAnsi="Times New Roman"/>
          <w:sz w:val="24"/>
        </w:rPr>
        <w:t>lubatud kasutus õitsemise ajal, välja arvatud mesilaste juuresolekul;“</w:t>
      </w:r>
      <w:r>
        <w:rPr>
          <w:rFonts w:ascii="Times New Roman" w:hAnsi="Times New Roman"/>
          <w:sz w:val="24"/>
        </w:rPr>
        <w:br/>
        <w:t>„</w:t>
      </w:r>
      <w:r w:rsidR="00854060">
        <w:rPr>
          <w:rFonts w:ascii="Times New Roman" w:hAnsi="Times New Roman"/>
          <w:sz w:val="24"/>
        </w:rPr>
        <w:t xml:space="preserve">- </w:t>
      </w:r>
      <w:r>
        <w:rPr>
          <w:rFonts w:ascii="Times New Roman" w:hAnsi="Times New Roman"/>
          <w:sz w:val="24"/>
        </w:rPr>
        <w:t>lubatud kasutus eksudaadi tootmise ajal, välja arvatud mesilaste juuresolekul;“</w:t>
      </w:r>
      <w:r>
        <w:rPr>
          <w:rFonts w:ascii="Times New Roman" w:hAnsi="Times New Roman"/>
          <w:sz w:val="24"/>
        </w:rPr>
        <w:br/>
        <w:t>„</w:t>
      </w:r>
      <w:r w:rsidR="00854060">
        <w:rPr>
          <w:rFonts w:ascii="Times New Roman" w:hAnsi="Times New Roman"/>
          <w:sz w:val="24"/>
        </w:rPr>
        <w:t xml:space="preserve">- </w:t>
      </w:r>
      <w:r>
        <w:rPr>
          <w:rFonts w:ascii="Times New Roman" w:hAnsi="Times New Roman"/>
          <w:sz w:val="24"/>
        </w:rPr>
        <w:t>lubatud kasutus õitsemise ajal ja eksudaadi tootmise ajal, välja arvatud mesilaste juuresolekul;“</w:t>
      </w:r>
    </w:p>
    <w:p w14:paraId="3705A0E7" w14:textId="7A061355"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kuni müügiloa uuendamiseni asjaomasel otstarbel õitsvatel atraktiivsetel põllumajanduskultuuridel või korjealadel artiklites 3–5 sätestatud tingimustel.</w:t>
      </w:r>
      <w:r>
        <w:rPr>
          <w:rFonts w:ascii="Times New Roman" w:hAnsi="Times New Roman"/>
          <w:sz w:val="24"/>
        </w:rPr>
        <w:br/>
        <w:t xml:space="preserve">II. </w:t>
      </w:r>
      <w:r w:rsidR="00854060">
        <w:rPr>
          <w:rFonts w:ascii="Times New Roman" w:hAnsi="Times New Roman"/>
          <w:sz w:val="24"/>
        </w:rPr>
        <w:t>-</w:t>
      </w:r>
      <w:r>
        <w:rPr>
          <w:rFonts w:ascii="Times New Roman" w:hAnsi="Times New Roman"/>
          <w:sz w:val="24"/>
        </w:rPr>
        <w:t xml:space="preserve"> Üleminekumeetmena võib juhul, kui muu toote kui insektitsiidide ja akaritsiidide </w:t>
      </w:r>
      <w:r>
        <w:rPr>
          <w:rFonts w:ascii="Times New Roman" w:hAnsi="Times New Roman"/>
          <w:sz w:val="24"/>
        </w:rPr>
        <w:lastRenderedPageBreak/>
        <w:t>turuleviimise loa pikendamise esitamine toimub vähem kui 30 kuu jooksul pärast selle dekreedi jõustumist, seda toodet kasutada atraktiivsetel põllumajanduskultuuridel õitsemise ajal ja korjealadel artiklites 3–5 sätestatud tingimustel seni, kuni ANSES on teinud otsuse artiklis 2 sätestatud riskihindamise kohta, tingimusel et täiendavad andmed on esitatud 30 kuu jooksul alates selle dekreedi jõustumisest.</w:t>
      </w:r>
      <w:r>
        <w:rPr>
          <w:rFonts w:ascii="Times New Roman" w:hAnsi="Times New Roman"/>
          <w:sz w:val="24"/>
        </w:rPr>
        <w:br/>
        <w:t xml:space="preserve">III. </w:t>
      </w:r>
      <w:r w:rsidR="00854060">
        <w:rPr>
          <w:rFonts w:ascii="Times New Roman" w:hAnsi="Times New Roman"/>
          <w:sz w:val="24"/>
        </w:rPr>
        <w:t xml:space="preserve">- </w:t>
      </w:r>
      <w:r>
        <w:rPr>
          <w:rFonts w:ascii="Times New Roman" w:hAnsi="Times New Roman"/>
          <w:sz w:val="24"/>
        </w:rPr>
        <w:t>Üleminekumeetmena võib juhul, kui muu toote kui insektitsiidid ja akaritsiidid müügiloa pikendamise taotlus esitatakse rohkem kui 30 kuu jooksul pärast selle dekreedi jõustumist, seda toodet kasutada atraktiivsetel põllumajanduskultuuridel õitsemise ajal ja korjealadel artiklites 3–5 sätestatud tingimustel, kuni ANSES on teinud otsuse artiklis 2 sätestatud riskihindamise kohta, tingimusel et täiendavad andmed on esitatud 48 kuu jooksul alates selle dekreedi jõustumisest.</w:t>
      </w:r>
      <w:r>
        <w:rPr>
          <w:rFonts w:ascii="Times New Roman" w:hAnsi="Times New Roman"/>
          <w:sz w:val="24"/>
        </w:rPr>
        <w:br/>
        <w:t xml:space="preserve">IV. </w:t>
      </w:r>
      <w:r w:rsidR="00854060">
        <w:rPr>
          <w:rFonts w:ascii="Times New Roman" w:hAnsi="Times New Roman"/>
          <w:sz w:val="24"/>
        </w:rPr>
        <w:t>-</w:t>
      </w:r>
      <w:r>
        <w:rPr>
          <w:rFonts w:ascii="Times New Roman" w:hAnsi="Times New Roman"/>
          <w:sz w:val="24"/>
        </w:rPr>
        <w:t xml:space="preserve"> Kui lisateavet ei esitata selle artikli jaotises II ja III sätestatud tähtaja jooksul, keelatakse toote kasutamine atraktiivsetel põllumajanduskultuuridel õitsemise ajal ja korjealadel ning asjaomaste toodete märgistust ajakohastatakse vastavalt artikli 7 lõikele 1.</w:t>
      </w:r>
      <w:r>
        <w:rPr>
          <w:rFonts w:ascii="Times New Roman" w:hAnsi="Times New Roman"/>
          <w:sz w:val="24"/>
        </w:rPr>
        <w:br/>
        <w:t xml:space="preserve">V. </w:t>
      </w:r>
      <w:r w:rsidR="00854060">
        <w:rPr>
          <w:rFonts w:ascii="Times New Roman" w:hAnsi="Times New Roman"/>
          <w:sz w:val="24"/>
        </w:rPr>
        <w:t xml:space="preserve">- </w:t>
      </w:r>
      <w:r>
        <w:rPr>
          <w:rFonts w:ascii="Times New Roman" w:hAnsi="Times New Roman"/>
          <w:sz w:val="24"/>
        </w:rPr>
        <w:t>Taotlejad teatavad ANSESile 18 kuud enne käesoleva artikli jaotises II ja III sätestatud täiendavate andmete esitamist oma kavatsusest esitada kõnealused täiendavad andmed, täpsustades asjaomased kasutusalad.</w:t>
      </w:r>
      <w:r>
        <w:rPr>
          <w:rFonts w:ascii="Times New Roman" w:hAnsi="Times New Roman"/>
          <w:sz w:val="24"/>
        </w:rPr>
        <w:br/>
        <w:t xml:space="preserve">VI. </w:t>
      </w:r>
      <w:r w:rsidR="00854060">
        <w:rPr>
          <w:rFonts w:ascii="Times New Roman" w:hAnsi="Times New Roman"/>
          <w:sz w:val="24"/>
        </w:rPr>
        <w:t xml:space="preserve">- </w:t>
      </w:r>
      <w:r>
        <w:rPr>
          <w:rFonts w:ascii="Times New Roman" w:hAnsi="Times New Roman"/>
          <w:sz w:val="24"/>
        </w:rPr>
        <w:t>Lõigete III</w:t>
      </w:r>
      <w:r w:rsidR="00854060">
        <w:rPr>
          <w:rFonts w:ascii="Times New Roman" w:hAnsi="Times New Roman"/>
          <w:sz w:val="24"/>
        </w:rPr>
        <w:t>-</w:t>
      </w:r>
      <w:r>
        <w:rPr>
          <w:rFonts w:ascii="Times New Roman" w:hAnsi="Times New Roman"/>
          <w:sz w:val="24"/>
        </w:rPr>
        <w:t>V sätteid ei kohaldata põllumajanduskultuuride suhtes, mida ei peeta Prantsusmaa põhja- või lõunavööndis väga tähtsaks maa- ja merekalapüügi koodeksi artiklis D. 253-8 sätestatud kasutuskataloogis. Kõnealuste põllumajanduskultuuride puhul nõutakse kehtivates määrustes nõutavaid tolmeldajatega seotud katseid ja riskihindamisi müügiloa uuendamise ajal ning asjaomaseid tooteid võib kasutada atraktiivsetel põllumajanduskultuuridel õitsemise ajal või korjealadel artiklites 3–5 sätestatud tingimustel, kuni ANSES on teinud otsuse artiklis 2 sätestatud riskihindamise kohta.</w:t>
      </w:r>
      <w:r>
        <w:rPr>
          <w:rFonts w:ascii="Times New Roman" w:hAnsi="Times New Roman"/>
          <w:sz w:val="24"/>
        </w:rPr>
        <w:br/>
        <w:t xml:space="preserve">VII. </w:t>
      </w:r>
      <w:r w:rsidR="00854060">
        <w:rPr>
          <w:rFonts w:ascii="Times New Roman" w:hAnsi="Times New Roman"/>
          <w:sz w:val="24"/>
        </w:rPr>
        <w:t xml:space="preserve">- </w:t>
      </w:r>
      <w:r>
        <w:rPr>
          <w:rFonts w:ascii="Times New Roman" w:hAnsi="Times New Roman"/>
          <w:sz w:val="24"/>
        </w:rPr>
        <w:t>ANSES avaldab ja ajakohastab korrapäraselt lubatud toodete kasutuste loetelu artiklis 2 sätestatud tingimustel.</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28. novembri 2003. aasta dekreet insektitsiidide ja akaritsiidide põllumajandusliku kasutamise tingimuste kohta mesilaste ja muude tolmeldavate putukate kaitseks tunnistatakse kehtetuks.</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See määrus jõustub 1. jaanuaril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11</w:t>
      </w:r>
    </w:p>
    <w:p w14:paraId="581C8E66" w14:textId="56209026"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Toiduainete peadirektor, riskiennetuse peadirektor, tervishoiu peadirektor, konkurentsi, tarbijakaitse ja pettuste kontrolli peadirektor ning tervishoiu peadirektor vastutavad selle dekreedi rakendamise eest, mis avaldatakse Prantsuse Vabariigi Teatajas.</w:t>
      </w:r>
    </w:p>
    <w:p w14:paraId="3A46EDC7" w14:textId="77777777" w:rsidR="00854060" w:rsidRPr="00FF1A38" w:rsidRDefault="00854060" w:rsidP="00FF1A38">
      <w:pPr>
        <w:spacing w:before="100" w:beforeAutospacing="1" w:after="100" w:afterAutospacing="1" w:line="240" w:lineRule="auto"/>
        <w:ind w:left="750"/>
        <w:rPr>
          <w:rFonts w:ascii="Times New Roman" w:eastAsia="Times New Roman" w:hAnsi="Times New Roman" w:cs="Times New Roman"/>
          <w:sz w:val="24"/>
          <w:szCs w:val="24"/>
        </w:rPr>
      </w:pP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Lisa</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w:t>
      </w:r>
    </w:p>
    <w:p w14:paraId="32CB1B17" w14:textId="3E7BF28A"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Lisa 1.</w:t>
      </w:r>
      <w:r w:rsidR="00591343">
        <w:rPr>
          <w:rFonts w:ascii="Times New Roman" w:hAnsi="Times New Roman"/>
          <w:caps/>
          <w:sz w:val="24"/>
        </w:rPr>
        <w:br/>
      </w:r>
      <w:r>
        <w:rPr>
          <w:rFonts w:ascii="Times New Roman" w:hAnsi="Times New Roman"/>
          <w:caps/>
          <w:sz w:val="24"/>
        </w:rPr>
        <w:t>Loetelu kasutusviisidest, mis välistavad tolmeldajate kokkupuute õitsemisperioodil</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Kasvuhoonekultuuride ja kaitstud põllumajanduskultuuridega seotud kasutus, sest need on õitsemise ajal tolmeldajatele kättesaamatud.</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Koostatud 20. novembril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Põllumajandus- ja toiduminister,</w:t>
      </w:r>
      <w:r>
        <w:rPr>
          <w:rFonts w:ascii="Times New Roman" w:hAnsi="Times New Roman"/>
          <w:sz w:val="24"/>
        </w:rPr>
        <w:br/>
        <w:t>ministri nimel ja volitusel:</w:t>
      </w:r>
      <w:r>
        <w:rPr>
          <w:rFonts w:ascii="Times New Roman" w:hAnsi="Times New Roman"/>
          <w:sz w:val="24"/>
        </w:rPr>
        <w:br/>
        <w:t>Toiduainete peadirektor</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Ökoloogilise ülemineku minister,</w:t>
      </w:r>
      <w:r>
        <w:rPr>
          <w:rFonts w:ascii="Times New Roman" w:hAnsi="Times New Roman"/>
          <w:sz w:val="24"/>
        </w:rPr>
        <w:br/>
        <w:t>ministri nimel ja volitusel:</w:t>
      </w:r>
      <w:r>
        <w:rPr>
          <w:rFonts w:ascii="Times New Roman" w:hAnsi="Times New Roman"/>
          <w:sz w:val="24"/>
        </w:rPr>
        <w:br/>
        <w:t>Riskiennetuse peadirektor</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Majandus-, rahandus- ja majanduse elavdamise minister,</w:t>
      </w:r>
      <w:r>
        <w:rPr>
          <w:rFonts w:ascii="Times New Roman" w:hAnsi="Times New Roman"/>
          <w:sz w:val="24"/>
        </w:rPr>
        <w:br/>
        <w:t>ministri nimel ja volitusel:</w:t>
      </w:r>
      <w:r>
        <w:rPr>
          <w:rFonts w:ascii="Times New Roman" w:hAnsi="Times New Roman"/>
          <w:sz w:val="24"/>
        </w:rPr>
        <w:br/>
        <w:t>Konkurentsi, tarbijakaitse ja pettuste kontrolli peadirektor</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Solidaarsus- ja tervishoiuminister,</w:t>
      </w:r>
      <w:r>
        <w:rPr>
          <w:rFonts w:ascii="Times New Roman" w:hAnsi="Times New Roman"/>
          <w:sz w:val="24"/>
        </w:rPr>
        <w:br/>
        <w:t>ministri nimel ja volitusel:</w:t>
      </w:r>
      <w:r>
        <w:rPr>
          <w:rFonts w:ascii="Times New Roman" w:hAnsi="Times New Roman"/>
          <w:sz w:val="24"/>
        </w:rPr>
        <w:br/>
        <w:t>Tervishoiu peadirektor</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591343"/>
    <w:rsid w:val="007A2F67"/>
    <w:rsid w:val="00854060"/>
    <w:rsid w:val="00906B70"/>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2034</Words>
  <Characters>11599</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Liana Brili</cp:lastModifiedBy>
  <cp:revision>4</cp:revision>
  <dcterms:created xsi:type="dcterms:W3CDTF">2022-03-04T12:55:00Z</dcterms:created>
  <dcterms:modified xsi:type="dcterms:W3CDTF">2022-03-06T16:22:00Z</dcterms:modified>
</cp:coreProperties>
</file>