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C8E4" w14:textId="77777777" w:rsidR="00FF1A38" w:rsidRPr="00FF1A38" w:rsidRDefault="00FF1A38" w:rsidP="00FF1A3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2021 m. lapkričio 20 d. dekretas dėl bičių ir kitų apdulkinančių vabzdžių apsaugos ir apdulkinimo paslaugų apsaugos naudojant augalų apsaugos produktus</w:t>
      </w:r>
    </w:p>
    <w:p w14:paraId="6496B0C9" w14:textId="77777777" w:rsidR="00FF1A38" w:rsidRPr="00FF1A38" w:rsidRDefault="00FF1A38" w:rsidP="00FF1A38">
      <w:pPr>
        <w:spacing w:after="0" w:line="240" w:lineRule="auto"/>
        <w:rPr>
          <w:rFonts w:ascii="Times New Roman" w:eastAsia="Times New Roman" w:hAnsi="Times New Roman" w:cs="Times New Roman"/>
          <w:sz w:val="24"/>
          <w:szCs w:val="24"/>
        </w:rPr>
      </w:pPr>
      <w:r>
        <w:rPr>
          <w:rFonts w:ascii="Times New Roman" w:hAnsi="Times New Roman"/>
          <w:sz w:val="24"/>
        </w:rPr>
        <w:t>NUOR.: AGRG2134356A</w:t>
      </w:r>
      <w:r>
        <w:rPr>
          <w:rFonts w:ascii="Times New Roman" w:hAnsi="Times New Roman"/>
          <w:sz w:val="24"/>
        </w:rPr>
        <w:br/>
        <w:t xml:space="preserve">ELI: https://www.legifrance.gouv.fr/eli/arrete/2021/11/20/AGRG2134356A/jo/texte </w:t>
      </w:r>
      <w:r>
        <w:rPr>
          <w:rFonts w:ascii="Times New Roman" w:hAnsi="Times New Roman"/>
          <w:sz w:val="24"/>
        </w:rPr>
        <w:br/>
        <w:t>JORF Nr. 0271, 2021 m. lapkričio 21 d.</w:t>
      </w:r>
      <w:r>
        <w:rPr>
          <w:rFonts w:ascii="Times New Roman" w:hAnsi="Times New Roman"/>
          <w:sz w:val="24"/>
        </w:rPr>
        <w:br/>
        <w:t>Tekstas Nr. 17</w:t>
      </w:r>
    </w:p>
    <w:p w14:paraId="040906A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 antraštinė dalis. ŽYDINČIŲ AUGALŲ APSAUGOS PRODUKTŲ AUTORIZAVIMO SISTEMA (2 straipsnis)</w:t>
      </w:r>
    </w:p>
    <w:p w14:paraId="69521E1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 antraštinė dalis. AUGALŲ APSAUGOS PRODUKTŲ PRIEŽIŪRA NAUDOJANT ŽYDĖJIMO METU (3–7 straipsniai)</w:t>
      </w:r>
    </w:p>
    <w:p w14:paraId="0E5A6E18"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III antraštinė dalis. PEREINAMOJO LAIKOTARPIO NUOSTATOS (8–11 straipsniai)</w:t>
      </w:r>
    </w:p>
    <w:p w14:paraId="3E3E5899"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Priedas</w:t>
      </w:r>
    </w:p>
    <w:p w14:paraId="78D9C32A" w14:textId="22149B94"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Tikslinės auditorijos: leidimų prekiauti pareiškėjams ir turėtojams, augalų apsaugos produktų naudotojams, apdulkinimo paslaugų gavėjams.  </w:t>
      </w:r>
      <w:r>
        <w:rPr>
          <w:rFonts w:ascii="Times New Roman" w:hAnsi="Times New Roman"/>
          <w:sz w:val="24"/>
        </w:rPr>
        <w:br/>
        <w:t xml:space="preserve">Tema: Šiame dekrete nustatomos priemonės, kuriomis siekiama apsaugoti apdulkinančius vabzdžius ir žemės ūkio bei ekosistemų funkcijas nuo rizikos, susijusios su augalų apsaugos produktų naudojimu. </w:t>
      </w:r>
      <w:r>
        <w:rPr>
          <w:rFonts w:ascii="Times New Roman" w:hAnsi="Times New Roman"/>
          <w:sz w:val="24"/>
        </w:rPr>
        <w:br/>
        <w:t>Įsigaliojimas : šis dekretas įsigalioja 2022 m. sausio 1 d.</w:t>
      </w:r>
      <w:r>
        <w:rPr>
          <w:rFonts w:ascii="Times New Roman" w:hAnsi="Times New Roman"/>
          <w:sz w:val="24"/>
        </w:rPr>
        <w:br/>
        <w:t xml:space="preserve">Pastaba. Šiuo dekretu visiems augalų apsaugos produktams taikomas vertinimo principas, pagal kurį nustatoma galimybė žydėjimo laikotarpiu naudoti augalų apsaugos produktą apdulkintojams patraukliems kultūriniams augalams ir mitybos plotams, atsižvelgiant į apdulkintojams keliamą riziką. Jei „Anses“ suteikia leidimą naudoti gaminį žydėjimo metu, juo apdoroti galima 2 valandas prieš saulėlydį ir 3 valandas po saulėlydžio, išskyrus ypatingus atvejus. Dekrete numatytos pereinamojo laikotarpio priemonės ir šių naujų nuostatų įgyvendinimo tvarkaraštis. </w:t>
      </w:r>
      <w:r>
        <w:rPr>
          <w:rFonts w:ascii="Times New Roman" w:hAnsi="Times New Roman"/>
          <w:sz w:val="24"/>
        </w:rPr>
        <w:br/>
        <w:t xml:space="preserve">Nuorodos: šis dekretas priimamas pagal Kaimo ir jūrų žuvininkystės kodekso L. 253-7 straipsnį. Jį galima rasti „Légifrance“ interneto svetainėje https://www.legifrance.gouv.fr/. </w:t>
      </w:r>
    </w:p>
    <w:p w14:paraId="55211D70"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Ekologinės pertvarkos ministrė, Ekonomikos, finansų ir ekonomikos gaivinimo ministras, Solidarumo ir sveikatos ministras bei Žemės ūkio ir maisto ministras,</w:t>
      </w:r>
      <w:r>
        <w:rPr>
          <w:rFonts w:ascii="Times New Roman" w:hAnsi="Times New Roman"/>
          <w:sz w:val="24"/>
        </w:rPr>
        <w:br/>
        <w:t>atsižvelgdami į 2009 m. spalio 21 d. Europos Parlamento ir Tarybos reglamentą (EB) Nr. 1107/2009 dėl augalų apsaugos produktų pateikimo į rinką ir panaikinantį Tarybos direktyvas 79/117/EEB ir 91/414/EEB,</w:t>
      </w:r>
      <w:r>
        <w:rPr>
          <w:rFonts w:ascii="Times New Roman" w:hAnsi="Times New Roman"/>
          <w:sz w:val="24"/>
        </w:rPr>
        <w:br/>
        <w:t>atsižvelgdami į 2011 m. birželio 8 d. Komisijos reglamentą (ES) Nr. 547/2011, kuriuo dėl augalų apsaugos produktų ženklinimo reikalavimų įgyvendinamas Europos Parlamento ir Tarybos reglamentas (EB) Nr. 1107/2009,</w:t>
      </w:r>
      <w:r>
        <w:rPr>
          <w:rFonts w:ascii="Times New Roman" w:hAnsi="Times New Roman"/>
          <w:sz w:val="24"/>
        </w:rPr>
        <w:br/>
        <w:t>atsižvelgdami į 2015 m. rugsėjo 9 d. Europos Parlamento ir Tarybos direktyvą (ES) 2015/1535, kuria nustatoma informacijos apie techninius reglamentus ir informacinės visuomenės paslaugų taisykles teikimo tvarka,</w:t>
      </w:r>
      <w:r>
        <w:rPr>
          <w:rFonts w:ascii="Times New Roman" w:hAnsi="Times New Roman"/>
          <w:sz w:val="24"/>
        </w:rPr>
        <w:br/>
        <w:t>atsižvelgdami į Kaimo ir jūrų žuvininkystės kodeksą, ypač į L. 201-4, L. 251-3, L. 253-1, L. 253-7, D. 253-8, R. 253-43 ir R. 253-45 straipsnius,</w:t>
      </w:r>
      <w:r>
        <w:rPr>
          <w:rFonts w:ascii="Times New Roman" w:hAnsi="Times New Roman"/>
          <w:sz w:val="24"/>
        </w:rPr>
        <w:br/>
        <w:t xml:space="preserve">atsižvelgdami į 2009 m. birželio 16 d. Dekretą dėl sąlygų, kuriomis L. 257-1 straipsnyje </w:t>
      </w:r>
      <w:r>
        <w:rPr>
          <w:rFonts w:ascii="Times New Roman" w:hAnsi="Times New Roman"/>
          <w:sz w:val="24"/>
        </w:rPr>
        <w:lastRenderedPageBreak/>
        <w:t>nurodyti ūkio subjektai tvarko Kaimo kodekso L. 257-3 straipsnyje nurodytą registrą,</w:t>
      </w:r>
      <w:r>
        <w:rPr>
          <w:rFonts w:ascii="Times New Roman" w:hAnsi="Times New Roman"/>
          <w:sz w:val="24"/>
        </w:rPr>
        <w:br/>
        <w:t>atsižvelgdami į pranešimą Nr. 2021/448/F,</w:t>
      </w:r>
      <w:r>
        <w:rPr>
          <w:rFonts w:ascii="Times New Roman" w:hAnsi="Times New Roman"/>
          <w:sz w:val="24"/>
        </w:rPr>
        <w:br/>
        <w:t>atsižvelgdami į pastabas, pateiktas per viešas konsultacijas, vykusias tarp 2021 m. birželio 28 d. ir 2021 m. liepos 20 d. pagal Aplinkos apsaugos kodekso L. 123-19-1 straipsnį,</w:t>
      </w:r>
      <w:r>
        <w:rPr>
          <w:rFonts w:ascii="Times New Roman" w:hAnsi="Times New Roman"/>
          <w:sz w:val="24"/>
        </w:rPr>
        <w:br/>
        <w:t>nustato:</w:t>
      </w:r>
    </w:p>
    <w:p w14:paraId="72734333" w14:textId="77777777" w:rsidR="00FF1A38" w:rsidRPr="00FF1A38" w:rsidRDefault="00FF1A38" w:rsidP="00FF1A38">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1 straipsnis</w:t>
      </w:r>
    </w:p>
    <w:p w14:paraId="4AE602D9" w14:textId="193962F8" w:rsidR="00FF1A38" w:rsidRPr="00FF1A38" w:rsidRDefault="00FF1A38" w:rsidP="00FF1A3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Šiame dekrete vartojamos šios sąvokų apibrėžtys:</w:t>
      </w:r>
      <w:r>
        <w:rPr>
          <w:rFonts w:ascii="Times New Roman" w:hAnsi="Times New Roman"/>
          <w:sz w:val="24"/>
        </w:rPr>
        <w:br/>
      </w:r>
      <w:r w:rsidR="00956CE4" w:rsidRPr="00956CE4">
        <w:rPr>
          <w:rFonts w:ascii="Times New Roman" w:hAnsi="Times New Roman"/>
          <w:sz w:val="24"/>
        </w:rPr>
        <w:t>„</w:t>
      </w:r>
      <w:r>
        <w:rPr>
          <w:rFonts w:ascii="Times New Roman" w:hAnsi="Times New Roman"/>
          <w:sz w:val="24"/>
        </w:rPr>
        <w:t xml:space="preserve">Bitės: naminės bitės, laukinės bitės ir kamanės. </w:t>
      </w:r>
      <w:r>
        <w:rPr>
          <w:rFonts w:ascii="Times New Roman" w:hAnsi="Times New Roman"/>
          <w:sz w:val="24"/>
        </w:rPr>
        <w:br/>
      </w:r>
      <w:r w:rsidR="00956CE4" w:rsidRPr="00956CE4">
        <w:rPr>
          <w:rFonts w:ascii="Times New Roman" w:hAnsi="Times New Roman"/>
          <w:sz w:val="24"/>
        </w:rPr>
        <w:t>„</w:t>
      </w:r>
      <w:r>
        <w:rPr>
          <w:rFonts w:ascii="Times New Roman" w:hAnsi="Times New Roman"/>
          <w:sz w:val="24"/>
        </w:rPr>
        <w:t xml:space="preserve">Saulėlydis: laikas, kurį apibrėžia arčiausiai apdorojimo vietos implantacijos esančios vietos efemeridės. </w:t>
      </w:r>
      <w:r>
        <w:rPr>
          <w:rFonts w:ascii="Times New Roman" w:hAnsi="Times New Roman"/>
          <w:sz w:val="24"/>
        </w:rPr>
        <w:br/>
      </w:r>
      <w:r w:rsidR="00956CE4" w:rsidRPr="00956CE4">
        <w:rPr>
          <w:rFonts w:ascii="Times New Roman" w:hAnsi="Times New Roman"/>
          <w:sz w:val="24"/>
        </w:rPr>
        <w:t>„</w:t>
      </w:r>
      <w:r>
        <w:rPr>
          <w:rFonts w:ascii="Times New Roman" w:hAnsi="Times New Roman"/>
          <w:sz w:val="24"/>
        </w:rPr>
        <w:t>Patraukli kultūra: patrauklus derlius yra pasėlis, kuris dėl savo pobūdžio yra patrauklus bitėms ar kitiems apdulkinantiems vabzdžiams.  Žemės ūkio ministerijos oficialiame biuletenyje išvardytos kultūros šiame dekrete nelaikomos patraukliomis.</w:t>
      </w:r>
      <w:r>
        <w:rPr>
          <w:rFonts w:ascii="Times New Roman" w:hAnsi="Times New Roman"/>
          <w:sz w:val="24"/>
        </w:rPr>
        <w:br/>
      </w:r>
      <w:r w:rsidR="00956CE4" w:rsidRPr="00956CE4">
        <w:rPr>
          <w:rFonts w:ascii="Times New Roman" w:hAnsi="Times New Roman"/>
          <w:sz w:val="24"/>
        </w:rPr>
        <w:t>„</w:t>
      </w:r>
      <w:r>
        <w:rPr>
          <w:rFonts w:ascii="Times New Roman" w:hAnsi="Times New Roman"/>
          <w:sz w:val="24"/>
        </w:rPr>
        <w:t xml:space="preserve">Eksudatas: lipčius, saldžios išskyros, kurias gamina augalai, ir augalų nektaras, kurį renka bitės arba kiti apdulkinantys vabzdžiai. </w:t>
      </w:r>
      <w:r>
        <w:rPr>
          <w:rFonts w:ascii="Times New Roman" w:hAnsi="Times New Roman"/>
          <w:sz w:val="24"/>
        </w:rPr>
        <w:br/>
      </w:r>
      <w:r w:rsidR="00956CE4" w:rsidRPr="00956CE4">
        <w:rPr>
          <w:rFonts w:ascii="Times New Roman" w:hAnsi="Times New Roman"/>
          <w:sz w:val="24"/>
        </w:rPr>
        <w:t>„</w:t>
      </w:r>
      <w:r>
        <w:rPr>
          <w:rFonts w:ascii="Times New Roman" w:hAnsi="Times New Roman"/>
          <w:sz w:val="24"/>
        </w:rPr>
        <w:t xml:space="preserve">Žydėjimas: vegetacinis laikotarpis, kuris tęsiasi nuo pirmųjų žiedų išsiskleidimo iki paskutinių gėlių žiedlapių nukritimo. </w:t>
      </w:r>
      <w:r>
        <w:rPr>
          <w:rFonts w:ascii="Times New Roman" w:hAnsi="Times New Roman"/>
          <w:sz w:val="24"/>
        </w:rPr>
        <w:br/>
      </w:r>
      <w:r w:rsidR="00956CE4" w:rsidRPr="00956CE4">
        <w:rPr>
          <w:rFonts w:ascii="Times New Roman" w:hAnsi="Times New Roman"/>
          <w:sz w:val="24"/>
        </w:rPr>
        <w:t>„</w:t>
      </w:r>
      <w:r>
        <w:rPr>
          <w:rFonts w:ascii="Times New Roman" w:hAnsi="Times New Roman"/>
          <w:sz w:val="24"/>
        </w:rPr>
        <w:t xml:space="preserve">Produktai: augalų apsaugos produktai, išskyrus retinimo produktus, ir jų priedai, nurodyti Kaimo ir jūrų žuvininkystės kodekso L.253-1 straipsnyje. </w:t>
      </w:r>
      <w:r>
        <w:rPr>
          <w:rFonts w:ascii="Times New Roman" w:hAnsi="Times New Roman"/>
          <w:sz w:val="24"/>
        </w:rPr>
        <w:br/>
      </w:r>
      <w:r w:rsidR="00956CE4" w:rsidRPr="00956CE4">
        <w:rPr>
          <w:rFonts w:ascii="Times New Roman" w:hAnsi="Times New Roman"/>
          <w:sz w:val="24"/>
        </w:rPr>
        <w:t>„</w:t>
      </w:r>
      <w:r>
        <w:rPr>
          <w:rFonts w:ascii="Times New Roman" w:hAnsi="Times New Roman"/>
          <w:sz w:val="24"/>
        </w:rPr>
        <w:t>Registras: augalų apsaugos produktų naudojimo registras, kaip numatyta 2009 m. birželio 16 d. Dekrete dėl sąlygų, kuriose Kaimo ir jūrų žuvininkystės kodekso L. 257-1 straipsnyje nurodyti ūkio subjektai kontroliuoja 2009 m. spalio 21 d. Reglamento (EB) Nr. 1107/2009 dėl augalų apsaugos produktų pateikimo į rinką 67 straipsnyje nurodytą registrą.</w:t>
      </w:r>
      <w:r>
        <w:rPr>
          <w:rFonts w:ascii="Times New Roman" w:hAnsi="Times New Roman"/>
          <w:sz w:val="24"/>
        </w:rPr>
        <w:br/>
      </w:r>
      <w:r w:rsidR="00956CE4" w:rsidRPr="00956CE4">
        <w:rPr>
          <w:rFonts w:ascii="Times New Roman" w:hAnsi="Times New Roman"/>
          <w:sz w:val="24"/>
        </w:rPr>
        <w:t>„</w:t>
      </w:r>
      <w:r>
        <w:rPr>
          <w:rFonts w:ascii="Times New Roman" w:hAnsi="Times New Roman"/>
          <w:sz w:val="24"/>
        </w:rPr>
        <w:t xml:space="preserve">Naudojimas: augalų apsaugos produkto arba adjuvanto naudojimą augalui, augaliniam produktui ar augalų grupei siekiant kontroliuoti kenkėją, kenkėjų grupę, ligą ar ligų grupę pagal aiškiai apibrėžtas funkcijas ir išsamias taikymo taisykles, išvardytas Kaimo ir jūrų žuvininkystės kodekso D.253-8 straipsnio straipsnyje nurodytame kataloge. </w:t>
      </w:r>
      <w:r>
        <w:rPr>
          <w:rFonts w:ascii="Times New Roman" w:hAnsi="Times New Roman"/>
          <w:sz w:val="24"/>
        </w:rPr>
        <w:br/>
      </w:r>
      <w:r w:rsidR="00956CE4" w:rsidRPr="00956CE4">
        <w:rPr>
          <w:rFonts w:ascii="Times New Roman" w:hAnsi="Times New Roman"/>
          <w:sz w:val="24"/>
        </w:rPr>
        <w:t>„</w:t>
      </w:r>
      <w:r>
        <w:rPr>
          <w:rFonts w:ascii="Times New Roman" w:hAnsi="Times New Roman"/>
          <w:sz w:val="24"/>
        </w:rPr>
        <w:t>Produkto naudojimas: bet koks augalų apsaugos produkto ar priedo naudojimas vegetaciniam ciklui pagal leidžiamą paskirtį, neatsižvelgiant į naudojimo būdą ir apdorojamą augalo dalį, išskyrus 1 priede apibrėžtus naudojimo būdus, kuriais išvengiama apdulkintojų poveikio žydėjimo metu.</w:t>
      </w:r>
      <w:r>
        <w:rPr>
          <w:rFonts w:ascii="Times New Roman" w:hAnsi="Times New Roman"/>
          <w:sz w:val="24"/>
        </w:rPr>
        <w:br/>
      </w:r>
      <w:r w:rsidR="00956CE4" w:rsidRPr="00956CE4">
        <w:rPr>
          <w:rFonts w:ascii="Times New Roman" w:hAnsi="Times New Roman"/>
          <w:sz w:val="24"/>
        </w:rPr>
        <w:t>„</w:t>
      </w:r>
      <w:r>
        <w:rPr>
          <w:rFonts w:ascii="Times New Roman" w:hAnsi="Times New Roman"/>
          <w:sz w:val="24"/>
        </w:rPr>
        <w:t>Maitinimosi zona: išskyrus auginamus pasėlius, maitinimosi plotas yra žemės ūkio arba ne žemės ūkio paskirties žemė, kurioje gyvena kultivuojama arba spontaniška augalų grupė, kuri dėl žiedų ar eksudatų akivaizdžiai domina bites ar kitus apdulkinančius vabzdžius.  Šiame dekrete maitinimosi plotuose naudojami produktai yra skirti būtent šiems plotams apdoroti, neatsižvelgiant į tai, kaip jie naudojami augalams auginti.</w:t>
      </w:r>
    </w:p>
    <w:p w14:paraId="75081A77"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 antraštinė dalis. ŽYDINČIŲ AUGALŲ APSAUGOS PRODUKTŲ AUTORIZAVIMO SISTEMA (2 straipsnis)</w:t>
      </w:r>
    </w:p>
    <w:p w14:paraId="52EC4D0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2 straipsnis</w:t>
      </w:r>
    </w:p>
    <w:p w14:paraId="4E54D57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Išduodant arba atnaujinant leidimą, nurodytą Kaimo ir jūrų žuvininkystės kodekso L. 253-1 straipsnyje, „Anses“ įvertina riziką, susijusią su produkto naudojimu patraukliems kultūriniams augalams žydėjimo metu.</w:t>
      </w:r>
      <w:r>
        <w:rPr>
          <w:rFonts w:ascii="Times New Roman" w:hAnsi="Times New Roman"/>
          <w:sz w:val="24"/>
        </w:rPr>
        <w:br/>
      </w:r>
      <w:r>
        <w:rPr>
          <w:rFonts w:ascii="Times New Roman" w:hAnsi="Times New Roman"/>
          <w:sz w:val="24"/>
        </w:rPr>
        <w:lastRenderedPageBreak/>
        <w:t>Šiuo tikslu pareiškėjas prie bylos prideda pagal galiojančius teisės aktus reikalaujamus bandymus ir rizikos vertinimus bei informaciją, reikalingą „Anses“ sprendimui dėl pirmoje pastraipoje nurodyto vertinimo priimti.</w:t>
      </w:r>
      <w:r>
        <w:rPr>
          <w:rFonts w:ascii="Times New Roman" w:hAnsi="Times New Roman"/>
          <w:sz w:val="24"/>
        </w:rPr>
        <w:br/>
        <w:t>Jei „Anses“ atlikus rizikos vertinimą padaroma išvada, kad naudojant bites sąlytis su bitėmis yra nereikšmingas arba nesukelia nepageidaujamo, ūmaus ar lėtinio poveikio bitėms arba poveikio kolonijų išlikimui ir vystymuisi, produktą gali būti leidžiama naudoti atitinkamiems patraukliems pasėliams, kai jie žydi, ir maitinimosi plotams. Toks naudojimas priklauso nuo to, ar laikomasi 3 straipsnyje nustatytų priemonių.</w:t>
      </w:r>
      <w:r>
        <w:rPr>
          <w:rFonts w:ascii="Times New Roman" w:hAnsi="Times New Roman"/>
          <w:sz w:val="24"/>
        </w:rPr>
        <w:br/>
        <w:t>Priešingu atveju produktą draudžiama naudoti atitinkamiems žydintiems patraukliems pasėliams ir maitinimosi plotams.</w:t>
      </w:r>
    </w:p>
    <w:p w14:paraId="278D5B92"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II antraštinė dalis. AUGALŲ APSAUGOS PRODUKTŲ PRIEŽIŪRA NAUDOJANT ŽYDĖJIMO METU (3–7 straipsniai)</w:t>
      </w:r>
    </w:p>
    <w:p w14:paraId="74FEABC1"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3 straipsnis</w:t>
      </w:r>
    </w:p>
    <w:p w14:paraId="691002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Produktas, kurį leidžiama naudoti pagal 2 straipsnį, naudojamas patraukliems pasėliams apsaugoti žydėjimo metu arba maitinimosi plote 2 valandas iki saulėlydžio ir 3 valandas po saulėlydžio.</w:t>
      </w:r>
      <w:r>
        <w:rPr>
          <w:rFonts w:ascii="Times New Roman" w:hAnsi="Times New Roman"/>
          <w:sz w:val="24"/>
        </w:rPr>
        <w:br/>
        <w:t>Šį laikotarpį galima koreguoti arba jo nepaisyti, atsižvelgiant į procedūras, kuriomis suteikiamos lygiavertės poveikio bitėms ir kitiems apdulkintojams garantijos. Šios procedūros bus išdėstytos priede po „Anses“ nuomone, visų pirma siekiant, kad gydyti būtų leidžiama ryte arba žemesnėje temperatūroje.</w:t>
      </w:r>
      <w:r>
        <w:rPr>
          <w:rFonts w:ascii="Times New Roman" w:hAnsi="Times New Roman"/>
          <w:sz w:val="24"/>
        </w:rPr>
        <w:br/>
        <w:t>Nukrypstant nuo pirmos pastraipos, bandymai su augalų apsaugos produktų naudojimu pasibaigus minėtam laikui atliekami siekiant nustatyti sprendimų priėmimo priemones ar kitas technologijas, kurių naudojimas suteiktų lygiavertes garantijas, susijusias su poveikiu bitėms ir kitiems apdulkintojams. Šis eksperimentas, trunkantis ne ilgiau kaip trejus metus, kurį vertina „Anses“, atliekamas laikantis už aplinką ir žemės ūkį atsakingų ministrų bendrame dekrete nustatytų sąlygų ir tvarkos.</w:t>
      </w:r>
    </w:p>
    <w:p w14:paraId="2638E37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 straipsnis</w:t>
      </w:r>
    </w:p>
    <w:p w14:paraId="6F7C037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Kai augalų danga, esanti po daugiamečiais pasėliais, yra maitinimosi zona, ji turi būti nepatraukli apdulkintojams prieš apdorojant insekticidais ar akaricidais.</w:t>
      </w:r>
    </w:p>
    <w:p w14:paraId="039E740F"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5 straipsnis</w:t>
      </w:r>
    </w:p>
    <w:p w14:paraId="70D705FD"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3 straipsnyje numatytas taikymo laikotarpis gali būti keičiamas šiais atvejais:</w:t>
      </w:r>
    </w:p>
    <w:p w14:paraId="040DB100" w14:textId="5B330B78"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r w:rsidR="005A3DEB">
        <w:rPr>
          <w:rFonts w:ascii="Times New Roman" w:hAnsi="Times New Roman"/>
          <w:sz w:val="24"/>
        </w:rPr>
        <w:t>-</w:t>
      </w:r>
      <w:r>
        <w:rPr>
          <w:rFonts w:ascii="Times New Roman" w:hAnsi="Times New Roman"/>
          <w:sz w:val="24"/>
        </w:rPr>
        <w:t xml:space="preserve"> jei dėl išimtinai biologinių agresorių aktyvumo paros metu 3 straipsnyje nurodytu laikotarpiu atliktas apdorojimas neužtikrina veiksmingos apdorotos kultūros apsaugos;</w:t>
      </w:r>
      <w:r>
        <w:rPr>
          <w:rFonts w:ascii="Times New Roman" w:hAnsi="Times New Roman"/>
          <w:sz w:val="24"/>
        </w:rPr>
        <w:br/>
      </w:r>
      <w:r w:rsidR="005A3DEB">
        <w:rPr>
          <w:rFonts w:ascii="Times New Roman" w:hAnsi="Times New Roman"/>
          <w:sz w:val="24"/>
        </w:rPr>
        <w:t>-</w:t>
      </w:r>
      <w:r>
        <w:rPr>
          <w:rFonts w:ascii="Times New Roman" w:hAnsi="Times New Roman"/>
          <w:sz w:val="24"/>
        </w:rPr>
        <w:t xml:space="preserve"> jei, atsižvelgiant į ligos vystymąsi, fungicidinio gydymo veiksmingumas priklauso nuo gydymo užbaigimo per apribotą laikotarpį, nesuderinamą su 3 straipsnyje nustatytu laikotarpiu.</w:t>
      </w:r>
    </w:p>
    <w:p w14:paraId="1C4C0AA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Abiem atvejais programa gali būti vykdoma be laiko apribojimų.</w:t>
      </w:r>
      <w:r>
        <w:rPr>
          <w:rFonts w:ascii="Times New Roman" w:hAnsi="Times New Roman"/>
          <w:sz w:val="24"/>
        </w:rPr>
        <w:br/>
        <w:t>Laikinai aštuonis mėnesius nuo šio dekreto paskelbimo dienos prašymas taip pat gali būti pateikiamas be valandinio apribojimo, jei temperatūra yra pakankamai žema, kad būtų išvengta bičių buvimo.</w:t>
      </w:r>
      <w:r>
        <w:rPr>
          <w:rFonts w:ascii="Times New Roman" w:hAnsi="Times New Roman"/>
          <w:sz w:val="24"/>
        </w:rPr>
        <w:br/>
        <w:t>Duomenų tvarkymo pradžios ir pabaigos laikas bei 3 straipsnyje nurodyto laikotarpio pasikeitimo priežastis užfiksuojami registre.</w:t>
      </w:r>
    </w:p>
    <w:p w14:paraId="2C42086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6 straipsnis</w:t>
      </w:r>
    </w:p>
    <w:p w14:paraId="7C493FCA"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Nuo 2 straipsnio ketvirtoje pastraipoje numatyto draudimo ir 3 straipsnyje numatytų valdymo priemonių galima nukrypti, vadovaujantis potvarkiu, priimtu pagal Kaimo ir jūrų žuvininkystės kodekso L. 201-4 straipsnio II dalį įstaigoms, kurių veikla reguliuojama pagal to paties kodekso L. 251-3 straipsnį.</w:t>
      </w:r>
    </w:p>
    <w:p w14:paraId="2121299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7 straipsnis</w:t>
      </w:r>
    </w:p>
    <w:p w14:paraId="1044327C" w14:textId="72FCC17D"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5A3DEB">
        <w:rPr>
          <w:rFonts w:ascii="Times New Roman" w:hAnsi="Times New Roman"/>
          <w:sz w:val="24"/>
        </w:rPr>
        <w:t xml:space="preserve">- </w:t>
      </w:r>
      <w:r>
        <w:rPr>
          <w:rFonts w:ascii="Times New Roman" w:hAnsi="Times New Roman"/>
          <w:sz w:val="24"/>
        </w:rPr>
        <w:t>Produktų, kurių pagal 2 straipsnį neleidžiama naudoti žydintiems pasėliams, etiketėse įrašoma frazė „Pavojinga bitėms. Siekiant apsaugoti bites ir kitus apdulkinančius vabzdžius, nenaudoti žydėjimo metu ir nenaudoti maitinimosi vietose“.</w:t>
      </w:r>
      <w:r>
        <w:rPr>
          <w:rFonts w:ascii="Times New Roman" w:hAnsi="Times New Roman"/>
          <w:sz w:val="24"/>
        </w:rPr>
        <w:br/>
        <w:t xml:space="preserve">II. </w:t>
      </w:r>
      <w:r w:rsidR="005A3DEB">
        <w:rPr>
          <w:rFonts w:ascii="Times New Roman" w:hAnsi="Times New Roman"/>
          <w:sz w:val="24"/>
        </w:rPr>
        <w:t xml:space="preserve">- </w:t>
      </w:r>
      <w:r>
        <w:rPr>
          <w:rFonts w:ascii="Times New Roman" w:hAnsi="Times New Roman"/>
          <w:sz w:val="24"/>
        </w:rPr>
        <w:t>Produktų, kuriuos pagal 2 straipsnį leidžiama naudoti žydintiems pasėliams, etiketėse įrašoma frazė „Gali būti pavojinga bitėms.  Galima naudoti žydėjimo ir maitinimosi plotuose 2 valandas prieš saulėlydį arba 3 valandas po saulėlydžio, tik šiais atvejais: [...] Valandiniai susitarimai gali būti koreguojami pagal 2021 m. lapkričio 20 d. Dekretą dėl bičių ir kitų apdulkinančių vabzdžių apsaugos ir apdulkinimo paslaugų išsaugojimo naudojant augalų apsaugos produktus.“</w:t>
      </w:r>
    </w:p>
    <w:p w14:paraId="2351893A"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III antraštinė dalis. PEREINAMOJO LAIKOTARPIO NUOSTATOS (8–11 straipsniai)</w:t>
      </w:r>
    </w:p>
    <w:p w14:paraId="0A0A492B"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8 straipsnis</w:t>
      </w:r>
    </w:p>
    <w:p w14:paraId="47A5BAF5" w14:textId="0CC297C5"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5A3DEB">
        <w:rPr>
          <w:rFonts w:ascii="Times New Roman" w:hAnsi="Times New Roman"/>
          <w:sz w:val="24"/>
        </w:rPr>
        <w:t xml:space="preserve">- </w:t>
      </w:r>
      <w:r>
        <w:rPr>
          <w:rFonts w:ascii="Times New Roman" w:hAnsi="Times New Roman"/>
          <w:sz w:val="24"/>
        </w:rPr>
        <w:t>Pereinamojo laikotarpio priemonė – insekticidai ir akaricidai, kurių leidimas prekiauti šio dekreto įsigaliojimo dieną atitinka vieną iš šių teiginių:</w:t>
      </w:r>
    </w:p>
    <w:p w14:paraId="3C0215A8" w14:textId="2483AB98"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bookmarkStart w:id="0" w:name="_Hlk97295174"/>
      <w:r>
        <w:rPr>
          <w:rFonts w:ascii="Times New Roman" w:hAnsi="Times New Roman"/>
          <w:sz w:val="24"/>
        </w:rPr>
        <w:t>„</w:t>
      </w:r>
      <w:bookmarkEnd w:id="0"/>
      <w:r w:rsidR="005A3DEB">
        <w:rPr>
          <w:rFonts w:ascii="Times New Roman" w:hAnsi="Times New Roman"/>
          <w:sz w:val="24"/>
        </w:rPr>
        <w:t xml:space="preserve">- </w:t>
      </w:r>
      <w:r>
        <w:rPr>
          <w:rFonts w:ascii="Times New Roman" w:hAnsi="Times New Roman"/>
          <w:sz w:val="24"/>
        </w:rPr>
        <w:t>leidžiama naudoti žydėjimo metu, išskyrus skraidant bitėms“;</w:t>
      </w:r>
      <w:r>
        <w:rPr>
          <w:rFonts w:ascii="Times New Roman" w:hAnsi="Times New Roman"/>
          <w:sz w:val="24"/>
        </w:rPr>
        <w:br/>
        <w:t>„</w:t>
      </w:r>
      <w:r w:rsidR="005A3DEB">
        <w:rPr>
          <w:rFonts w:ascii="Times New Roman" w:hAnsi="Times New Roman"/>
          <w:sz w:val="24"/>
        </w:rPr>
        <w:t xml:space="preserve">- </w:t>
      </w:r>
      <w:r>
        <w:rPr>
          <w:rFonts w:ascii="Times New Roman" w:hAnsi="Times New Roman"/>
          <w:sz w:val="24"/>
        </w:rPr>
        <w:t>leidžiama naudoti eksudato išskyrimo laikotarpiais, išskyrus skraidant bitėms“;</w:t>
      </w:r>
      <w:r>
        <w:rPr>
          <w:rFonts w:ascii="Times New Roman" w:hAnsi="Times New Roman"/>
          <w:sz w:val="24"/>
        </w:rPr>
        <w:br/>
        <w:t>„</w:t>
      </w:r>
      <w:r w:rsidR="005A3DEB">
        <w:rPr>
          <w:rFonts w:ascii="Times New Roman" w:hAnsi="Times New Roman"/>
          <w:sz w:val="24"/>
        </w:rPr>
        <w:t xml:space="preserve">- </w:t>
      </w:r>
      <w:r>
        <w:rPr>
          <w:rFonts w:ascii="Times New Roman" w:hAnsi="Times New Roman"/>
          <w:sz w:val="24"/>
        </w:rPr>
        <w:t>leidžiama naudoti žydėjimo metu ir eksudato išskyrimo laikotarpiais, išskyrus skraidant bitėms“;</w:t>
      </w:r>
    </w:p>
    <w:p w14:paraId="3705A0E7" w14:textId="60EFD1AF"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gali būti naudojamas atitinkamai paskirčiai patraukliems kultūriniams augalams žydėjimo metu arba maitinimosi plotams, laikantis 3–5 straipsniuose nustatytų sąlygų, kol bus atnaujintas leidimas prekiauti.</w:t>
      </w:r>
      <w:r>
        <w:rPr>
          <w:rFonts w:ascii="Times New Roman" w:hAnsi="Times New Roman"/>
          <w:sz w:val="24"/>
        </w:rPr>
        <w:br/>
        <w:t xml:space="preserve">II. </w:t>
      </w:r>
      <w:r w:rsidR="005A3DEB">
        <w:rPr>
          <w:rFonts w:ascii="Times New Roman" w:hAnsi="Times New Roman"/>
          <w:sz w:val="24"/>
        </w:rPr>
        <w:t xml:space="preserve">- </w:t>
      </w:r>
      <w:r>
        <w:rPr>
          <w:rFonts w:ascii="Times New Roman" w:hAnsi="Times New Roman"/>
          <w:sz w:val="24"/>
        </w:rPr>
        <w:t xml:space="preserve">Jei pereinamuoju laikotarpiu leidimas parduoti produktą, išskyrus insekticidus ir </w:t>
      </w:r>
      <w:r>
        <w:rPr>
          <w:rFonts w:ascii="Times New Roman" w:hAnsi="Times New Roman"/>
          <w:sz w:val="24"/>
        </w:rPr>
        <w:lastRenderedPageBreak/>
        <w:t>akaricidus, atnaujinamas per mažiau kaip 30 mėnesių nuo šio dekreto įsigaliojimo, šis produktas gali būti naudojamas patraukliems kultūriniams augalams žydėjimo metu ir maitinimosi plotams auginti pagal 3–5 straipsniuose nustatytas sąlygas, kol „Anses“ priims sprendimą dėl 2 straipsnyje numatyto rizikos vertinimo, su sąlyga, kad papildomi duomenys bus pateikti per 30 mėnesių nuo šio dekreto įsigaliojimo dienos.</w:t>
      </w:r>
      <w:r>
        <w:rPr>
          <w:rFonts w:ascii="Times New Roman" w:hAnsi="Times New Roman"/>
          <w:sz w:val="24"/>
        </w:rPr>
        <w:br/>
        <w:t xml:space="preserve">III. </w:t>
      </w:r>
      <w:r w:rsidR="005A3DEB">
        <w:rPr>
          <w:rFonts w:ascii="Times New Roman" w:hAnsi="Times New Roman"/>
          <w:sz w:val="24"/>
        </w:rPr>
        <w:t xml:space="preserve">- </w:t>
      </w:r>
      <w:r>
        <w:rPr>
          <w:rFonts w:ascii="Times New Roman" w:hAnsi="Times New Roman"/>
          <w:sz w:val="24"/>
        </w:rPr>
        <w:t>Jei pereinamuoju laikotarpiu leidimo prekiauti produktu, išskyrus insekticidus ir akaricidus, atnaujinimas pateikiamas per daugiau kaip 30 mėnesių nuo šio dekreto įsigaliojimo, tas produktas gali būti naudojamas patrauklioms kultūroms žydėjimo metu ir maitinimosi plotams 3–5 straipsniuose numatytomis sąlygomis, kol „Anses“ priims sprendimą dėl 2 straipsnyje numatyto rizikos vertinimo, su sąlyga, kad papildomi duomenys bus pateikti per 48 mėnesius nuo šio dekreto įsigaliojimo dienos.</w:t>
      </w:r>
      <w:r>
        <w:rPr>
          <w:rFonts w:ascii="Times New Roman" w:hAnsi="Times New Roman"/>
          <w:sz w:val="24"/>
        </w:rPr>
        <w:br/>
        <w:t>IV.</w:t>
      </w:r>
      <w:r w:rsidR="005A3DEB">
        <w:rPr>
          <w:rFonts w:ascii="Times New Roman" w:hAnsi="Times New Roman"/>
          <w:sz w:val="24"/>
        </w:rPr>
        <w:t xml:space="preserve"> -</w:t>
      </w:r>
      <w:r>
        <w:rPr>
          <w:rFonts w:ascii="Times New Roman" w:hAnsi="Times New Roman"/>
          <w:sz w:val="24"/>
        </w:rPr>
        <w:t xml:space="preserve"> Jei per šio straipsnio II ir III dalyse nustatytą laiką nepateikiama papildomos informacijos, draudžiama naudoti patrauklioms kultūroms žydėjimo ir maitinimosi plotuose, o atitinkamų produktų etiketės atnaujinamos pagal 7 straipsnio I dalį.</w:t>
      </w:r>
      <w:r>
        <w:rPr>
          <w:rFonts w:ascii="Times New Roman" w:hAnsi="Times New Roman"/>
          <w:sz w:val="24"/>
        </w:rPr>
        <w:br/>
        <w:t xml:space="preserve">V. </w:t>
      </w:r>
      <w:r w:rsidR="005A3DEB">
        <w:rPr>
          <w:rFonts w:ascii="Times New Roman" w:hAnsi="Times New Roman"/>
          <w:sz w:val="24"/>
        </w:rPr>
        <w:t xml:space="preserve">- </w:t>
      </w:r>
      <w:r>
        <w:rPr>
          <w:rFonts w:ascii="Times New Roman" w:hAnsi="Times New Roman"/>
          <w:sz w:val="24"/>
        </w:rPr>
        <w:t>Pareiškėjai, likus 18 mėnesių iki paraiškos padavimo, praneša „Anses“ apie šio straipsnio II ir III dalyse numatytus papildomus duomenis apie savo ketinimą pateikti šiuos papildomus duomenis, nurodydami atitinkamus naudojimo būdus.</w:t>
      </w:r>
      <w:r>
        <w:rPr>
          <w:rFonts w:ascii="Times New Roman" w:hAnsi="Times New Roman"/>
          <w:sz w:val="24"/>
        </w:rPr>
        <w:br/>
        <w:t xml:space="preserve">VI. </w:t>
      </w:r>
      <w:r w:rsidR="005A3DEB">
        <w:rPr>
          <w:rFonts w:ascii="Times New Roman" w:hAnsi="Times New Roman"/>
          <w:sz w:val="24"/>
        </w:rPr>
        <w:t xml:space="preserve">- </w:t>
      </w:r>
      <w:r>
        <w:rPr>
          <w:rFonts w:ascii="Times New Roman" w:hAnsi="Times New Roman"/>
          <w:sz w:val="24"/>
        </w:rPr>
        <w:t>III-V dalių nuostatos netaikomos kultūriniams augalams, kurie, remiantis Kaimo ir jūrų žuvininkystės kodekso D. 253-8 straipsnyje numatytu naudojimo katalogu, nelaikomi itin svarbiais Prancūzijos šiaurinėje arba pietinėje zonoje. Atnaujinant leidimą prekiauti prašoma atlikti apdulkintojų tyrimus ir rizikos vertinimus, kurių reikalaujama pagal galiojančius teisės aktus, ir atitinkami produktai gali būti naudojami patrauklioms kultūroms žydėjimo metu arba maitinimosi plotams, laikantis 3–5 straipsniuose nustatytų sąlygų, kol „Anses“ priims sprendimą dėl 2 straipsnyje numatyto rizikos vertinimo.</w:t>
      </w:r>
      <w:r>
        <w:rPr>
          <w:rFonts w:ascii="Times New Roman" w:hAnsi="Times New Roman"/>
          <w:sz w:val="24"/>
        </w:rPr>
        <w:br/>
        <w:t xml:space="preserve">VII. </w:t>
      </w:r>
      <w:r w:rsidR="005A3DEB">
        <w:rPr>
          <w:rFonts w:ascii="Times New Roman" w:hAnsi="Times New Roman"/>
          <w:sz w:val="24"/>
        </w:rPr>
        <w:t xml:space="preserve">- </w:t>
      </w:r>
      <w:r>
        <w:rPr>
          <w:rFonts w:ascii="Times New Roman" w:hAnsi="Times New Roman"/>
          <w:sz w:val="24"/>
        </w:rPr>
        <w:t>„Anses“ reguliariai skelbia ir atnaujina autorizuotų produktų naudojimo atvejų sąrašą 2 straipsnyje nustatytomis sąlygomis.</w:t>
      </w:r>
    </w:p>
    <w:p w14:paraId="6DFA93B5"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9 straipsnis</w:t>
      </w:r>
    </w:p>
    <w:p w14:paraId="4101862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2003 m. lapkričio 28 d. Dekretas dėl žemės ūkio insekticidų ir akaricidų naudojimo bitėms ir kitiems apdulkinantiems vabzdžiams apsaugoti sąlygų panaikinamas.</w:t>
      </w:r>
    </w:p>
    <w:p w14:paraId="7283981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10 straipsnis</w:t>
      </w:r>
    </w:p>
    <w:p w14:paraId="3D6ED771" w14:textId="405850D3"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Šis nutarimas įsigalioja 2022 m. sausio 1 d.</w:t>
      </w:r>
    </w:p>
    <w:p w14:paraId="604BD44E"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11 straipsnis</w:t>
      </w:r>
    </w:p>
    <w:p w14:paraId="581C8E66" w14:textId="6B4BFF84" w:rsidR="00FF1A38" w:rsidRDefault="00FF1A38" w:rsidP="00FF1A38">
      <w:pPr>
        <w:spacing w:before="100" w:beforeAutospacing="1" w:after="100" w:afterAutospacing="1" w:line="240" w:lineRule="auto"/>
        <w:ind w:left="750"/>
        <w:rPr>
          <w:rFonts w:ascii="Times New Roman" w:hAnsi="Times New Roman"/>
          <w:sz w:val="24"/>
        </w:rPr>
      </w:pPr>
      <w:r>
        <w:rPr>
          <w:rFonts w:ascii="Times New Roman" w:hAnsi="Times New Roman"/>
          <w:sz w:val="24"/>
        </w:rPr>
        <w:br/>
        <w:t>Už šio dekreto, kuris bus paskelbtas Prancūzijos Respublikos oficialiajame leidinyje, vykdymą atsako maisto generalinis direktorius, rizikos prevencijos generalinis direktorius, konkurencijos, vartotojų reikalų ir sukčiavimo kontrolės generalinis direktorius ir sveikatos generalinis direktorius.</w:t>
      </w:r>
    </w:p>
    <w:p w14:paraId="5D964CBC" w14:textId="6A0AA3C8" w:rsidR="005A3DEB" w:rsidRDefault="005A3DEB" w:rsidP="00FF1A38">
      <w:pPr>
        <w:spacing w:before="100" w:beforeAutospacing="1" w:after="100" w:afterAutospacing="1" w:line="240" w:lineRule="auto"/>
        <w:ind w:left="750"/>
        <w:rPr>
          <w:rFonts w:ascii="Times New Roman" w:hAnsi="Times New Roman"/>
          <w:sz w:val="24"/>
        </w:rPr>
      </w:pPr>
    </w:p>
    <w:p w14:paraId="353A278B" w14:textId="77777777" w:rsidR="005A3DEB" w:rsidRPr="00FF1A38" w:rsidRDefault="005A3DEB" w:rsidP="00FF1A38">
      <w:pPr>
        <w:spacing w:before="100" w:beforeAutospacing="1" w:after="100" w:afterAutospacing="1" w:line="240" w:lineRule="auto"/>
        <w:ind w:left="750"/>
        <w:rPr>
          <w:rFonts w:ascii="Times New Roman" w:eastAsia="Times New Roman" w:hAnsi="Times New Roman" w:cs="Times New Roman"/>
          <w:sz w:val="24"/>
          <w:szCs w:val="24"/>
        </w:rPr>
      </w:pPr>
    </w:p>
    <w:p w14:paraId="5A8FC5A1"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lastRenderedPageBreak/>
        <w:t>Priedas</w:t>
      </w:r>
    </w:p>
    <w:p w14:paraId="589DA4E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Straipsnis</w:t>
      </w:r>
    </w:p>
    <w:p w14:paraId="32CB1B17" w14:textId="7F8613B9" w:rsidR="00FF1A38" w:rsidRPr="00462526" w:rsidRDefault="00FF1A38" w:rsidP="00FF1A38">
      <w:pPr>
        <w:spacing w:before="100" w:beforeAutospacing="1" w:after="100" w:afterAutospacing="1" w:line="240" w:lineRule="auto"/>
        <w:ind w:left="750"/>
        <w:rPr>
          <w:rFonts w:ascii="Times New Roman" w:eastAsia="Times New Roman" w:hAnsi="Times New Roman" w:cs="Times New Roman"/>
          <w:caps/>
          <w:sz w:val="24"/>
          <w:szCs w:val="24"/>
        </w:rPr>
      </w:pPr>
      <w:r>
        <w:rPr>
          <w:rFonts w:ascii="Times New Roman" w:hAnsi="Times New Roman"/>
          <w:sz w:val="24"/>
        </w:rPr>
        <w:br/>
      </w:r>
      <w:r>
        <w:rPr>
          <w:rFonts w:ascii="Times New Roman" w:hAnsi="Times New Roman"/>
          <w:caps/>
          <w:sz w:val="24"/>
        </w:rPr>
        <w:t xml:space="preserve">1 priedas. </w:t>
      </w:r>
      <w:r w:rsidR="00C62A39">
        <w:rPr>
          <w:rFonts w:ascii="Times New Roman" w:hAnsi="Times New Roman"/>
          <w:caps/>
          <w:sz w:val="24"/>
        </w:rPr>
        <w:br/>
      </w:r>
      <w:r>
        <w:rPr>
          <w:rFonts w:ascii="Times New Roman" w:hAnsi="Times New Roman"/>
          <w:caps/>
          <w:sz w:val="24"/>
        </w:rPr>
        <w:t>Paraiškų, kuriomis neleidžiama apdulkinti apdulkintojais žydėjimo sezono metu, sąrašas</w:t>
      </w:r>
    </w:p>
    <w:p w14:paraId="34DB028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Naudoti šiltnamiuose ir apsaugotų kultūrų plotuose, nes žydėjimo metu jie tampa neprieinami apdulkintojams.</w:t>
      </w:r>
    </w:p>
    <w:p w14:paraId="50FD6962"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Parengta 2021 m. lapkričio 20 d.</w:t>
      </w:r>
    </w:p>
    <w:p w14:paraId="24C0BB1B"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Žemės ūkio ir maisto ministras,</w:t>
      </w:r>
      <w:r>
        <w:rPr>
          <w:rFonts w:ascii="Times New Roman" w:hAnsi="Times New Roman"/>
          <w:sz w:val="24"/>
        </w:rPr>
        <w:br/>
        <w:t>Ministro vardu ir pagal įgaliojimą:</w:t>
      </w:r>
      <w:r>
        <w:rPr>
          <w:rFonts w:ascii="Times New Roman" w:hAnsi="Times New Roman"/>
          <w:sz w:val="24"/>
        </w:rPr>
        <w:br/>
        <w:t>Maisto generalinė direktorė</w:t>
      </w:r>
      <w:r>
        <w:rPr>
          <w:rFonts w:ascii="Times New Roman" w:hAnsi="Times New Roman"/>
          <w:sz w:val="24"/>
        </w:rPr>
        <w:br/>
        <w:t>B. Ferreira</w:t>
      </w:r>
    </w:p>
    <w:p w14:paraId="10D6C0D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Ekologinės pertvarkos ministras,</w:t>
      </w:r>
      <w:r>
        <w:rPr>
          <w:rFonts w:ascii="Times New Roman" w:hAnsi="Times New Roman"/>
          <w:sz w:val="24"/>
        </w:rPr>
        <w:br/>
        <w:t>Ministro vardu ir pagal įgaliojimą:</w:t>
      </w:r>
      <w:r>
        <w:rPr>
          <w:rFonts w:ascii="Times New Roman" w:hAnsi="Times New Roman"/>
          <w:sz w:val="24"/>
        </w:rPr>
        <w:br/>
        <w:t>Rizikos prevencijos generalinis direktorius</w:t>
      </w:r>
      <w:r>
        <w:rPr>
          <w:rFonts w:ascii="Times New Roman" w:hAnsi="Times New Roman"/>
          <w:sz w:val="24"/>
        </w:rPr>
        <w:br/>
        <w:t>C. Bourillet</w:t>
      </w:r>
    </w:p>
    <w:p w14:paraId="19B1D81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Ekonomikos, finansų ir ekonomikos gaivinimo ministras,</w:t>
      </w:r>
      <w:r>
        <w:rPr>
          <w:rFonts w:ascii="Times New Roman" w:hAnsi="Times New Roman"/>
          <w:sz w:val="24"/>
        </w:rPr>
        <w:br/>
        <w:t>Ministro vardu:</w:t>
      </w:r>
      <w:r>
        <w:rPr>
          <w:rFonts w:ascii="Times New Roman" w:hAnsi="Times New Roman"/>
          <w:sz w:val="24"/>
        </w:rPr>
        <w:br/>
        <w:t>Konkurencijos, vartotojų reikalų ir sukčiavimo kontrolės generalinis direktorius</w:t>
      </w:r>
      <w:r>
        <w:rPr>
          <w:rFonts w:ascii="Times New Roman" w:hAnsi="Times New Roman"/>
          <w:sz w:val="24"/>
        </w:rPr>
        <w:br/>
        <w:t>V. Beaumeunier</w:t>
      </w:r>
    </w:p>
    <w:p w14:paraId="56BCDE13"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Solidarumo ir sveikatos apsaugos ministras</w:t>
      </w:r>
      <w:r>
        <w:rPr>
          <w:rFonts w:ascii="Times New Roman" w:hAnsi="Times New Roman"/>
          <w:sz w:val="24"/>
        </w:rPr>
        <w:br/>
        <w:t>Ministro vardu:</w:t>
      </w:r>
      <w:r>
        <w:rPr>
          <w:rFonts w:ascii="Times New Roman" w:hAnsi="Times New Roman"/>
          <w:sz w:val="24"/>
        </w:rPr>
        <w:br/>
        <w:t>Sveikatos generalinis direktorius</w:t>
      </w:r>
      <w:r>
        <w:rPr>
          <w:rFonts w:ascii="Times New Roman" w:hAnsi="Times New Roman"/>
          <w:sz w:val="24"/>
        </w:rPr>
        <w:br/>
        <w:t>J. Salomon</w:t>
      </w:r>
    </w:p>
    <w:p w14:paraId="26A05D50" w14:textId="77777777" w:rsidR="00C74177" w:rsidRDefault="00C74177"/>
    <w:sectPr w:rsidR="00C74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A2779"/>
    <w:multiLevelType w:val="multilevel"/>
    <w:tmpl w:val="FFA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38"/>
    <w:rsid w:val="00462526"/>
    <w:rsid w:val="005A3DEB"/>
    <w:rsid w:val="007A2F67"/>
    <w:rsid w:val="00906B70"/>
    <w:rsid w:val="00956CE4"/>
    <w:rsid w:val="00C62A39"/>
    <w:rsid w:val="00C74177"/>
    <w:rsid w:val="00FF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BB62"/>
  <w15:chartTrackingRefBased/>
  <w15:docId w15:val="{A5F8F7E5-8A34-4C24-8DDC-26EB8C4D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80119">
      <w:bodyDiv w:val="1"/>
      <w:marLeft w:val="0"/>
      <w:marRight w:val="0"/>
      <w:marTop w:val="0"/>
      <w:marBottom w:val="0"/>
      <w:divBdr>
        <w:top w:val="none" w:sz="0" w:space="0" w:color="auto"/>
        <w:left w:val="none" w:sz="0" w:space="0" w:color="auto"/>
        <w:bottom w:val="none" w:sz="0" w:space="0" w:color="auto"/>
        <w:right w:val="none" w:sz="0" w:space="0" w:color="auto"/>
      </w:divBdr>
      <w:divsChild>
        <w:div w:id="318073816">
          <w:marLeft w:val="0"/>
          <w:marRight w:val="0"/>
          <w:marTop w:val="0"/>
          <w:marBottom w:val="0"/>
          <w:divBdr>
            <w:top w:val="none" w:sz="0" w:space="0" w:color="auto"/>
            <w:left w:val="none" w:sz="0" w:space="0" w:color="auto"/>
            <w:bottom w:val="none" w:sz="0" w:space="0" w:color="auto"/>
            <w:right w:val="none" w:sz="0" w:space="0" w:color="auto"/>
          </w:divBdr>
          <w:divsChild>
            <w:div w:id="18154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E43C2-888E-4BC0-BD4C-1FDDD6754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2058</Words>
  <Characters>11734</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Liana Brili</cp:lastModifiedBy>
  <cp:revision>4</cp:revision>
  <dcterms:created xsi:type="dcterms:W3CDTF">2022-03-04T13:04:00Z</dcterms:created>
  <dcterms:modified xsi:type="dcterms:W3CDTF">2022-03-06T16:15:00Z</dcterms:modified>
</cp:coreProperties>
</file>