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C8E4" w14:textId="77777777" w:rsidR="00FF1A38" w:rsidRPr="00FF1A38" w:rsidRDefault="00FF1A38" w:rsidP="00FF1A38">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Besluit van 20 november 2021 betreffende de bescherming van bijen en andere bestuivende insecten en betreffende de instandhouding van bestuivingsactiviteiten bij het gebruik van gewasbeschermingsmiddelen</w:t>
      </w:r>
    </w:p>
    <w:p w14:paraId="6496B0C9" w14:textId="77777777" w:rsidR="00FF1A38" w:rsidRPr="00FF1A38" w:rsidRDefault="00FF1A38" w:rsidP="00FF1A38">
      <w:pPr>
        <w:spacing w:after="0" w:line="240" w:lineRule="auto"/>
        <w:rPr>
          <w:rFonts w:ascii="Times New Roman" w:eastAsia="Times New Roman" w:hAnsi="Times New Roman" w:cs="Times New Roman"/>
          <w:sz w:val="24"/>
          <w:szCs w:val="24"/>
        </w:rPr>
      </w:pPr>
      <w:r>
        <w:rPr>
          <w:rFonts w:ascii="Times New Roman" w:hAnsi="Times New Roman"/>
          <w:sz w:val="24"/>
        </w:rPr>
        <w:t>NOR: AGRG2134356A</w:t>
      </w:r>
      <w:r>
        <w:rPr>
          <w:rFonts w:ascii="Times New Roman" w:hAnsi="Times New Roman"/>
          <w:sz w:val="24"/>
        </w:rPr>
        <w:br/>
        <w:t>ELI: https://www.legifrance.gouv.fr/eli/arrete/2021/11/20/AGRG2134356A/jo/texte</w:t>
      </w:r>
      <w:r>
        <w:rPr>
          <w:rFonts w:ascii="Times New Roman" w:hAnsi="Times New Roman"/>
          <w:sz w:val="24"/>
        </w:rPr>
        <w:br/>
        <w:t>JORF No 0271 van 21 november 2021</w:t>
      </w:r>
      <w:r>
        <w:rPr>
          <w:rFonts w:ascii="Times New Roman" w:hAnsi="Times New Roman"/>
          <w:sz w:val="24"/>
        </w:rPr>
        <w:br/>
        <w:t>Tekst nr. 17</w:t>
      </w:r>
    </w:p>
    <w:p w14:paraId="040906AF"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Titel I: KADER VOOR DE TOELATING VAN GEWASBESCHERMINGSMIDDELEN TIJDENS DE BLOEIPERIODES (Artikel 2)</w:t>
      </w:r>
    </w:p>
    <w:p w14:paraId="69521E1F"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Titel II: TOEZICHT OP HET GEBRUIK VAN GEWASBESCHERMINGSMIDDELEN TIJDENS DE BLOEIPERIODES (Artikelen 3 tot en met 7)</w:t>
      </w:r>
    </w:p>
    <w:p w14:paraId="0E5A6E18"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Titel III: OVERGANGSBEPALINGEN (Artikelen 8 tot en met 11)</w:t>
      </w:r>
    </w:p>
    <w:p w14:paraId="3E3E5899"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Bijlage</w:t>
      </w:r>
    </w:p>
    <w:p w14:paraId="78D9C32A" w14:textId="22149B94"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Doelgroepen: Aanvragers en houders van een vergunning voor de markt, gebruikers van gewasbeschermingsmiddelen, begunstigden van bestuivingsdiensten. </w:t>
      </w:r>
      <w:r>
        <w:rPr>
          <w:rFonts w:ascii="Times New Roman" w:hAnsi="Times New Roman"/>
          <w:sz w:val="24"/>
        </w:rPr>
        <w:br/>
        <w:t xml:space="preserve">Betreft: Dit besluit bevat maatregelen ter bescherming van bestuivende insecten en landbouw- en ecosysteemdiensten tegen de aan het gebruik van gewasbeschermingsmiddelen verbonden risico’s. </w:t>
      </w:r>
      <w:r>
        <w:rPr>
          <w:rFonts w:ascii="Times New Roman" w:hAnsi="Times New Roman"/>
          <w:sz w:val="24"/>
        </w:rPr>
        <w:br/>
        <w:t>Inwerkingtreding : Dit Besluit treedt in werking op 1 januari 2022.</w:t>
      </w:r>
      <w:r>
        <w:rPr>
          <w:rFonts w:ascii="Times New Roman" w:hAnsi="Times New Roman"/>
          <w:sz w:val="24"/>
        </w:rPr>
        <w:br/>
        <w:t xml:space="preserve">Bericht: Het decreet breidt het beginsel van de beoordeling van de mogelijkheid om tijdens de bloeiperiode een gewasbeschermingsmiddel te gebruiken op voor bestuivers aantrekkelijke gewassen en foerageeroppervlakten uit tot alle gewasbeschermingsmiddelen met betrekking tot het risico voor bestuivers. Als het product door de Anses voor bloei is toegestaan, moet de behandeling, behalve in speciale gevallen, worden uitgevoerd binnen 2 uur vóór zonsondergang en binnen 3 uur na zonsondergang. Het decreet voorziet in overgangsmaatregelen en een tijdschema voor de tenuitvoerlegging van deze nieuwe bepalingen. </w:t>
      </w:r>
      <w:r>
        <w:rPr>
          <w:rFonts w:ascii="Times New Roman" w:hAnsi="Times New Roman"/>
          <w:sz w:val="24"/>
        </w:rPr>
        <w:br/>
        <w:t xml:space="preserve">Referenties: dit besluit is vastgesteld op grond van artikel L. 253-7 van het Wetboek van Rurale en Maritieme Visserij. Het is beschikbaar op de website van Légifrance: https://www.legifrance.gouv.fr/. </w:t>
      </w:r>
    </w:p>
    <w:p w14:paraId="55211D70"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De minister van Ecologische Overgang, de minister van Economische Zaken, Financiën en Herstel, de minister van Solidariteit en Volksgezondheid en de Minister van Landbouw en Voedselvoorziening,</w:t>
      </w:r>
      <w:r>
        <w:rPr>
          <w:rFonts w:ascii="Times New Roman" w:hAnsi="Times New Roman"/>
          <w:sz w:val="24"/>
        </w:rPr>
        <w:br/>
        <w:t>Gezien Verordening (EG) nr. 1107/2009 van het Europees Parlement en de Raad van 21 oktober 2009, zoals gewijzigd, betreffende het op de markt brengen van gewasbeschermingsmiddelen en tot intrekking van de Richtlijnen 79/117/EEG en 91/414/EEG van de Raad,</w:t>
      </w:r>
      <w:r>
        <w:rPr>
          <w:rFonts w:ascii="Times New Roman" w:hAnsi="Times New Roman"/>
          <w:sz w:val="24"/>
        </w:rPr>
        <w:br/>
        <w:t>Gezien Verordening (EU) nr. 547/2011 van de Commissie van 8 juni 2011 ter uitvoering van Verordening (EG) nr. 1107/2009 van het Europees Parlement en de Raad wat betreft de etiketteringsvoorschriften voor gewasbeschermingsmiddelen;</w:t>
      </w:r>
      <w:r>
        <w:rPr>
          <w:rFonts w:ascii="Times New Roman" w:hAnsi="Times New Roman"/>
          <w:sz w:val="24"/>
        </w:rPr>
        <w:br/>
      </w:r>
      <w:r>
        <w:rPr>
          <w:rFonts w:ascii="Times New Roman" w:hAnsi="Times New Roman"/>
          <w:sz w:val="24"/>
        </w:rPr>
        <w:lastRenderedPageBreak/>
        <w:t>Gezien Richtlijn (EU) 2015/1535 van het Europees Parlement en de Raad van 9 september 2015 betreffende een informatieprocedure op het gebied van technische voorschriften en regels betreffende de diensten van de informatiemaatschappij;</w:t>
      </w:r>
      <w:r>
        <w:rPr>
          <w:rFonts w:ascii="Times New Roman" w:hAnsi="Times New Roman"/>
          <w:sz w:val="24"/>
        </w:rPr>
        <w:br/>
        <w:t>Gezien het wetboek inzake rurale en maritieme visserij, en met name de artikelen L. 201-4, L. 251-3, L. 253-1, L. 253-7, D. 253-8, R. 253-43 en R. 253-45,</w:t>
      </w:r>
      <w:r>
        <w:rPr>
          <w:rFonts w:ascii="Times New Roman" w:hAnsi="Times New Roman"/>
          <w:sz w:val="24"/>
        </w:rPr>
        <w:br/>
        <w:t>Gelet op het decreet van 16 juni 2009 betreffende de voorwaarden waaronder de in artikel L. 257-1 bedoelde marktdeelnemers het in artikel L. 257-3 van het Landelijk Wetboek bedoelde register bijhouden;</w:t>
      </w:r>
      <w:r>
        <w:rPr>
          <w:rFonts w:ascii="Times New Roman" w:hAnsi="Times New Roman"/>
          <w:sz w:val="24"/>
        </w:rPr>
        <w:br/>
        <w:t>Gezien kennisgeving nr. 2021/448/F;</w:t>
      </w:r>
      <w:r>
        <w:rPr>
          <w:rFonts w:ascii="Times New Roman" w:hAnsi="Times New Roman"/>
          <w:sz w:val="24"/>
        </w:rPr>
        <w:br/>
        <w:t>Gezien de opmerkingen die zijn gemaakt tijdens de openbare raadpleging die is gehouden tussen 28 juni 2021 en 20 juli 2021, overeenkomstig artikel L. 123-19-1 van het Milieuwetboek,</w:t>
      </w:r>
      <w:r>
        <w:rPr>
          <w:rFonts w:ascii="Times New Roman" w:hAnsi="Times New Roman"/>
          <w:sz w:val="24"/>
        </w:rPr>
        <w:br/>
        <w:t>Hierbij besluit:</w:t>
      </w:r>
    </w:p>
    <w:p w14:paraId="72734333" w14:textId="77777777" w:rsidR="00FF1A38" w:rsidRPr="00FF1A38" w:rsidRDefault="00FF1A38" w:rsidP="00FF1A38">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1</w:t>
      </w:r>
    </w:p>
    <w:p w14:paraId="4AE602D9" w14:textId="77777777" w:rsidR="00FF1A38" w:rsidRPr="00FF1A38" w:rsidRDefault="00FF1A38" w:rsidP="00FF1A38">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Ten behoeve van dit besluit wordt onder de volgende definities het volgende verstaan:</w:t>
      </w:r>
      <w:r>
        <w:rPr>
          <w:rFonts w:ascii="Times New Roman" w:hAnsi="Times New Roman"/>
          <w:sz w:val="24"/>
        </w:rPr>
        <w:br/>
        <w:t>„Bijen”: Gedomesticeerde bijen, wilde bijen en hommels;</w:t>
      </w:r>
      <w:r>
        <w:rPr>
          <w:rFonts w:ascii="Times New Roman" w:hAnsi="Times New Roman"/>
          <w:sz w:val="24"/>
        </w:rPr>
        <w:br/>
        <w:t>„Zonsondergang”: Tijd bepaald door de efemeriden van de plaats die het dichtst bij de implantatie van de behandelingsplaats ligt;</w:t>
      </w:r>
      <w:r>
        <w:rPr>
          <w:rFonts w:ascii="Times New Roman" w:hAnsi="Times New Roman"/>
          <w:sz w:val="24"/>
        </w:rPr>
        <w:br/>
        <w:t>„Aantrekkelijke cultuur”: Een aantrekkelijk gewas is een gewas dat door zijn aard aantrekkelijk is voor bijen of andere bestuivende insecten. In het Publicatieblad van het Ministerie van Landbouw vermelde gewassen worden niet als aantrekkelijk beschouwd in de zin van dit Besluit;</w:t>
      </w:r>
      <w:r>
        <w:rPr>
          <w:rFonts w:ascii="Times New Roman" w:hAnsi="Times New Roman"/>
          <w:sz w:val="24"/>
        </w:rPr>
        <w:br/>
        <w:t>„Exsudaat”: Honingdauw, zoete afscheidingen geproduceerd door planten en extraflorale nectar van planten die worden geoogst door bijen of andere bestuivende insecten;</w:t>
      </w:r>
      <w:r>
        <w:rPr>
          <w:rFonts w:ascii="Times New Roman" w:hAnsi="Times New Roman"/>
          <w:sz w:val="24"/>
        </w:rPr>
        <w:br/>
        <w:t>„Bloeien”: Vegetatieve periode die zich uitstrekt van de opening van de eerste bloemen tot de val van de bloemblaadjes van de laatste bloemen;</w:t>
      </w:r>
      <w:r>
        <w:rPr>
          <w:rFonts w:ascii="Times New Roman" w:hAnsi="Times New Roman"/>
          <w:sz w:val="24"/>
        </w:rPr>
        <w:br/>
        <w:t>„Producten”: Gewasbeschermingsmiddelen, met uitzondering van uitdunnende producten, en de hulpstoffen daarvan als bedoeld in artikel L.253-1 van de plattelandswet en maritieme visserij;</w:t>
      </w:r>
      <w:r>
        <w:rPr>
          <w:rFonts w:ascii="Times New Roman" w:hAnsi="Times New Roman"/>
          <w:sz w:val="24"/>
        </w:rPr>
        <w:br/>
        <w:t>„Register”: Register van het gebruik van gewasbeschermingsmiddelen als bedoeld in het Besluit van 16 juni 2009 betreffende de voorwaarden waaronder de in artikel L. 257-1 van de Wet op de Plattelands- en Zeevisserij bedoelde marktdeelnemers het register bijhouden als bedoeld in artikel 67 van Verordening (EG) nr. 1107/2009 van 21 oktober 2009 betreffende het op de markt brengen van gewasbeschermingsmiddelen;</w:t>
      </w:r>
      <w:r>
        <w:rPr>
          <w:rFonts w:ascii="Times New Roman" w:hAnsi="Times New Roman"/>
          <w:sz w:val="24"/>
        </w:rPr>
        <w:br/>
        <w:t>„Gebruik”: Het gebruik van een gewasbeschermingsmiddel of een hulpmiddel op een plant, plantaardig product of plantenfamilie, ter bestrijding van een plaagorganisme, een groep plaagorganismen, een ziekte of een groep ziekten, overeenkomstig een welomschreven functie en gedetailleerde uitvoeringsvoorschriften, zoals vermeld in de lijst als bedoeld in artikel D.253-8 van artikel D.253-8 van de Code plattelands- en maritieme visserij;</w:t>
      </w:r>
      <w:r>
        <w:rPr>
          <w:rFonts w:ascii="Times New Roman" w:hAnsi="Times New Roman"/>
          <w:sz w:val="24"/>
        </w:rPr>
        <w:br/>
        <w:t>„Gebruik van producten”: Elke toepassing van een gewasbeschermingsmiddel of een hulpstof voor een vegetatieve cyclus overeenkomstig een toegelaten gebruik, ongeacht de wijze van toepassing en het deel van de te behandelen plant, met uitzondering van de in bijlage 1 gedefinieerd toepassingen die blootstelling van bestuivers tijdens de bloei uitsluiten;</w:t>
      </w:r>
      <w:r>
        <w:rPr>
          <w:rFonts w:ascii="Times New Roman" w:hAnsi="Times New Roman"/>
          <w:sz w:val="24"/>
        </w:rPr>
        <w:br/>
        <w:t xml:space="preserve">„Het foerageergebied”: Met uitzondering van gewassen in productie is een foerageerareaal een landbouw- of niet-agrarisch gebied dat wordt bewoond door een </w:t>
      </w:r>
      <w:r>
        <w:rPr>
          <w:rFonts w:ascii="Times New Roman" w:hAnsi="Times New Roman"/>
          <w:sz w:val="24"/>
        </w:rPr>
        <w:lastRenderedPageBreak/>
        <w:t>beteelde of spontane plantengroep, dat duidelijk van belang is voor bijen of andere bestuivende insecten als gevolg van de aanwezigheid van bloemen of exsudaten. Voor de toepassing van dit besluit is het gebruik van producten in foerageerarealen die bestemd zijn om deze oppervlakten specifiek te behandelen, ongeacht het gebruik voor gewassen in de productie.</w:t>
      </w:r>
    </w:p>
    <w:p w14:paraId="75081A77"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Titel I: KADER VOOR DE TOELATING VAN GEWASBESCHERMINGSMIDDELEN TIJDENS DE BLOEIPERIODES (Artikel 2)</w:t>
      </w:r>
    </w:p>
    <w:p w14:paraId="52EC4D0D"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2</w:t>
      </w:r>
    </w:p>
    <w:p w14:paraId="4E54D572"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Bij de afgifte of verlenging van de vergunning als bedoeld in L. 253-1 van de Wet op de plattelands- en zeevisserij beoordeelt de Anses de risico’s die verbonden zijn aan het gebruik van het product op aantrekkelijke gewassen tijdens de bloei.</w:t>
      </w:r>
      <w:r>
        <w:rPr>
          <w:rFonts w:ascii="Times New Roman" w:hAnsi="Times New Roman"/>
          <w:sz w:val="24"/>
        </w:rPr>
        <w:br/>
        <w:t>Daartoe voegt de aanvrager bij zijn dossier de tests en risicobeoordelingen die op grond van de geldende voorschriften vereist zijn en de informatie die de Anses nodig hebben om een besluit te nemen over de in de eerste alinea bedoelde beoordeling.</w:t>
      </w:r>
      <w:r>
        <w:rPr>
          <w:rFonts w:ascii="Times New Roman" w:hAnsi="Times New Roman"/>
          <w:sz w:val="24"/>
        </w:rPr>
        <w:br/>
        <w:t>Indien uit de door de Anses uitgevoerde risicobeoordeling blijkt dat het gebruik leidt tot een verwaarloosbare blootstelling van bijen of geen onaanvaardbaar, acuut of chronisch effect op bijen of effecten op de overleving en ontwikkeling van kolonies veroorzaakt, kan het gebruik van het product worden toegestaan op het overeenkomstige aantrekkelijke gewas wanneer het bloeit en op foerageergebieden. Dit gebruik is afhankelijk van de naleving van de in artikel 3 vastgestelde maatregelen.</w:t>
      </w:r>
      <w:r>
        <w:rPr>
          <w:rFonts w:ascii="Times New Roman" w:hAnsi="Times New Roman"/>
          <w:sz w:val="24"/>
        </w:rPr>
        <w:br/>
        <w:t>Anders is het gebruik van het product verboden op het overeenkomstige aantrekkelijke gewas wanneer dit in bloei staat en op de foerageergebieden.</w:t>
      </w:r>
    </w:p>
    <w:p w14:paraId="278D5B92"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Titel II: TOEZICHT OP HET GEBRUIK VAN GEWASBESCHERMINGSMIDDELEN TIJDENS DE BLOEIPERIODES (Artikelen 3 tot en met 7)</w:t>
      </w:r>
    </w:p>
    <w:p w14:paraId="74FEABC1"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3</w:t>
      </w:r>
    </w:p>
    <w:p w14:paraId="69100266"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Een overeenkomstig artikel 2 toegelaten product wordt gebruikt op een aantrekkelijk gewas tijdens de bloei of op een foerageergebied binnen 2 uur vóór zonsondergang en binnen 3 uur na zonsondergang.</w:t>
      </w:r>
      <w:r>
        <w:rPr>
          <w:rFonts w:ascii="Times New Roman" w:hAnsi="Times New Roman"/>
          <w:sz w:val="24"/>
        </w:rPr>
        <w:br/>
        <w:t>Deze periode kan worden aangepast of afgeschaft overeenkomstig de procedures die gelijkwaardige garanties bieden voor de blootstelling van bijen en andere bestuivers. Deze procedures zullen na het advies van de Anses in de bijlage worden uiteengezet, met name om behandelingen 's ochtends of onder een temperatuurgrens mogelijk te maken.</w:t>
      </w:r>
      <w:r>
        <w:rPr>
          <w:rFonts w:ascii="Times New Roman" w:hAnsi="Times New Roman"/>
          <w:sz w:val="24"/>
        </w:rPr>
        <w:br/>
        <w:t xml:space="preserve">In afwijking van de eerste alinea wordt geëxperimenteerd met het gebruik van gewasbeschermingsmiddelen na de genoemde tijdsspanne om de beslissingsondersteunende instrumenten of andere technologieën te identificeren waarvan het gebruik gelijkwaardige garanties zou bieden in termen van blootstelling van bijen en andere bestuivers . Dit experiment met een maximale duur van drie jaar, </w:t>
      </w:r>
      <w:r>
        <w:rPr>
          <w:rFonts w:ascii="Times New Roman" w:hAnsi="Times New Roman"/>
          <w:sz w:val="24"/>
        </w:rPr>
        <w:lastRenderedPageBreak/>
        <w:t>dat door de Anses wordt geëvalueerd, wordt uitgevoerd onder de voorwaarden en modaliteiten die bij gezamenlijk besluit van de ministers van Milieu en Landbouw zijn vastgesteld.</w:t>
      </w:r>
    </w:p>
    <w:p w14:paraId="2638E37D"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w:t>
      </w:r>
    </w:p>
    <w:p w14:paraId="6F7C037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Wanneer een plantendek dat aanwezig is onder een overblijvend gewas een foerageergebied vormt, moet het vóór een behandeling met insecticide of acaricide onaantrekkelijk worden gemaakt voor bestuivers.</w:t>
      </w:r>
    </w:p>
    <w:p w14:paraId="039E740F"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5</w:t>
      </w:r>
    </w:p>
    <w:p w14:paraId="70D705FD"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De in artikel 3 bedoelde toepassingsperiode kan in de volgende gevallen worden gewijzigd:</w:t>
      </w:r>
    </w:p>
    <w:p w14:paraId="040DB100" w14:textId="201936DF"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r>
      <w:r w:rsidR="00045A94">
        <w:rPr>
          <w:rFonts w:ascii="Times New Roman" w:hAnsi="Times New Roman"/>
          <w:sz w:val="24"/>
        </w:rPr>
        <w:t>-</w:t>
      </w:r>
      <w:r>
        <w:rPr>
          <w:rFonts w:ascii="Times New Roman" w:hAnsi="Times New Roman"/>
          <w:sz w:val="24"/>
        </w:rPr>
        <w:t xml:space="preserve"> indien de behandeling die gedurende de in artikel 3 omschreven periode wordt verricht wegens de uitsluitend dagelijkse activiteit van bio-agressoren, geen doeltreffende bescherming van de behandelde cultuur waarborgt;</w:t>
      </w:r>
      <w:r>
        <w:rPr>
          <w:rFonts w:ascii="Times New Roman" w:hAnsi="Times New Roman"/>
          <w:sz w:val="24"/>
        </w:rPr>
        <w:br/>
        <w:t>- indien, met het oog op de ontwikkeling van een ziekte, de doeltreffendheid van een schimmelbehandeling afhankelijk wordt gesteld van de voltooiing ervan binnen een beperkte periode die onverenigbaar is met de in artikel 3 vastgestelde termijn.</w:t>
      </w:r>
    </w:p>
    <w:p w14:paraId="1C4C0AA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In beide gevallen kan de toepassing zonder tijdsbeperkingen worden uitgevoerd.</w:t>
      </w:r>
      <w:r>
        <w:rPr>
          <w:rFonts w:ascii="Times New Roman" w:hAnsi="Times New Roman"/>
          <w:sz w:val="24"/>
        </w:rPr>
        <w:br/>
        <w:t>Op tijdelijke basis kan de aanvraag gedurende een periode van acht maanden vanaf de datum van bekendmaking van dit Besluit ook zonder uurlijkse beperking worden uitgevoerd, mits de temperatuur zo laag is dat de aanwezigheid van bijen wordt vermeden.</w:t>
      </w:r>
      <w:r>
        <w:rPr>
          <w:rFonts w:ascii="Times New Roman" w:hAnsi="Times New Roman"/>
          <w:sz w:val="24"/>
        </w:rPr>
        <w:br/>
        <w:t>Het begin- en eindtijdstip van de verwerking en de reden voor de wijziging van de in artikel 3 bedoelde periode worden in het register geregistreerd.</w:t>
      </w:r>
    </w:p>
    <w:p w14:paraId="2C420868"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6</w:t>
      </w:r>
    </w:p>
    <w:p w14:paraId="7C493FCA"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Van het verbod bedoeld in artikel 2, vierde lid, en van de beheersmaatregelen bedoeld in artikel 3 kan worden afgeweken bij het Besluit dat is uitgevaardigd krachtens artikel L. 201-4, II, van de Wet op de plattelands- en zeevisserij voor gereglementeerde instanties krachtens artikel L. 251-3 van dezelfde Wet.</w:t>
      </w:r>
    </w:p>
    <w:p w14:paraId="21212990"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7</w:t>
      </w:r>
    </w:p>
    <w:p w14:paraId="1044327C" w14:textId="3A911C4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w:t>
      </w:r>
      <w:r w:rsidR="00045A94">
        <w:rPr>
          <w:rFonts w:ascii="Times New Roman" w:hAnsi="Times New Roman"/>
          <w:sz w:val="24"/>
        </w:rPr>
        <w:t>. -</w:t>
      </w:r>
      <w:r>
        <w:rPr>
          <w:rFonts w:ascii="Times New Roman" w:hAnsi="Times New Roman"/>
          <w:sz w:val="24"/>
        </w:rPr>
        <w:t xml:space="preserve"> Op de etikettering van producten waarvoor overeenkomstig artikel 2 geen gebruik op een bloeiend gewas is toegestaan, wordt de zinsnede ‘Gevaarlijk voor bijen’ vermeld. Ter bescherming van bijen en andere bestuivende insecten, niet aanbrengen tijdens de bloei en niet gebruiken op foerageergebieden.</w:t>
      </w:r>
      <w:r>
        <w:rPr>
          <w:rFonts w:ascii="Times New Roman" w:hAnsi="Times New Roman"/>
          <w:sz w:val="24"/>
        </w:rPr>
        <w:br/>
        <w:t>II</w:t>
      </w:r>
      <w:r w:rsidR="00045A94">
        <w:rPr>
          <w:rFonts w:ascii="Times New Roman" w:hAnsi="Times New Roman"/>
          <w:sz w:val="24"/>
        </w:rPr>
        <w:t>. -</w:t>
      </w:r>
      <w:r>
        <w:rPr>
          <w:rFonts w:ascii="Times New Roman" w:hAnsi="Times New Roman"/>
          <w:sz w:val="24"/>
        </w:rPr>
        <w:t xml:space="preserve"> Op de etikettering van producten waarvoor overeenkomstig artikel 2 ten minste </w:t>
      </w:r>
      <w:r>
        <w:rPr>
          <w:rFonts w:ascii="Times New Roman" w:hAnsi="Times New Roman"/>
          <w:sz w:val="24"/>
        </w:rPr>
        <w:lastRenderedPageBreak/>
        <w:t>één gebruik op een bloeiend gewas is toegestaan, wordt de zinsnede „Misschien gevaarlijk voor bijen” vermeld. Mogelijke toepassing tijdens de bloei en op foerageergebieden binnen 2 uur voor zonsondergang of 3 uur na zonsondergang, alleen voor het volgende gebruik: […] De uurregelingen kunnen worden aangepast overeenkomstig het Besluit van 20 november 2021 betreffende de bescherming van bijen en andere bestuivende insecten en het behoud van bestuivingsdiensten bij gebruik van gewasbeschermingsmiddelen.’</w:t>
      </w:r>
    </w:p>
    <w:p w14:paraId="2351893A"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Titel III: OVERGANGSBEPALINGEN (Artikelen 8 tot en met 11)</w:t>
      </w:r>
    </w:p>
    <w:p w14:paraId="0A0A492B"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8</w:t>
      </w:r>
    </w:p>
    <w:p w14:paraId="47A5BAF5" w14:textId="7154F7D5"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045A94">
        <w:rPr>
          <w:rFonts w:ascii="Times New Roman" w:hAnsi="Times New Roman"/>
          <w:sz w:val="24"/>
        </w:rPr>
        <w:t xml:space="preserve">- </w:t>
      </w:r>
      <w:r>
        <w:rPr>
          <w:rFonts w:ascii="Times New Roman" w:hAnsi="Times New Roman"/>
          <w:sz w:val="24"/>
        </w:rPr>
        <w:t>Bij wijze van overgangsmaatregel, insecticiden en acaricidemiddelen waarvan de vergunning voor het in de handel brengen op de datum van inwerkingtreding van dit besluit een van de volgende gegevens omvat:</w:t>
      </w:r>
    </w:p>
    <w:p w14:paraId="3C0215A8" w14:textId="14A42B7F"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w:t>
      </w:r>
      <w:r w:rsidR="00045A94">
        <w:rPr>
          <w:rFonts w:ascii="Times New Roman" w:hAnsi="Times New Roman"/>
          <w:sz w:val="24"/>
        </w:rPr>
        <w:t xml:space="preserve">- </w:t>
      </w:r>
      <w:r>
        <w:rPr>
          <w:rFonts w:ascii="Times New Roman" w:hAnsi="Times New Roman"/>
          <w:sz w:val="24"/>
        </w:rPr>
        <w:t>toegelaten gebruik tijdens de bloei, met uitzondering van de aanwezigheid van bijen”;</w:t>
      </w:r>
      <w:r>
        <w:rPr>
          <w:rFonts w:ascii="Times New Roman" w:hAnsi="Times New Roman"/>
          <w:sz w:val="24"/>
        </w:rPr>
        <w:br/>
        <w:t>„</w:t>
      </w:r>
      <w:r w:rsidR="00045A94">
        <w:rPr>
          <w:rFonts w:ascii="Times New Roman" w:hAnsi="Times New Roman"/>
          <w:sz w:val="24"/>
        </w:rPr>
        <w:t xml:space="preserve">- </w:t>
      </w:r>
      <w:r>
        <w:rPr>
          <w:rFonts w:ascii="Times New Roman" w:hAnsi="Times New Roman"/>
          <w:sz w:val="24"/>
        </w:rPr>
        <w:t>toegestaan gebruik tijdens perioden van exsudaatproductie, met uitzondering van de aanwezigheid van bijen”;</w:t>
      </w:r>
      <w:r>
        <w:rPr>
          <w:rFonts w:ascii="Times New Roman" w:hAnsi="Times New Roman"/>
          <w:sz w:val="24"/>
        </w:rPr>
        <w:br/>
        <w:t>„</w:t>
      </w:r>
      <w:r w:rsidR="00045A94">
        <w:rPr>
          <w:rFonts w:ascii="Times New Roman" w:hAnsi="Times New Roman"/>
          <w:sz w:val="24"/>
        </w:rPr>
        <w:t xml:space="preserve">- </w:t>
      </w:r>
      <w:r>
        <w:rPr>
          <w:rFonts w:ascii="Times New Roman" w:hAnsi="Times New Roman"/>
          <w:sz w:val="24"/>
        </w:rPr>
        <w:t>toegelaten gebruik tijdens de bloei en tijdens de perioden van exsudaatproductie, met uitzondering van de periode waarin bijen aanwezig zijn”;</w:t>
      </w:r>
    </w:p>
    <w:p w14:paraId="3705A0E7" w14:textId="23344C0A"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mogen worden gebruikt voor de betrokken toepassingen op aantrekkelijke gewassen tijdens de bloei of op foerageergebieden, onder de in de artikelen 3 tot en met 5, vastgestelde voorwaarden, totdat de vergunning voor het in de handel brengen is verlengd.</w:t>
      </w:r>
      <w:r>
        <w:rPr>
          <w:rFonts w:ascii="Times New Roman" w:hAnsi="Times New Roman"/>
          <w:sz w:val="24"/>
        </w:rPr>
        <w:br/>
        <w:t>II. - Als overgangsmaatregel mag het product, indien de vergunning voor het in de handel brengen van een ander product dan een insecticiden of acariciden minder dan 30 maanden na de inwerkingtreding van dit Besluit wordt verlengd, worden gebruikt op aantrekkelijke gewassen in bloei- en foerageergebieden onder de voorwaarden als bedoeld in de artikelen 3 tot en met 5 de Anses neemt geen besluit over de in artikel 2 bedoelde risicobeoordeling, op voorwaarde dat de aanvullende elementen binnen 30 maanden na de inwerkingtreding van dit Besluit worden ingediend.</w:t>
      </w:r>
      <w:r>
        <w:rPr>
          <w:rFonts w:ascii="Times New Roman" w:hAnsi="Times New Roman"/>
          <w:sz w:val="24"/>
        </w:rPr>
        <w:br/>
        <w:t xml:space="preserve">III. </w:t>
      </w:r>
      <w:r w:rsidR="00045A94">
        <w:rPr>
          <w:rFonts w:ascii="Times New Roman" w:hAnsi="Times New Roman"/>
          <w:sz w:val="24"/>
        </w:rPr>
        <w:t xml:space="preserve">- </w:t>
      </w:r>
      <w:r>
        <w:rPr>
          <w:rFonts w:ascii="Times New Roman" w:hAnsi="Times New Roman"/>
          <w:sz w:val="24"/>
        </w:rPr>
        <w:t>Bij wijze van overgangsmaatregel mag, indien de verlenging van de vergunning voor het in de handel brengen van een ander product dan insecticiden en acariciden wordt aangevraagd binnen een periode van meer dan 30 maanden na de inwerkingtreding van dit Besluit, dit product worden gebruikt op aantrekkelijke gewassen tijdens de bloei en op foerageergebieden onder de voorwaarden van de artikelen 3 en 5, totdat ANSES uitspraak heeft gedaan over de risicobeoordeling als bedoeld in artikel 2, mits de aanvullende elementen binnen 48 maanden na de inwerkingtreding van dit Besluit zijn ingediend.</w:t>
      </w:r>
      <w:r>
        <w:rPr>
          <w:rFonts w:ascii="Times New Roman" w:hAnsi="Times New Roman"/>
          <w:sz w:val="24"/>
        </w:rPr>
        <w:br/>
        <w:t xml:space="preserve">IV. </w:t>
      </w:r>
      <w:r w:rsidR="00045A94">
        <w:rPr>
          <w:rFonts w:ascii="Times New Roman" w:hAnsi="Times New Roman"/>
          <w:sz w:val="24"/>
        </w:rPr>
        <w:t>-</w:t>
      </w:r>
      <w:r>
        <w:rPr>
          <w:rFonts w:ascii="Times New Roman" w:hAnsi="Times New Roman"/>
          <w:sz w:val="24"/>
        </w:rPr>
        <w:t xml:space="preserve"> Indien binnen de in II en III van dit artikel vastgestelde termijnen geen aanvullende informatie is ingediend, is het gebruik op aantrekkelijke gewassen tijdens de bloei- en foerageergebieden verboden en worden de etiketten van de betrokken producten bijgewerkt overeenkomstig lid I van artikel 7.</w:t>
      </w:r>
      <w:r>
        <w:rPr>
          <w:rFonts w:ascii="Times New Roman" w:hAnsi="Times New Roman"/>
          <w:sz w:val="24"/>
        </w:rPr>
        <w:br/>
        <w:t xml:space="preserve">V. </w:t>
      </w:r>
      <w:r w:rsidR="00045A94">
        <w:rPr>
          <w:rFonts w:ascii="Times New Roman" w:hAnsi="Times New Roman"/>
          <w:sz w:val="24"/>
        </w:rPr>
        <w:t xml:space="preserve">- </w:t>
      </w:r>
      <w:r>
        <w:rPr>
          <w:rFonts w:ascii="Times New Roman" w:hAnsi="Times New Roman"/>
          <w:sz w:val="24"/>
        </w:rPr>
        <w:t xml:space="preserve">Aanvragers stellen Anses, 18 maanden vóór de indiening van de in II en III van </w:t>
      </w:r>
      <w:r>
        <w:rPr>
          <w:rFonts w:ascii="Times New Roman" w:hAnsi="Times New Roman"/>
          <w:sz w:val="24"/>
        </w:rPr>
        <w:lastRenderedPageBreak/>
        <w:t>dit artikel bedoelde aanvullende elementen, in kennis van hun voornemen om deze aanvullende elementen in te dienen, met vermelding van het betrokken gebruik.</w:t>
      </w:r>
      <w:r>
        <w:rPr>
          <w:rFonts w:ascii="Times New Roman" w:hAnsi="Times New Roman"/>
          <w:sz w:val="24"/>
        </w:rPr>
        <w:br/>
        <w:t xml:space="preserve">VI. </w:t>
      </w:r>
      <w:r w:rsidR="00045A94">
        <w:rPr>
          <w:rFonts w:ascii="Times New Roman" w:hAnsi="Times New Roman"/>
          <w:sz w:val="24"/>
        </w:rPr>
        <w:t xml:space="preserve">- </w:t>
      </w:r>
      <w:r>
        <w:rPr>
          <w:rFonts w:ascii="Times New Roman" w:hAnsi="Times New Roman"/>
          <w:sz w:val="24"/>
        </w:rPr>
        <w:t>De bepalingen van de leden III tot en met V zijn niet van toepassing op gewassen die in een van de noordelijke of zuidelijke zones van Frankrijk niet van groot belang worden geacht op grond van de in artikel D. 253-8 van het plattelandswetboek en de maritieme visserij vastgestelde gebruikscatalogus. Voor deze gewassen worden de door de geldende regelgeving vereiste tests en risicobeoordelingen voor bestuivers aangevraagd op het moment van verlenging van de vergunning voor het in de handel brengen en mogen de betrokken producten worden gebruikt op aantrekkelijke gewassen tijdens de bloei of op foerageergebieden onder de voorwaarden bepaald in Artikelen 3 tot en met 5 totdat de Anses zich heeft uitgesproken over de in artikel 2 bedoelde risicobeoordeling.</w:t>
      </w:r>
      <w:r>
        <w:rPr>
          <w:rFonts w:ascii="Times New Roman" w:hAnsi="Times New Roman"/>
          <w:sz w:val="24"/>
        </w:rPr>
        <w:br/>
        <w:t xml:space="preserve">VII. </w:t>
      </w:r>
      <w:r w:rsidR="00045A94">
        <w:rPr>
          <w:rFonts w:ascii="Times New Roman" w:hAnsi="Times New Roman"/>
          <w:sz w:val="24"/>
        </w:rPr>
        <w:t xml:space="preserve">- </w:t>
      </w:r>
      <w:r>
        <w:rPr>
          <w:rFonts w:ascii="Times New Roman" w:hAnsi="Times New Roman"/>
          <w:sz w:val="24"/>
        </w:rPr>
        <w:t>ANSES publiceert en actualiseert regelmatig de lijst van toepassingen van toegelaten producten onder de voorwaarden van artikel 2.</w:t>
      </w:r>
    </w:p>
    <w:p w14:paraId="6DFA93B5"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9</w:t>
      </w:r>
    </w:p>
    <w:p w14:paraId="41018622"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Het besluit van 28 november 2003 betreffende de voorwaarden voor het gebruik van landbouwinsecticiden en acariciden ter bescherming van bijen en andere bestuivende insecten wordt ingetrokken.</w:t>
      </w:r>
    </w:p>
    <w:p w14:paraId="72839818"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10</w:t>
      </w:r>
    </w:p>
    <w:p w14:paraId="3D6ED771" w14:textId="405850D3"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Het besluit treedt in werking op 1 januari 2022.</w:t>
      </w:r>
    </w:p>
    <w:p w14:paraId="604BD44E"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11</w:t>
      </w:r>
    </w:p>
    <w:p w14:paraId="581C8E66"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De directeur-generaal Voedselvoorziening, de directeur-generaal Risicopreventie, de directeur-generaal Concurrentie, Consumentenzaken en Fraudebestrijding en de directeur-generaal Volksgezondheid zijn wat hem betreft verantwoordelijk voor de uitvoering van dit Besluit, dat zal worden gepubliceerd in het Staatsblad van de Franse Republiek.</w:t>
      </w:r>
    </w:p>
    <w:p w14:paraId="5A8FC5A1"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Bijlage</w:t>
      </w:r>
    </w:p>
    <w:p w14:paraId="589DA4E0"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w:t>
      </w:r>
    </w:p>
    <w:p w14:paraId="32CB1B17" w14:textId="6F61D873" w:rsidR="00FF1A38" w:rsidRPr="00462526" w:rsidRDefault="00FF1A38" w:rsidP="00FF1A38">
      <w:pPr>
        <w:spacing w:before="100" w:beforeAutospacing="1" w:after="100" w:afterAutospacing="1" w:line="240" w:lineRule="auto"/>
        <w:ind w:left="750"/>
        <w:rPr>
          <w:rFonts w:ascii="Times New Roman" w:eastAsia="Times New Roman" w:hAnsi="Times New Roman" w:cs="Times New Roman"/>
          <w:caps/>
          <w:sz w:val="24"/>
          <w:szCs w:val="24"/>
        </w:rPr>
      </w:pPr>
      <w:r>
        <w:rPr>
          <w:rFonts w:ascii="Times New Roman" w:hAnsi="Times New Roman"/>
          <w:sz w:val="24"/>
        </w:rPr>
        <w:br/>
      </w:r>
      <w:r>
        <w:rPr>
          <w:rFonts w:ascii="Times New Roman" w:hAnsi="Times New Roman"/>
          <w:caps/>
          <w:sz w:val="24"/>
        </w:rPr>
        <w:t>Bijlage 1</w:t>
      </w:r>
      <w:r w:rsidR="001740B0">
        <w:rPr>
          <w:rFonts w:ascii="Times New Roman" w:hAnsi="Times New Roman"/>
          <w:caps/>
          <w:sz w:val="24"/>
        </w:rPr>
        <w:br/>
      </w:r>
      <w:r>
        <w:rPr>
          <w:rFonts w:ascii="Times New Roman" w:hAnsi="Times New Roman"/>
          <w:caps/>
          <w:sz w:val="24"/>
        </w:rPr>
        <w:t>Lijst van toepassingen die blootstelling van bestuivers tijdens het bloeiseizoen uitsluiten</w:t>
      </w:r>
    </w:p>
    <w:p w14:paraId="34DB028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Toepassingen op kas- en beschutte gewassen, omdat ze tijdens de bloei ontoegankelijk zijn voor bestuivers.</w:t>
      </w:r>
    </w:p>
    <w:p w14:paraId="50FD6962"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br/>
        <w:t>Gedaan op 20 november 2021.</w:t>
      </w:r>
    </w:p>
    <w:p w14:paraId="24C0BB1B"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De minister van Landbouw en Voedselvoorziening,</w:t>
      </w:r>
      <w:r>
        <w:rPr>
          <w:rFonts w:ascii="Times New Roman" w:hAnsi="Times New Roman"/>
          <w:sz w:val="24"/>
        </w:rPr>
        <w:br/>
        <w:t>Voor de minister en bij delegatie:</w:t>
      </w:r>
      <w:r>
        <w:rPr>
          <w:rFonts w:ascii="Times New Roman" w:hAnsi="Times New Roman"/>
          <w:sz w:val="24"/>
        </w:rPr>
        <w:br/>
        <w:t>De directeur-generaal voor Voedselvoorziening</w:t>
      </w:r>
      <w:r>
        <w:rPr>
          <w:rFonts w:ascii="Times New Roman" w:hAnsi="Times New Roman"/>
          <w:sz w:val="24"/>
        </w:rPr>
        <w:br/>
        <w:t>B. Ferreira</w:t>
      </w:r>
    </w:p>
    <w:p w14:paraId="10D6C0DF"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De minister van Ecologische Overgang,</w:t>
      </w:r>
      <w:r>
        <w:rPr>
          <w:rFonts w:ascii="Times New Roman" w:hAnsi="Times New Roman"/>
          <w:sz w:val="24"/>
        </w:rPr>
        <w:br/>
        <w:t>Voor de minister en bij delegatie:</w:t>
      </w:r>
      <w:r>
        <w:rPr>
          <w:rFonts w:ascii="Times New Roman" w:hAnsi="Times New Roman"/>
          <w:sz w:val="24"/>
        </w:rPr>
        <w:br/>
        <w:t>Directeur-generaal voor Risicopreventie,</w:t>
      </w:r>
      <w:r>
        <w:rPr>
          <w:rFonts w:ascii="Times New Roman" w:hAnsi="Times New Roman"/>
          <w:sz w:val="24"/>
        </w:rPr>
        <w:br/>
        <w:t>C. Bourillet</w:t>
      </w:r>
    </w:p>
    <w:p w14:paraId="19B1D81F"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De minister van Economische Zaken, Financiën en Herstel,</w:t>
      </w:r>
      <w:r>
        <w:rPr>
          <w:rFonts w:ascii="Times New Roman" w:hAnsi="Times New Roman"/>
          <w:sz w:val="24"/>
        </w:rPr>
        <w:br/>
        <w:t>Voor en namens de minister:</w:t>
      </w:r>
      <w:r>
        <w:rPr>
          <w:rFonts w:ascii="Times New Roman" w:hAnsi="Times New Roman"/>
          <w:sz w:val="24"/>
        </w:rPr>
        <w:br/>
        <w:t>Directeur-generaal Concurrentie, Consumentenzaken en Fraudecontrole,</w:t>
      </w:r>
      <w:r>
        <w:rPr>
          <w:rFonts w:ascii="Times New Roman" w:hAnsi="Times New Roman"/>
          <w:sz w:val="24"/>
        </w:rPr>
        <w:br/>
        <w:t>V. Beaumeunier</w:t>
      </w:r>
    </w:p>
    <w:p w14:paraId="56BCDE13"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De minister van Solidariteit en Volksgezondheid,</w:t>
      </w:r>
      <w:r>
        <w:rPr>
          <w:rFonts w:ascii="Times New Roman" w:hAnsi="Times New Roman"/>
          <w:sz w:val="24"/>
        </w:rPr>
        <w:br/>
        <w:t>Voor en namens de minister:</w:t>
      </w:r>
      <w:r>
        <w:rPr>
          <w:rFonts w:ascii="Times New Roman" w:hAnsi="Times New Roman"/>
          <w:sz w:val="24"/>
        </w:rPr>
        <w:br/>
        <w:t>De directeur-generaal van Volksgezondheid,</w:t>
      </w:r>
      <w:r>
        <w:rPr>
          <w:rFonts w:ascii="Times New Roman" w:hAnsi="Times New Roman"/>
          <w:sz w:val="24"/>
        </w:rPr>
        <w:br/>
        <w:t>J. Salomon</w:t>
      </w:r>
    </w:p>
    <w:p w14:paraId="26A05D50" w14:textId="77777777" w:rsidR="00C74177" w:rsidRDefault="00C74177"/>
    <w:sectPr w:rsidR="00C74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A2779"/>
    <w:multiLevelType w:val="multilevel"/>
    <w:tmpl w:val="FFA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A38"/>
    <w:rsid w:val="00045A94"/>
    <w:rsid w:val="001740B0"/>
    <w:rsid w:val="00462526"/>
    <w:rsid w:val="007A2F67"/>
    <w:rsid w:val="00906B70"/>
    <w:rsid w:val="00C74177"/>
    <w:rsid w:val="00FF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BB62"/>
  <w15:chartTrackingRefBased/>
  <w15:docId w15:val="{A5F8F7E5-8A34-4C24-8DDC-26EB8C4D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580119">
      <w:bodyDiv w:val="1"/>
      <w:marLeft w:val="0"/>
      <w:marRight w:val="0"/>
      <w:marTop w:val="0"/>
      <w:marBottom w:val="0"/>
      <w:divBdr>
        <w:top w:val="none" w:sz="0" w:space="0" w:color="auto"/>
        <w:left w:val="none" w:sz="0" w:space="0" w:color="auto"/>
        <w:bottom w:val="none" w:sz="0" w:space="0" w:color="auto"/>
        <w:right w:val="none" w:sz="0" w:space="0" w:color="auto"/>
      </w:divBdr>
      <w:divsChild>
        <w:div w:id="318073816">
          <w:marLeft w:val="0"/>
          <w:marRight w:val="0"/>
          <w:marTop w:val="0"/>
          <w:marBottom w:val="0"/>
          <w:divBdr>
            <w:top w:val="none" w:sz="0" w:space="0" w:color="auto"/>
            <w:left w:val="none" w:sz="0" w:space="0" w:color="auto"/>
            <w:bottom w:val="none" w:sz="0" w:space="0" w:color="auto"/>
            <w:right w:val="none" w:sz="0" w:space="0" w:color="auto"/>
          </w:divBdr>
          <w:divsChild>
            <w:div w:id="18154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2395</Words>
  <Characters>13653</Characters>
  <Application>Microsoft Office Word</Application>
  <DocSecurity>0</DocSecurity>
  <Lines>113</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Liana Brili</cp:lastModifiedBy>
  <cp:revision>4</cp:revision>
  <dcterms:created xsi:type="dcterms:W3CDTF">2022-03-04T13:07:00Z</dcterms:created>
  <dcterms:modified xsi:type="dcterms:W3CDTF">2022-03-06T16:20:00Z</dcterms:modified>
</cp:coreProperties>
</file>