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Nařízení Švédské agentury pro veřejné zdraví</w:t>
      </w:r>
      <w:r>
        <w:br/>
        <w:t xml:space="preserve">o beztabákových výrobcích obsahujících nikotin;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přijato dne </w:t>
      </w:r>
      <w:r>
        <w:rPr>
          <w:highlight w:val="yellow"/>
        </w:rPr>
        <w:t>DD MM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Na základě článku 4 nařízení (2022:1263) o beztabákových výrobcích obsahujících nikotin Švédská agentury pro veřejné zdraví stanoví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následující.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Úvodní ustanovení</w:t>
      </w:r>
    </w:p>
    <w:p w14:paraId="78C85C8F" w14:textId="77777777" w:rsidR="009902B0" w:rsidRDefault="009902B0" w:rsidP="000509F1">
      <w:pPr>
        <w:pStyle w:val="HSLF-FS-Rubrik-3"/>
      </w:pPr>
      <w:r>
        <w:t>Oblast působnosti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Článek 1</w:t>
      </w:r>
      <w:r>
        <w:t xml:space="preserve">  Tyto předpisy doplňují ustanovení zákona (2022:1257) o beztabákových výrobcích obsahujících nikotin a nařízení (2022:1263) o beztabákových výrobcích obsahujících nikotin.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Článek 2</w:t>
      </w:r>
      <w:r>
        <w:t xml:space="preserve">  Tyto předpisy uplatňují výrobci, dovozci a distributoři beztabákových výrobků obsahujících nikotin, které mají být dodávány pro spotřebitele na trh.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Nařízení obsahují ustanovení o oznamování výrobků, označování, ohlašovacích povinnostech a oznamovacích povinnostech.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Vymezení pojmů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Článek 3</w:t>
      </w:r>
      <w:r>
        <w:t xml:space="preserve">  Podmínky a pojmy používané v zákoně (2022:1257) o beztabákových výrobcích obsahujících nikotin a nařízení (2022:1263) o beztabákových výrobcích obsahujících nikotin mají v těchto předpisech stejný význam.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Článek 4</w:t>
      </w:r>
      <w:r>
        <w:t xml:space="preserve">  V těchto předpisech se také používají následující pojmy: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distributor:</w:t>
      </w:r>
      <w:r>
        <w:t xml:space="preserve"> jakákoli fyzická nebo právnická osoba v dodavatelském řetězci jiná než výrobce a dovozce, která dodává na trh beztabákové výrobky obsahující nikotin;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marketingová oblast:</w:t>
      </w:r>
      <w:r>
        <w:t xml:space="preserve"> oblast určená ke komerční reklamě v médiích, jak je uvedeno v článku 10 prvním odstavci bodech 1 a 2 zákona (2022:1257) o beztabákových výrobcích obsahujících nikotin;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jednotkové balení: </w:t>
      </w:r>
      <w:r>
        <w:t>nejmenší jednotlivé balení beztabákových výrobků obsahujících nikotin uvedených na trh;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vnější obaly</w:t>
      </w:r>
      <w:r>
        <w:t xml:space="preserve">: veškeré obaly, v nichž jsou na trh uvedeny beztabákové výrobky obsahující nikotin, které obsahují jednotkové balení nebo několik jednotkových balení; průhledné obaly se nepovažují za vnější obal.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Oznámení o výrobku</w:t>
      </w:r>
    </w:p>
    <w:p w14:paraId="2EBE1B3B" w14:textId="77777777" w:rsidR="00B274C8" w:rsidRDefault="00B274C8" w:rsidP="00B274C8">
      <w:r>
        <w:rPr>
          <w:b/>
        </w:rPr>
        <w:t>Článek 5</w:t>
      </w:r>
      <w:r>
        <w:t xml:space="preserve">  Oznámení o výrobku podle § 5 zákona (2022:1257) o beztabákových výrobcích obsahujících nikotin se předkládá ve formátu, který se používá v technickém řešení pro oznámení o výrobku poskytnutém Švédskou agenturou pro veřejné zdraví.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Označování</w:t>
      </w:r>
    </w:p>
    <w:p w14:paraId="37B24B72" w14:textId="77777777" w:rsidR="00B274C8" w:rsidRDefault="00B274C8" w:rsidP="00B274C8">
      <w:pPr>
        <w:pStyle w:val="HSLF-FS-Rubrik-3"/>
      </w:pPr>
      <w:r>
        <w:t>Prohlášení o obsahu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Článek 6</w:t>
      </w:r>
      <w:r>
        <w:t xml:space="preserve">  </w:t>
      </w:r>
      <w:r>
        <w:rPr>
          <w:sz w:val="21"/>
        </w:rPr>
        <w:t>Prohlášení o obsahu podle § 11 nařízení (2022:1263) o beztabákových výrobcích obsahujících nikotin musí být uvedeno na jedné z největších ploch jednotkového balení a vnějšího obalu a pokrývat 20 % této plochy. Ve všech ostatních ohledech musí prohlášení o obsahu splňovat požadavky stanovené v § 9 písm. c. až e. a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Článek 7</w:t>
      </w:r>
      <w:r>
        <w:rPr>
          <w:sz w:val="21"/>
        </w:rPr>
        <w:t xml:space="preserve">  Prohlášení o obsahu musí být ve švédštině.</w:t>
      </w:r>
    </w:p>
    <w:p w14:paraId="5A867DE5" w14:textId="77777777" w:rsidR="00B274C8" w:rsidRPr="00B274C8" w:rsidRDefault="00B274C8" w:rsidP="00B274C8">
      <w:r>
        <w:rPr>
          <w:b/>
          <w:sz w:val="21"/>
        </w:rPr>
        <w:lastRenderedPageBreak/>
        <w:t>Článek 8</w:t>
      </w:r>
      <w:r>
        <w:rPr>
          <w:sz w:val="21"/>
        </w:rPr>
        <w:t xml:space="preserve">  Prohlášení o obsahu podle § 6 mohou být připevněna za prostřednictvím nálepek za předpokladu, že tyto nálepky nelze odstranit.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Zdravotní varování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Článek 9</w:t>
      </w:r>
      <w:r>
        <w:rPr>
          <w:sz w:val="21"/>
        </w:rPr>
        <w:t xml:space="preserve">  Zdravotní varování uvedené v § 12 nařízení (2022:1263) o beztabákových výrobcích obsahujících nikotin musí: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být uvedeno na dvou největších plochách jednotkového balení a jakéhokoliv vnějšího obalu;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pokrývat 30 % ploch jednotkového balení a jakéhokoliv vnějšího obalu;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být napsáno tučným písmem typu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být napsáno v černé barvě na bílém pozadí;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být napsáno písmem takové velikosti, aby text pokrýval co největší procentní podíl plochy vyhrazené pro označení;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být umístěno ve středu vyhrazené plochy, a na obdélníkovém balení a jakémkoliv vnějším obalu musí být rovnoběžné s bočním okrajem jednotkového balení nebo vnějšího obalu; a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být rovnoběžné s hlavním textem na ploše vyhrazené pro tato varování.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Článek 10</w:t>
      </w:r>
      <w:r>
        <w:rPr>
          <w:sz w:val="21"/>
        </w:rPr>
        <w:t xml:space="preserve">  Zdravotní varování podle článku 9 mohou být umístěna pomocí nálepek za předpokladu, že tyto nálepky nelze odstranit.</w:t>
      </w:r>
    </w:p>
    <w:p w14:paraId="61CF3BF9" w14:textId="11E7944F" w:rsidR="00DA031C" w:rsidRDefault="00DA031C" w:rsidP="00144DE9">
      <w:pPr>
        <w:pStyle w:val="HSLF-FS-Rubrik-2"/>
      </w:pPr>
      <w:r>
        <w:t>Zdravotní varování v marketingu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Článek 11  </w:t>
      </w:r>
      <w:r>
        <w:rPr>
          <w:color w:val="000000"/>
          <w:sz w:val="21"/>
        </w:rPr>
        <w:t xml:space="preserve">Během uvádění na trh v souladu s § 10 prvním odstavcem body 1 a 2 zákona (2022:1257) o beztabákových výrobcích obsahujících nikotin musí být zdravotní varování v souladu s článkem 12 </w:t>
      </w:r>
      <w:r>
        <w:rPr>
          <w:sz w:val="21"/>
        </w:rPr>
        <w:t xml:space="preserve">nařízení (2022:1263) o beztabákových výrobcích obsahujících nikotin jasně viditelné při každém vystavení výrobku nebo ochranné známky výrobku. Zdravotní varování musí pokrývat 30 % plochy pro marketing a ve všech ostatních ohledech splňovat ustanovení článku 9 písm. c. až e. a g. těchto předpisů.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Během uvádění na trh v souladu s článkem 10 prvním odstavcem bodem 3 zákona (2022:1257) o beztabákových výrobcích obsahujících nikotin musí být zdravotní varování podle článku 12 </w:t>
      </w:r>
      <w:r>
        <w:rPr>
          <w:sz w:val="21"/>
        </w:rPr>
        <w:t xml:space="preserve">nařízení (2022:1263) o beztabákových výrobcích obsahujících nikotin jasně viditelné při každém vystavení výrobku nebo ochranné známky výrobku. Zdravotní varování musí být ve všech ostatních ohledech v souladu s ustanoveními článku 9 písm. c. až e. těchto předpisů.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Ohlašovací povinnost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Článek 12</w:t>
      </w:r>
      <w:r>
        <w:rPr>
          <w:sz w:val="21"/>
        </w:rPr>
        <w:t xml:space="preserve"> Informace v souladu s článkem 14 zákona (2022:1257) o beztabákových výrobcích obsahujících nikotin musí být poskytovány ve stejném technickém řešení, jaké se používá pro oznámení o výrobku podle článku 5 těchto předpisů.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Oznamovací povinnost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Článek 13</w:t>
      </w:r>
      <w:r>
        <w:rPr>
          <w:b w:val="0"/>
        </w:rPr>
        <w:t xml:space="preserve">  </w:t>
      </w:r>
      <w:r>
        <w:rPr>
          <w:b w:val="0"/>
          <w:i w:val="0"/>
          <w:sz w:val="21"/>
        </w:rPr>
        <w:t xml:space="preserve">Oznámení od výrobce, dovozce a distributora v souladu s § 16 druhým odstavcem zákona (2022:1257) o beztabákových výrobcích obsahujících nikotin musí být poskytnuto ve stejném technickém řešení, jaké se používá pro oznámení o výrobku podle § 5 těchto předpisů.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Článek 5, 11 a 12 těchto předpisů vstupují v platnost dnem 1. ledna 2024; všechny ostatní oddíly vstupují v platnost dnem 1. července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Švédská agentura pro veřejné zdraví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Oznámení bylo provedeno v souladu se směrnicí Evropského parlamentu a Rady (EU) 2015/1535 ze dne 9. září 2015 o postupu při poskytování informací v oblasti technických předpisů a předpisů pro služby informační společnosti.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D408B7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D408B7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D408B7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NÁVRH"/>
          <w10:wrap anchorx="margin" anchory="margin"/>
        </v:shape>
      </w:pict>
    </w:r>
    <w:r w:rsidR="00BB6229">
      <w:t xml:space="preserve">Obecná </w:t>
    </w:r>
    <w:r w:rsidR="00BB6229">
      <w:t>sbírka předpisů týkající se zdravotní péče, lékařské péče, sociálních služeb, léčivých přípravků, veřejného zdraví atd.</w:t>
    </w:r>
  </w:p>
  <w:p w14:paraId="1C104ACA" w14:textId="5ADEA731" w:rsidR="00DB331A" w:rsidRDefault="00D408B7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3AF0E74D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FEE65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2AC0E063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Zveřejněno dne xx. července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Zveřejněno dne xx. července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Číslo článku xxxxxxxx</w:t>
    </w:r>
    <w:r w:rsidR="004D7ACB">
      <w:br/>
      <w:t>Zveřejnil(a): Vedoucí právního oddělení, Pär Ödman, Národní rada pro zdravotnictví a sociální péči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08B7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15</TotalTime>
  <Pages>4</Pages>
  <Words>744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