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3A8" w:rsidRPr="004743A8" w:rsidRDefault="004743A8" w:rsidP="004743A8">
      <w:pPr>
        <w:widowControl/>
        <w:autoSpaceDE w:val="0"/>
        <w:autoSpaceDN w:val="0"/>
        <w:adjustRightInd w:val="0"/>
        <w:rPr>
          <w:rFonts w:ascii="Segoe UI" w:hAnsi="Segoe UI" w:cs="Segoe UI"/>
        </w:rPr>
      </w:pPr>
      <w:r>
        <w:rPr>
          <w:color w:val="auto"/>
          <w:sz w:val="20"/>
        </w:rPr>
        <w:t>1. ---</w:t>
      </w:r>
      <w:r w:rsidR="00DC6206">
        <w:rPr>
          <w:color w:val="auto"/>
          <w:sz w:val="20"/>
        </w:rPr>
        <w:t>-</w:t>
      </w:r>
      <w:bookmarkStart w:id="0" w:name="_GoBack"/>
      <w:bookmarkEnd w:id="0"/>
      <w:r>
        <w:rPr>
          <w:color w:val="auto"/>
          <w:sz w:val="20"/>
        </w:rPr>
        <w:t xml:space="preserve">--IND- 2019 0213 PL- ES- ------ </w:t>
      </w:r>
      <w:r>
        <w:rPr>
          <w:rFonts w:ascii="Segoe UI" w:hAnsi="Segoe UI"/>
          <w:sz w:val="20"/>
        </w:rPr>
        <w:t>20201030</w:t>
      </w:r>
      <w:r>
        <w:rPr>
          <w:rFonts w:ascii="Calibri" w:hAnsi="Calibri"/>
          <w:color w:val="auto"/>
          <w:sz w:val="20"/>
        </w:rPr>
        <w:t xml:space="preserve"> </w:t>
      </w:r>
      <w:r>
        <w:rPr>
          <w:color w:val="auto"/>
          <w:sz w:val="20"/>
        </w:rPr>
        <w:t>--- --- FINAL</w:t>
      </w:r>
      <w:r>
        <w:rPr>
          <w:rFonts w:ascii="Segoe UI" w:hAnsi="Segoe UI"/>
        </w:rPr>
        <w:t xml:space="preserve"> </w:t>
      </w:r>
    </w:p>
    <w:p w:rsidR="00080B05" w:rsidRPr="002200AF" w:rsidRDefault="00292458" w:rsidP="002C482D">
      <w:pPr>
        <w:pStyle w:val="Nagwek10"/>
        <w:widowControl/>
        <w:shd w:val="clear" w:color="auto" w:fill="auto"/>
        <w:ind w:left="1800"/>
        <w:jc w:val="both"/>
      </w:pPr>
      <w:r>
        <w:rPr>
          <w:noProof/>
          <w:lang w:val="en-US" w:eastAsia="en-US" w:bidi="hi-IN"/>
        </w:rPr>
        <w:drawing>
          <wp:anchor distT="0" distB="0" distL="88900" distR="88900" simplePos="0" relativeHeight="251659264" behindDoc="0" locked="0" layoutInCell="1" allowOverlap="1">
            <wp:simplePos x="0" y="0"/>
            <wp:positionH relativeFrom="page">
              <wp:posOffset>685800</wp:posOffset>
            </wp:positionH>
            <wp:positionV relativeFrom="paragraph">
              <wp:posOffset>139700</wp:posOffset>
            </wp:positionV>
            <wp:extent cx="951230" cy="1073150"/>
            <wp:effectExtent l="0" t="0" r="0" b="0"/>
            <wp:wrapSquare wrapText="right"/>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0"/>
                    <a:stretch/>
                  </pic:blipFill>
                  <pic:spPr>
                    <a:xfrm>
                      <a:off x="0" y="0"/>
                      <a:ext cx="951230" cy="1073150"/>
                    </a:xfrm>
                    <a:prstGeom prst="rect">
                      <a:avLst/>
                    </a:prstGeom>
                  </pic:spPr>
                </pic:pic>
              </a:graphicData>
            </a:graphic>
          </wp:anchor>
        </w:drawing>
      </w:r>
      <w:r>
        <w:t>DIARIO OFICIAL</w:t>
      </w:r>
    </w:p>
    <w:p w:rsidR="00080B05" w:rsidRPr="002200AF" w:rsidRDefault="00292458" w:rsidP="002C482D">
      <w:pPr>
        <w:pStyle w:val="Nagwek20"/>
        <w:widowControl/>
        <w:shd w:val="clear" w:color="auto" w:fill="auto"/>
        <w:ind w:left="1800"/>
        <w:jc w:val="both"/>
      </w:pPr>
      <w:r>
        <w:t>DE LA REPÚBLICA DE POLONIA</w:t>
      </w:r>
    </w:p>
    <w:p w:rsidR="002200AF" w:rsidRPr="002200AF" w:rsidRDefault="00292458" w:rsidP="002C482D">
      <w:pPr>
        <w:pStyle w:val="Nagwek30"/>
        <w:widowControl/>
        <w:shd w:val="clear" w:color="auto" w:fill="auto"/>
        <w:spacing w:after="240"/>
        <w:ind w:left="0"/>
      </w:pPr>
      <w:r>
        <w:t>En Varsovia, a 4 de noviembre de 2019</w:t>
      </w:r>
    </w:p>
    <w:p w:rsidR="00080B05" w:rsidRPr="002200AF" w:rsidRDefault="00292458" w:rsidP="002C482D">
      <w:pPr>
        <w:pStyle w:val="Nagwek30"/>
        <w:widowControl/>
        <w:shd w:val="clear" w:color="auto" w:fill="auto"/>
        <w:ind w:left="0"/>
      </w:pPr>
      <w:r>
        <w:t>Punto 2125</w:t>
      </w:r>
    </w:p>
    <w:p w:rsidR="002200AF" w:rsidRPr="002200AF" w:rsidRDefault="00292458" w:rsidP="002C482D">
      <w:pPr>
        <w:pStyle w:val="Teksttreci0"/>
        <w:widowControl/>
        <w:shd w:val="clear" w:color="auto" w:fill="auto"/>
        <w:spacing w:line="343" w:lineRule="auto"/>
        <w:jc w:val="center"/>
        <w:rPr>
          <w:b/>
          <w:bCs/>
        </w:rPr>
      </w:pPr>
      <w:r>
        <w:rPr>
          <w:b/>
        </w:rPr>
        <w:t>REGLAMENTO DEL</w:t>
      </w:r>
    </w:p>
    <w:p w:rsidR="002200AF" w:rsidRPr="002200AF" w:rsidRDefault="00292458" w:rsidP="002C482D">
      <w:pPr>
        <w:pStyle w:val="Teksttreci0"/>
        <w:widowControl/>
        <w:shd w:val="clear" w:color="auto" w:fill="auto"/>
        <w:spacing w:line="343" w:lineRule="auto"/>
        <w:jc w:val="center"/>
        <w:rPr>
          <w:b/>
          <w:bCs/>
        </w:rPr>
      </w:pPr>
      <w:r>
        <w:rPr>
          <w:b/>
        </w:rPr>
        <w:t>MINISTRO DE DIGITALIZACIÓN</w:t>
      </w:r>
      <w:r w:rsidRPr="002200AF">
        <w:rPr>
          <w:vertAlign w:val="superscript"/>
        </w:rPr>
        <w:footnoteReference w:id="1"/>
      </w:r>
    </w:p>
    <w:p w:rsidR="00080B05" w:rsidRPr="002200AF" w:rsidRDefault="00292458" w:rsidP="002C482D">
      <w:pPr>
        <w:pStyle w:val="Teksttreci0"/>
        <w:widowControl/>
        <w:shd w:val="clear" w:color="auto" w:fill="auto"/>
        <w:spacing w:line="343" w:lineRule="auto"/>
        <w:jc w:val="center"/>
      </w:pPr>
      <w:r>
        <w:t>de 7 de octubre de 2019</w:t>
      </w:r>
    </w:p>
    <w:p w:rsidR="00080B05" w:rsidRPr="002200AF" w:rsidRDefault="00292458" w:rsidP="002C482D">
      <w:pPr>
        <w:pStyle w:val="Nagwek40"/>
        <w:widowControl/>
        <w:shd w:val="clear" w:color="auto" w:fill="auto"/>
        <w:spacing w:after="180" w:line="298" w:lineRule="auto"/>
        <w:ind w:firstLine="0"/>
        <w:jc w:val="center"/>
      </w:pPr>
      <w:r>
        <w:t>sobre los requisitos técnicos y de explotación aplicables a los receptores digitales</w:t>
      </w:r>
      <w:r w:rsidRPr="002200AF">
        <w:rPr>
          <w:b w:val="0"/>
          <w:bCs w:val="0"/>
          <w:vertAlign w:val="superscript"/>
        </w:rPr>
        <w:footnoteReference w:id="2"/>
      </w:r>
    </w:p>
    <w:p w:rsidR="00080B05" w:rsidRPr="002200AF" w:rsidRDefault="00292458" w:rsidP="002C482D">
      <w:pPr>
        <w:pStyle w:val="Teksttreci0"/>
        <w:widowControl/>
        <w:shd w:val="clear" w:color="auto" w:fill="auto"/>
        <w:ind w:firstLine="420"/>
      </w:pPr>
      <w:r>
        <w:t>Sobre la base del artículo 132, apartado 3, de la Ley, de 16 de julio de 2004, sobre telecomunicaciones (Boletín Oficial de la República de Polonia de 2018, punto 1954, posteriormente modificado</w:t>
      </w:r>
      <w:r w:rsidRPr="002200AF">
        <w:rPr>
          <w:vertAlign w:val="superscript"/>
        </w:rPr>
        <w:footnoteReference w:id="3"/>
      </w:r>
      <w:r>
        <w:t>) se dispone lo siguiente:</w:t>
      </w:r>
    </w:p>
    <w:p w:rsidR="00080B05" w:rsidRPr="002200AF" w:rsidRDefault="00292458" w:rsidP="002C482D">
      <w:pPr>
        <w:pStyle w:val="Teksttreci0"/>
        <w:widowControl/>
        <w:shd w:val="clear" w:color="auto" w:fill="auto"/>
        <w:spacing w:line="298" w:lineRule="auto"/>
        <w:ind w:firstLine="420"/>
      </w:pPr>
      <w:r>
        <w:rPr>
          <w:b/>
        </w:rPr>
        <w:t xml:space="preserve">Artículo 1. </w:t>
      </w:r>
      <w:r>
        <w:t>Los requisitos técnicos y de explotación aplicables a los receptores digitales se incluyen en el anexo del Reglamento.</w:t>
      </w:r>
    </w:p>
    <w:p w:rsidR="00080B05" w:rsidRPr="002200AF" w:rsidRDefault="00292458" w:rsidP="002C482D">
      <w:pPr>
        <w:pStyle w:val="Teksttreci0"/>
        <w:widowControl/>
        <w:shd w:val="clear" w:color="auto" w:fill="auto"/>
        <w:ind w:firstLine="420"/>
      </w:pPr>
      <w:r>
        <w:rPr>
          <w:b/>
        </w:rPr>
        <w:t xml:space="preserve">Artículo 2. </w:t>
      </w:r>
      <w:r>
        <w:t>Queda derogado el Reglamento del Ministro de Administración y Digitalización, de 7 de julio de 2015, sobre los requisitos técnicos y de explotación aplicables a los receptores digitales (Boletín Oficial de la República de Polonia de 2017, punto 1092).</w:t>
      </w:r>
    </w:p>
    <w:p w:rsidR="00080B05" w:rsidRPr="002200AF" w:rsidRDefault="00292458" w:rsidP="002C482D">
      <w:pPr>
        <w:pStyle w:val="Teksttreci0"/>
        <w:widowControl/>
        <w:shd w:val="clear" w:color="auto" w:fill="auto"/>
        <w:spacing w:after="340" w:line="298" w:lineRule="auto"/>
        <w:ind w:firstLine="420"/>
      </w:pPr>
      <w:r>
        <w:rPr>
          <w:b/>
        </w:rPr>
        <w:t xml:space="preserve">Artículo 3. </w:t>
      </w:r>
      <w:r>
        <w:t>El Reglamento entrará en vigor el 1 de diciembre de 2019.</w:t>
      </w:r>
    </w:p>
    <w:p w:rsidR="00080B05" w:rsidRPr="002200AF" w:rsidRDefault="00292458" w:rsidP="002C482D">
      <w:pPr>
        <w:pStyle w:val="Teksttreci0"/>
        <w:widowControl/>
        <w:shd w:val="clear" w:color="auto" w:fill="auto"/>
        <w:spacing w:after="160"/>
        <w:jc w:val="right"/>
        <w:rPr>
          <w:i/>
          <w:iCs/>
        </w:rPr>
      </w:pPr>
      <w:r>
        <w:t xml:space="preserve">El Ministro de Digitalización: </w:t>
      </w:r>
      <w:r>
        <w:rPr>
          <w:i/>
        </w:rPr>
        <w:t>M. Zagórski</w:t>
      </w:r>
    </w:p>
    <w:p w:rsidR="00080B05" w:rsidRPr="002200AF" w:rsidRDefault="00292458" w:rsidP="002C482D">
      <w:pPr>
        <w:pStyle w:val="Teksttreci20"/>
        <w:keepNext/>
        <w:keepLines/>
        <w:pageBreakBefore/>
        <w:widowControl/>
        <w:shd w:val="clear" w:color="auto" w:fill="auto"/>
      </w:pPr>
      <w:r>
        <w:lastRenderedPageBreak/>
        <w:t>Anexo del Reglamento del Ministro de Digitalización, de 7 de octubre de 2019 (punto 2125)</w:t>
      </w:r>
    </w:p>
    <w:p w:rsidR="00080B05" w:rsidRPr="002200AF" w:rsidRDefault="00292458" w:rsidP="002C482D">
      <w:pPr>
        <w:pStyle w:val="Teksttreci0"/>
        <w:keepNext/>
        <w:keepLines/>
        <w:widowControl/>
        <w:shd w:val="clear" w:color="auto" w:fill="auto"/>
        <w:jc w:val="center"/>
      </w:pPr>
      <w:r>
        <w:t>REQUISITOS TÉCNICOS Y DE EXPLOTACIÓN APLICABLES A LOS RECEPTORES DIGITALES</w:t>
      </w:r>
    </w:p>
    <w:p w:rsidR="00080B05" w:rsidRPr="002200AF" w:rsidRDefault="001A43DE" w:rsidP="002C482D">
      <w:pPr>
        <w:pStyle w:val="Nagwek40"/>
        <w:keepNext/>
        <w:keepLines/>
        <w:widowControl/>
        <w:shd w:val="clear" w:color="auto" w:fill="auto"/>
        <w:tabs>
          <w:tab w:val="left" w:pos="789"/>
        </w:tabs>
      </w:pPr>
      <w:r>
        <w:t>1. Disposiciones generales</w:t>
      </w:r>
    </w:p>
    <w:p w:rsidR="00080B05" w:rsidRPr="002200AF" w:rsidRDefault="00292458" w:rsidP="002C482D">
      <w:pPr>
        <w:pStyle w:val="Teksttreci0"/>
        <w:widowControl/>
        <w:shd w:val="clear" w:color="auto" w:fill="auto"/>
        <w:ind w:firstLine="440"/>
      </w:pPr>
      <w:r>
        <w:t>El anexo establece los requisitos técnicos y de explotación que deben cumplir los receptores digitales para recibir correctamente las señales transmitidas por una red de distribución terrestre basada en los sistemas DVB-T y DVB-T2 destinados a la distribución de los contenidos audiovisuales, así como de otros datos y servicios adicionales.</w:t>
      </w:r>
    </w:p>
    <w:p w:rsidR="00080B05" w:rsidRPr="002200AF" w:rsidRDefault="00292458" w:rsidP="002C482D">
      <w:pPr>
        <w:pStyle w:val="Teksttreci0"/>
        <w:widowControl/>
        <w:shd w:val="clear" w:color="auto" w:fill="auto"/>
        <w:ind w:firstLine="440"/>
      </w:pPr>
      <w:r>
        <w:t>Para DVB-T, como parámetros básicos se han adoptado los parámetros del receptor digital definido en la ETSI TS 101 154 [15] como «25 Hz H.264/AVC HDTV video, MPEG-2 Layer 2 and E-AC-3 audio, for a Baseline IRD able to decode up to 1920 x 1080 interlaced 25 Hz video pictures or 1280 x 720 progressive 50 Hz video pictures».</w:t>
      </w:r>
    </w:p>
    <w:p w:rsidR="00080B05" w:rsidRPr="002200AF" w:rsidRDefault="00292458" w:rsidP="002C482D">
      <w:pPr>
        <w:pStyle w:val="Teksttreci0"/>
        <w:widowControl/>
        <w:shd w:val="clear" w:color="auto" w:fill="auto"/>
        <w:ind w:firstLine="440"/>
      </w:pPr>
      <w:r>
        <w:t>Para DVB-T2, como parámetros básicos se han adoptado los parámetros del receptor digital definido en la ETSI TS 101 154 [15] para el nivel 4.1 HDTV: 50 Hz HEVC HDTV 8-bit (resolución 1920 x 1080 p50, 1280 x 720 p50) MPEG-2 Audio capa 2 y E-AC-3 audio. En el caso de un receptor de televisión capaz de proyectar imágenes UHD, el receptor DVB-T2 utilizará también el formato indicado en la ETSI TS 101 154 [15] en el punto 5.14, HEVC HDR UHDTV IRD, el cual utiliza HLG10, así como HEVC HDR UHDTV IRD, el cual utiliza PQ10, Main 10 Profile, Main Tier para UHDTV con una resolución de 3840 x 2160, así como AC-4 audio.</w:t>
      </w:r>
    </w:p>
    <w:p w:rsidR="00080B05" w:rsidRPr="002200AF" w:rsidRDefault="00292458" w:rsidP="002C482D">
      <w:pPr>
        <w:pStyle w:val="Teksttreci0"/>
        <w:widowControl/>
        <w:shd w:val="clear" w:color="auto" w:fill="auto"/>
        <w:ind w:firstLine="440"/>
      </w:pPr>
      <w:r>
        <w:t>El cumplimiento de los requisitos indicados en el presente anexo no excluye la mejora del receptor digital para que incorpore otras funciones que aumenten su funcionalidad y utilidad.</w:t>
      </w:r>
    </w:p>
    <w:p w:rsidR="00080B05" w:rsidRPr="002200AF" w:rsidRDefault="00292458" w:rsidP="002C482D">
      <w:pPr>
        <w:pStyle w:val="Teksttreci0"/>
        <w:widowControl/>
        <w:shd w:val="clear" w:color="auto" w:fill="auto"/>
        <w:ind w:firstLine="440"/>
      </w:pPr>
      <w:r>
        <w:t>Los parámetros técnicos acompañados de la expresión «si corresponde» no son obligatorios; sin embargo, si existen, cumplirán los requisitos indicados.</w:t>
      </w:r>
    </w:p>
    <w:p w:rsidR="00080B05" w:rsidRPr="002200AF" w:rsidRDefault="001A43DE" w:rsidP="002C482D">
      <w:pPr>
        <w:pStyle w:val="Nagwek40"/>
        <w:keepNext/>
        <w:keepLines/>
        <w:widowControl/>
        <w:shd w:val="clear" w:color="auto" w:fill="auto"/>
        <w:tabs>
          <w:tab w:val="left" w:pos="789"/>
        </w:tabs>
      </w:pPr>
      <w:r>
        <w:t>2. Lista de normas y documentos</w:t>
      </w:r>
    </w:p>
    <w:p w:rsidR="00080B05" w:rsidRPr="002200AF" w:rsidRDefault="001A43DE" w:rsidP="002C482D">
      <w:pPr>
        <w:pStyle w:val="Teksttreci0"/>
        <w:keepNext/>
        <w:keepLines/>
        <w:widowControl/>
        <w:shd w:val="clear" w:color="auto" w:fill="auto"/>
        <w:tabs>
          <w:tab w:val="left" w:pos="938"/>
        </w:tabs>
        <w:ind w:firstLine="440"/>
      </w:pPr>
      <w:r>
        <w:t>2.1.</w:t>
      </w:r>
      <w:r>
        <w:tab/>
        <w:t>Lista de las normas y de los documentos a los que se hace referencia en el anexo:</w:t>
      </w:r>
    </w:p>
    <w:p w:rsidR="00080B05" w:rsidRPr="002200AF" w:rsidRDefault="001A43DE" w:rsidP="002C482D">
      <w:pPr>
        <w:pStyle w:val="Teksttreci0"/>
        <w:widowControl/>
        <w:shd w:val="clear" w:color="auto" w:fill="auto"/>
        <w:tabs>
          <w:tab w:val="left" w:pos="430"/>
        </w:tabs>
        <w:spacing w:after="120"/>
        <w:ind w:left="440" w:hanging="440"/>
      </w:pPr>
      <w:r>
        <w:t>[1]</w:t>
      </w:r>
      <w:r>
        <w:tab/>
        <w:t>PN-EN 50049-1:2003 Equipos electrónicos domésticos y similares. Condiciones de interconexión: Conector de peritelevisión</w:t>
      </w:r>
    </w:p>
    <w:p w:rsidR="00080B05" w:rsidRPr="002200AF" w:rsidRDefault="001A43DE" w:rsidP="002C482D">
      <w:pPr>
        <w:pStyle w:val="Teksttreci0"/>
        <w:widowControl/>
        <w:shd w:val="clear" w:color="auto" w:fill="auto"/>
        <w:tabs>
          <w:tab w:val="left" w:pos="430"/>
        </w:tabs>
        <w:spacing w:after="120"/>
        <w:ind w:left="440" w:hanging="440"/>
      </w:pPr>
      <w:r>
        <w:t>[2]</w:t>
      </w:r>
      <w:r>
        <w:tab/>
        <w:t>PN-EN 50157-2-1:2002 Requisitos para la interconexión de equipos electrónicos para uso doméstico y análogo. Enlace AV. Parte 2-1: Ajuste de calidad de la señal y selección automática de los dispositivos fuente</w:t>
      </w:r>
    </w:p>
    <w:p w:rsidR="00080B05" w:rsidRPr="002200AF" w:rsidRDefault="001A43DE" w:rsidP="002C482D">
      <w:pPr>
        <w:pStyle w:val="Teksttreci0"/>
        <w:widowControl/>
        <w:shd w:val="clear" w:color="auto" w:fill="auto"/>
        <w:tabs>
          <w:tab w:val="left" w:pos="430"/>
        </w:tabs>
        <w:spacing w:after="120"/>
        <w:ind w:left="440" w:hanging="440"/>
      </w:pPr>
      <w:r>
        <w:t>[3]</w:t>
      </w:r>
      <w:r>
        <w:tab/>
        <w:t>PN-EN 50160:2010 Características de la tensión suministrada por las redes generales de distribución</w:t>
      </w:r>
    </w:p>
    <w:p w:rsidR="00080B05" w:rsidRPr="002200AF" w:rsidRDefault="001A43DE" w:rsidP="002C482D">
      <w:pPr>
        <w:pStyle w:val="Teksttreci0"/>
        <w:widowControl/>
        <w:shd w:val="clear" w:color="auto" w:fill="auto"/>
        <w:tabs>
          <w:tab w:val="left" w:pos="430"/>
        </w:tabs>
        <w:spacing w:after="120"/>
        <w:ind w:left="440" w:hanging="440"/>
      </w:pPr>
      <w:r>
        <w:t>[4]</w:t>
      </w:r>
      <w:r>
        <w:tab/>
        <w:t>PN-EN 60038:2012 Tensiones normalizadas de CENELEC</w:t>
      </w:r>
    </w:p>
    <w:p w:rsidR="00080B05" w:rsidRPr="002200AF" w:rsidRDefault="001A43DE" w:rsidP="002C482D">
      <w:pPr>
        <w:pStyle w:val="Teksttreci0"/>
        <w:widowControl/>
        <w:shd w:val="clear" w:color="auto" w:fill="auto"/>
        <w:tabs>
          <w:tab w:val="left" w:pos="430"/>
        </w:tabs>
        <w:spacing w:after="120"/>
        <w:ind w:left="440" w:hanging="440"/>
      </w:pPr>
      <w:r>
        <w:t>[5]</w:t>
      </w:r>
      <w:r>
        <w:tab/>
        <w:t>PN-EN 60958-1:2010 Interfaz digital de audio. Parte 1: Generalidades</w:t>
      </w:r>
    </w:p>
    <w:p w:rsidR="00080B05" w:rsidRPr="002200AF" w:rsidRDefault="001A43DE" w:rsidP="002C482D">
      <w:pPr>
        <w:pStyle w:val="Teksttreci0"/>
        <w:widowControl/>
        <w:shd w:val="clear" w:color="auto" w:fill="auto"/>
        <w:tabs>
          <w:tab w:val="left" w:pos="430"/>
        </w:tabs>
        <w:spacing w:after="120"/>
        <w:ind w:left="440" w:hanging="440"/>
      </w:pPr>
      <w:r>
        <w:t>[6]</w:t>
      </w:r>
      <w:r>
        <w:tab/>
        <w:t>PN-EN 61169-2:2007 Conectores de radiofrecuencia. Parte 2: Especificación intermedia. Conectores coaxiales de radiofrecuencia de tipo 9,52</w:t>
      </w:r>
    </w:p>
    <w:p w:rsidR="00080B05" w:rsidRPr="002200AF" w:rsidRDefault="001A43DE" w:rsidP="002C482D">
      <w:pPr>
        <w:pStyle w:val="Teksttreci0"/>
        <w:widowControl/>
        <w:shd w:val="clear" w:color="auto" w:fill="auto"/>
        <w:tabs>
          <w:tab w:val="left" w:pos="430"/>
        </w:tabs>
        <w:spacing w:after="120"/>
        <w:ind w:left="440" w:hanging="440"/>
      </w:pPr>
      <w:r>
        <w:t>[7]</w:t>
      </w:r>
      <w:r>
        <w:tab/>
        <w:t>PN-EN 62216:2011 Receptores de televisión digital terrestre para sistemas DVB-T</w:t>
      </w:r>
    </w:p>
    <w:p w:rsidR="00080B05" w:rsidRPr="002200AF" w:rsidRDefault="001A43DE" w:rsidP="002C482D">
      <w:pPr>
        <w:pStyle w:val="Teksttreci0"/>
        <w:widowControl/>
        <w:shd w:val="clear" w:color="auto" w:fill="auto"/>
        <w:tabs>
          <w:tab w:val="left" w:pos="430"/>
        </w:tabs>
        <w:spacing w:after="120"/>
        <w:ind w:left="440" w:hanging="440"/>
      </w:pPr>
      <w:r>
        <w:t>[8]</w:t>
      </w:r>
      <w:r>
        <w:tab/>
        <w:t>PN-EN 62680-2-1:2016-03 Interfaces Bus Serie Universal (USB) para datos y alimentación. Parte 2-1: Especificaciones para Bus Serie Universal, Revisión 2.0 (TA 14)</w:t>
      </w:r>
    </w:p>
    <w:p w:rsidR="00080B05" w:rsidRPr="002200AF" w:rsidRDefault="001A43DE" w:rsidP="002C482D">
      <w:pPr>
        <w:pStyle w:val="Teksttreci0"/>
        <w:widowControl/>
        <w:shd w:val="clear" w:color="auto" w:fill="auto"/>
        <w:tabs>
          <w:tab w:val="left" w:pos="430"/>
        </w:tabs>
        <w:spacing w:after="120"/>
        <w:ind w:left="440" w:hanging="440"/>
      </w:pPr>
      <w:r>
        <w:t>[9]</w:t>
      </w:r>
      <w:r>
        <w:tab/>
        <w:t>PN-ETSI EN 300 468 Radiodifusión de vídeo digital (DVB). Especificación para la Información de Servicio (SI) en sistemas DVB</w:t>
      </w:r>
    </w:p>
    <w:p w:rsidR="00080B05" w:rsidRPr="002200AF" w:rsidRDefault="001A43DE" w:rsidP="002C482D">
      <w:pPr>
        <w:pStyle w:val="Teksttreci0"/>
        <w:widowControl/>
        <w:shd w:val="clear" w:color="auto" w:fill="auto"/>
        <w:tabs>
          <w:tab w:val="left" w:pos="430"/>
        </w:tabs>
        <w:spacing w:after="120"/>
        <w:ind w:left="440" w:hanging="440"/>
      </w:pPr>
      <w:r>
        <w:t>[10]</w:t>
      </w:r>
      <w:r>
        <w:tab/>
        <w:t>PN-ETSI EN 300 706 V1.2.1:2005 Requisitos de teletexto mejorado</w:t>
      </w:r>
    </w:p>
    <w:p w:rsidR="00080B05" w:rsidRPr="002200AF" w:rsidRDefault="001A43DE" w:rsidP="002C482D">
      <w:pPr>
        <w:pStyle w:val="Teksttreci0"/>
        <w:widowControl/>
        <w:shd w:val="clear" w:color="auto" w:fill="auto"/>
        <w:tabs>
          <w:tab w:val="left" w:pos="430"/>
        </w:tabs>
        <w:spacing w:after="120"/>
        <w:ind w:left="440" w:hanging="440"/>
      </w:pPr>
      <w:r>
        <w:t>[11]</w:t>
      </w:r>
      <w:r>
        <w:tab/>
        <w:t>PN-ETSI EN 300 743 V1.6.1:2019-04 Radiodifusión de vídeo digital (DVB). Sistemas de subtitulado</w:t>
      </w:r>
    </w:p>
    <w:p w:rsidR="00080B05" w:rsidRPr="002200AF" w:rsidRDefault="001A43DE" w:rsidP="002C482D">
      <w:pPr>
        <w:pStyle w:val="Teksttreci0"/>
        <w:widowControl/>
        <w:shd w:val="clear" w:color="auto" w:fill="auto"/>
        <w:tabs>
          <w:tab w:val="left" w:pos="430"/>
        </w:tabs>
        <w:spacing w:after="120"/>
        <w:ind w:left="440" w:hanging="440"/>
      </w:pPr>
      <w:r>
        <w:t>[12]</w:t>
      </w:r>
      <w:r>
        <w:tab/>
        <w:t>PN-ETSI EN 300 744 Radiodifusión de vídeo digital (DVB). Estructura de alineación de trama, codificación de canales y modulación para televisión digital terrestre</w:t>
      </w:r>
    </w:p>
    <w:p w:rsidR="00080B05" w:rsidRPr="002200AF" w:rsidRDefault="001A43DE" w:rsidP="002C482D">
      <w:pPr>
        <w:pStyle w:val="Teksttreci0"/>
        <w:widowControl/>
        <w:shd w:val="clear" w:color="auto" w:fill="auto"/>
        <w:tabs>
          <w:tab w:val="left" w:pos="430"/>
        </w:tabs>
        <w:spacing w:after="120"/>
        <w:ind w:left="440" w:hanging="440"/>
      </w:pPr>
      <w:r>
        <w:t>[13]</w:t>
      </w:r>
      <w:r>
        <w:tab/>
        <w:t>PN-ETSI EN 302 755 Radiodifusión de vídeo digital (DVB). Estructura de alineación de trama, codificación de canales y modulación para el sistema de televisión digital terrestre de segunda generación (DVB-T2)</w:t>
      </w:r>
    </w:p>
    <w:p w:rsidR="00080B05" w:rsidRPr="00DC6206" w:rsidRDefault="001A43DE" w:rsidP="002C482D">
      <w:pPr>
        <w:pStyle w:val="Teksttreci0"/>
        <w:widowControl/>
        <w:shd w:val="clear" w:color="auto" w:fill="auto"/>
        <w:tabs>
          <w:tab w:val="left" w:pos="430"/>
        </w:tabs>
        <w:spacing w:after="120"/>
        <w:ind w:left="440" w:hanging="440"/>
        <w:rPr>
          <w:lang w:val="en-US"/>
        </w:rPr>
      </w:pPr>
      <w:r w:rsidRPr="00DC6206">
        <w:rPr>
          <w:lang w:val="en-US"/>
        </w:rPr>
        <w:t>[14]</w:t>
      </w:r>
      <w:r w:rsidRPr="00DC6206">
        <w:rPr>
          <w:lang w:val="en-US"/>
        </w:rPr>
        <w:tab/>
        <w:t>ETSI TS 100 289 V1.2.1 (2014-03) Digital Video Broadcasting (DVB); Support for use of the DVB Scrambling Algorithm version 3 within digital broadcasting systems</w:t>
      </w:r>
    </w:p>
    <w:p w:rsidR="00080B05" w:rsidRPr="00DC6206" w:rsidRDefault="001A43DE" w:rsidP="002C482D">
      <w:pPr>
        <w:pStyle w:val="Teksttreci0"/>
        <w:widowControl/>
        <w:shd w:val="clear" w:color="auto" w:fill="auto"/>
        <w:tabs>
          <w:tab w:val="left" w:pos="430"/>
        </w:tabs>
        <w:spacing w:after="120"/>
        <w:ind w:left="440" w:hanging="440"/>
        <w:rPr>
          <w:lang w:val="en-US"/>
        </w:rPr>
      </w:pPr>
      <w:r w:rsidRPr="00DC6206">
        <w:rPr>
          <w:lang w:val="en-US"/>
        </w:rPr>
        <w:t>[15]</w:t>
      </w:r>
      <w:r w:rsidRPr="00DC6206">
        <w:rPr>
          <w:lang w:val="en-US"/>
        </w:rPr>
        <w:tab/>
        <w:t>ETSI TS 101 154 Digital Video Broadcasting (DVB); Specification for the use of Video and Audio Coding in Broadcasting Applications based on the MPEG-2 Transport Stream</w:t>
      </w:r>
    </w:p>
    <w:p w:rsidR="00080B05" w:rsidRPr="00DC6206" w:rsidRDefault="001A43DE" w:rsidP="002C482D">
      <w:pPr>
        <w:pStyle w:val="Teksttreci0"/>
        <w:widowControl/>
        <w:shd w:val="clear" w:color="auto" w:fill="auto"/>
        <w:tabs>
          <w:tab w:val="left" w:pos="430"/>
        </w:tabs>
        <w:spacing w:after="120"/>
        <w:ind w:left="440" w:hanging="440"/>
        <w:rPr>
          <w:lang w:val="en-US"/>
        </w:rPr>
      </w:pPr>
      <w:r w:rsidRPr="00DC6206">
        <w:rPr>
          <w:lang w:val="en-US"/>
        </w:rPr>
        <w:t>[16]</w:t>
      </w:r>
      <w:r w:rsidRPr="00DC6206">
        <w:rPr>
          <w:lang w:val="en-US"/>
        </w:rPr>
        <w:tab/>
        <w:t>ETSI TS 102 006 Digital Video Broadcasting (DVB); Specification for System Software Update in DVB Systems</w:t>
      </w:r>
    </w:p>
    <w:p w:rsidR="00080B05" w:rsidRPr="00DC6206" w:rsidRDefault="001A43DE" w:rsidP="002C482D">
      <w:pPr>
        <w:pStyle w:val="Teksttreci0"/>
        <w:widowControl/>
        <w:shd w:val="clear" w:color="auto" w:fill="auto"/>
        <w:tabs>
          <w:tab w:val="left" w:pos="430"/>
        </w:tabs>
        <w:spacing w:after="120"/>
        <w:ind w:left="440" w:hanging="440"/>
        <w:rPr>
          <w:lang w:val="en-US"/>
        </w:rPr>
      </w:pPr>
      <w:r w:rsidRPr="00DC6206">
        <w:rPr>
          <w:lang w:val="en-US"/>
        </w:rPr>
        <w:lastRenderedPageBreak/>
        <w:t>[17]</w:t>
      </w:r>
      <w:r w:rsidRPr="00DC6206">
        <w:rPr>
          <w:lang w:val="en-US"/>
        </w:rPr>
        <w:tab/>
        <w:t>ETSI TS 102 366 Digital Audio Compression (AC-3, Enhanced AC-3) Standard</w:t>
      </w:r>
    </w:p>
    <w:p w:rsidR="00080B05" w:rsidRPr="00DC6206" w:rsidRDefault="001A43DE" w:rsidP="002C482D">
      <w:pPr>
        <w:pStyle w:val="Teksttreci0"/>
        <w:widowControl/>
        <w:shd w:val="clear" w:color="auto" w:fill="auto"/>
        <w:tabs>
          <w:tab w:val="left" w:pos="430"/>
        </w:tabs>
        <w:spacing w:after="120"/>
        <w:ind w:left="440" w:hanging="440"/>
        <w:rPr>
          <w:lang w:val="en-US"/>
        </w:rPr>
      </w:pPr>
      <w:r w:rsidRPr="00DC6206">
        <w:rPr>
          <w:lang w:val="en-US"/>
        </w:rPr>
        <w:t>[18]</w:t>
      </w:r>
      <w:r w:rsidRPr="00DC6206">
        <w:rPr>
          <w:lang w:val="en-US"/>
        </w:rPr>
        <w:tab/>
        <w:t>ETSI TS 102 796 Hybrid Broadcast Broadband TV</w:t>
      </w:r>
    </w:p>
    <w:p w:rsidR="00080B05" w:rsidRPr="00DC6206" w:rsidRDefault="001A43DE" w:rsidP="002C482D">
      <w:pPr>
        <w:pStyle w:val="Teksttreci0"/>
        <w:widowControl/>
        <w:shd w:val="clear" w:color="auto" w:fill="auto"/>
        <w:tabs>
          <w:tab w:val="left" w:pos="430"/>
        </w:tabs>
        <w:spacing w:after="120"/>
        <w:ind w:left="440" w:hanging="440"/>
        <w:rPr>
          <w:lang w:val="en-US"/>
        </w:rPr>
      </w:pPr>
      <w:r w:rsidRPr="00DC6206">
        <w:rPr>
          <w:lang w:val="en-US"/>
        </w:rPr>
        <w:t>[19]</w:t>
      </w:r>
      <w:r w:rsidRPr="00DC6206">
        <w:rPr>
          <w:lang w:val="en-US"/>
        </w:rPr>
        <w:tab/>
        <w:t>ETSI TS 103 190 Digital Audio Compression (AC-4) Standard Part 2: Immersive and personalized audio</w:t>
      </w:r>
    </w:p>
    <w:p w:rsidR="00080B05" w:rsidRPr="00DC6206" w:rsidRDefault="001A43DE" w:rsidP="002C482D">
      <w:pPr>
        <w:pStyle w:val="Teksttreci0"/>
        <w:widowControl/>
        <w:shd w:val="clear" w:color="auto" w:fill="auto"/>
        <w:tabs>
          <w:tab w:val="left" w:pos="430"/>
        </w:tabs>
        <w:spacing w:after="120"/>
        <w:ind w:left="440" w:hanging="440"/>
        <w:rPr>
          <w:lang w:val="en-US"/>
        </w:rPr>
      </w:pPr>
      <w:r w:rsidRPr="00DC6206">
        <w:rPr>
          <w:lang w:val="en-US"/>
        </w:rPr>
        <w:t>[20]</w:t>
      </w:r>
      <w:r w:rsidRPr="00DC6206">
        <w:rPr>
          <w:lang w:val="en-US"/>
        </w:rPr>
        <w:tab/>
        <w:t>PN-ISO/IEC 8859-2:2001 Técnica informática. Conjunto de caracteres gráficos en un código de un byte de 8 bits. Alfabeto latino n.º 2</w:t>
      </w:r>
    </w:p>
    <w:p w:rsidR="00080B05" w:rsidRPr="00DC6206" w:rsidRDefault="001A43DE" w:rsidP="002C482D">
      <w:pPr>
        <w:pStyle w:val="Teksttreci0"/>
        <w:widowControl/>
        <w:shd w:val="clear" w:color="auto" w:fill="auto"/>
        <w:tabs>
          <w:tab w:val="left" w:pos="430"/>
        </w:tabs>
        <w:spacing w:after="120"/>
        <w:ind w:left="440" w:hanging="440"/>
        <w:rPr>
          <w:lang w:val="en-US"/>
        </w:rPr>
      </w:pPr>
      <w:r w:rsidRPr="00DC6206">
        <w:rPr>
          <w:lang w:val="en-US"/>
        </w:rPr>
        <w:t>[21]</w:t>
      </w:r>
      <w:r w:rsidRPr="00DC6206">
        <w:rPr>
          <w:lang w:val="en-US"/>
        </w:rPr>
        <w:tab/>
        <w:t>IEC 61937-3:2017 Digital audio - Interface for non-linear PCM encoded audio bitstreams applying IEC 60958 - Part 3: Non-linear PCM bitstreams according to the AC-3 and enhanced AC-3 formats</w:t>
      </w:r>
    </w:p>
    <w:p w:rsidR="00080B05" w:rsidRPr="00DC6206" w:rsidRDefault="001A43DE" w:rsidP="002C482D">
      <w:pPr>
        <w:pStyle w:val="Teksttreci0"/>
        <w:widowControl/>
        <w:shd w:val="clear" w:color="auto" w:fill="auto"/>
        <w:tabs>
          <w:tab w:val="left" w:pos="430"/>
        </w:tabs>
        <w:spacing w:after="120"/>
        <w:ind w:left="440" w:hanging="440"/>
        <w:rPr>
          <w:lang w:val="en-US"/>
        </w:rPr>
      </w:pPr>
      <w:r w:rsidRPr="00DC6206">
        <w:rPr>
          <w:lang w:val="en-US"/>
        </w:rPr>
        <w:t>[22]</w:t>
      </w:r>
      <w:r w:rsidRPr="00DC6206">
        <w:rPr>
          <w:lang w:val="en-US"/>
        </w:rPr>
        <w:tab/>
        <w:t>ISO/IEC 13818-3:1998 Information technology - Generic coding of moving pictures and associated audio information - Part 3: Audio.</w:t>
      </w:r>
    </w:p>
    <w:p w:rsidR="00080B05" w:rsidRPr="00DC6206" w:rsidRDefault="001A43DE" w:rsidP="002C482D">
      <w:pPr>
        <w:pStyle w:val="Teksttreci0"/>
        <w:widowControl/>
        <w:shd w:val="clear" w:color="auto" w:fill="auto"/>
        <w:tabs>
          <w:tab w:val="left" w:pos="430"/>
        </w:tabs>
        <w:spacing w:after="120"/>
        <w:ind w:left="440" w:hanging="440"/>
        <w:rPr>
          <w:lang w:val="en-US"/>
        </w:rPr>
      </w:pPr>
      <w:r w:rsidRPr="00DC6206">
        <w:rPr>
          <w:lang w:val="en-US"/>
        </w:rPr>
        <w:t>[23]</w:t>
      </w:r>
      <w:r w:rsidRPr="00DC6206">
        <w:rPr>
          <w:lang w:val="en-US"/>
        </w:rPr>
        <w:tab/>
        <w:t>ITU-T Recommendation H.264: Advanced video coding for generic audiovisual services</w:t>
      </w:r>
    </w:p>
    <w:p w:rsidR="00080B05" w:rsidRPr="00DC6206" w:rsidRDefault="001A43DE" w:rsidP="002C482D">
      <w:pPr>
        <w:pStyle w:val="Teksttreci0"/>
        <w:widowControl/>
        <w:shd w:val="clear" w:color="auto" w:fill="auto"/>
        <w:tabs>
          <w:tab w:val="left" w:pos="430"/>
        </w:tabs>
        <w:spacing w:after="120"/>
        <w:ind w:left="440" w:hanging="440"/>
        <w:rPr>
          <w:lang w:val="en-US"/>
        </w:rPr>
      </w:pPr>
      <w:r w:rsidRPr="00DC6206">
        <w:rPr>
          <w:lang w:val="en-US"/>
        </w:rPr>
        <w:t>[24]</w:t>
      </w:r>
      <w:r w:rsidRPr="00DC6206">
        <w:rPr>
          <w:lang w:val="en-US"/>
        </w:rPr>
        <w:tab/>
        <w:t>ITU-T Recommendation H.265: High efficiency video coding</w:t>
      </w:r>
    </w:p>
    <w:p w:rsidR="00080B05" w:rsidRPr="00DC6206" w:rsidRDefault="001A43DE" w:rsidP="002C482D">
      <w:pPr>
        <w:pStyle w:val="Teksttreci0"/>
        <w:widowControl/>
        <w:shd w:val="clear" w:color="auto" w:fill="auto"/>
        <w:tabs>
          <w:tab w:val="left" w:pos="430"/>
        </w:tabs>
        <w:spacing w:after="120"/>
        <w:ind w:left="440" w:hanging="440"/>
        <w:rPr>
          <w:lang w:val="en-US"/>
        </w:rPr>
      </w:pPr>
      <w:r w:rsidRPr="00DC6206">
        <w:rPr>
          <w:lang w:val="en-US"/>
        </w:rPr>
        <w:t>[25]</w:t>
      </w:r>
      <w:r w:rsidRPr="00DC6206">
        <w:rPr>
          <w:lang w:val="en-US"/>
        </w:rPr>
        <w:tab/>
        <w:t>ITU-R Recommendation BT.2020 Parameter values for ultra-high definition television systems for production and international programme exchange</w:t>
      </w:r>
    </w:p>
    <w:p w:rsidR="00080B05" w:rsidRPr="00DC6206" w:rsidRDefault="001A43DE" w:rsidP="002C482D">
      <w:pPr>
        <w:pStyle w:val="Teksttreci0"/>
        <w:widowControl/>
        <w:shd w:val="clear" w:color="auto" w:fill="auto"/>
        <w:tabs>
          <w:tab w:val="left" w:pos="430"/>
        </w:tabs>
        <w:spacing w:after="120"/>
        <w:ind w:left="440" w:hanging="440"/>
        <w:rPr>
          <w:lang w:val="en-US"/>
        </w:rPr>
      </w:pPr>
      <w:r w:rsidRPr="00DC6206">
        <w:rPr>
          <w:lang w:val="en-US"/>
        </w:rPr>
        <w:t>[26]</w:t>
      </w:r>
      <w:r w:rsidRPr="00DC6206">
        <w:rPr>
          <w:lang w:val="en-US"/>
        </w:rPr>
        <w:tab/>
        <w:t>ITU-R Recommendation BT.2100 Image parameter values for high dynamic range television for use in production and international programme exchange</w:t>
      </w:r>
    </w:p>
    <w:p w:rsidR="00080B05" w:rsidRPr="00DC6206" w:rsidRDefault="001A43DE" w:rsidP="002C482D">
      <w:pPr>
        <w:pStyle w:val="Teksttreci0"/>
        <w:widowControl/>
        <w:shd w:val="clear" w:color="auto" w:fill="auto"/>
        <w:tabs>
          <w:tab w:val="left" w:pos="430"/>
        </w:tabs>
        <w:spacing w:after="120"/>
        <w:ind w:left="440" w:hanging="440"/>
        <w:rPr>
          <w:lang w:val="en-US"/>
        </w:rPr>
      </w:pPr>
      <w:r w:rsidRPr="00DC6206">
        <w:rPr>
          <w:lang w:val="en-US"/>
        </w:rPr>
        <w:t>[27]</w:t>
      </w:r>
      <w:r w:rsidRPr="00DC6206">
        <w:rPr>
          <w:lang w:val="en-US"/>
        </w:rPr>
        <w:tab/>
        <w:t>Digital Video Broadcasting (DVB); Specification for Service Information (SI) in DVB systems, DVB Document A038, Feb 2019</w:t>
      </w:r>
    </w:p>
    <w:p w:rsidR="00080B05" w:rsidRPr="00DC6206" w:rsidRDefault="001A43DE" w:rsidP="002C482D">
      <w:pPr>
        <w:pStyle w:val="Teksttreci0"/>
        <w:widowControl/>
        <w:shd w:val="clear" w:color="auto" w:fill="auto"/>
        <w:tabs>
          <w:tab w:val="left" w:pos="430"/>
        </w:tabs>
        <w:spacing w:after="120"/>
        <w:ind w:left="440" w:hanging="440"/>
        <w:rPr>
          <w:lang w:val="en-US"/>
        </w:rPr>
      </w:pPr>
      <w:r w:rsidRPr="00DC6206">
        <w:rPr>
          <w:lang w:val="en-US"/>
        </w:rPr>
        <w:t>[28]</w:t>
      </w:r>
      <w:r w:rsidRPr="00DC6206">
        <w:rPr>
          <w:lang w:val="en-US"/>
        </w:rPr>
        <w:tab/>
        <w:t>High-bandwidth Digital Content Protection System, Revision 1.3, December 21, 2006, Digital Content Protection LLC</w:t>
      </w:r>
    </w:p>
    <w:p w:rsidR="00080B05" w:rsidRPr="00DC6206" w:rsidRDefault="001A43DE" w:rsidP="002C482D">
      <w:pPr>
        <w:pStyle w:val="Teksttreci0"/>
        <w:widowControl/>
        <w:shd w:val="clear" w:color="auto" w:fill="auto"/>
        <w:tabs>
          <w:tab w:val="left" w:pos="430"/>
        </w:tabs>
        <w:spacing w:after="120"/>
        <w:ind w:left="440" w:hanging="440"/>
        <w:rPr>
          <w:lang w:val="en-US"/>
        </w:rPr>
      </w:pPr>
      <w:r w:rsidRPr="00DC6206">
        <w:rPr>
          <w:lang w:val="en-US"/>
        </w:rPr>
        <w:t>[29]</w:t>
      </w:r>
      <w:r w:rsidRPr="00DC6206">
        <w:rPr>
          <w:lang w:val="en-US"/>
        </w:rPr>
        <w:tab/>
        <w:t>High-bandwidth Digital Content Protection System, Mapping HDCP to HDMI, Revision 2.2, February 13, 2013, Digital Content Protection LLC</w:t>
      </w:r>
    </w:p>
    <w:p w:rsidR="00080B05" w:rsidRPr="00DC6206" w:rsidRDefault="001A43DE" w:rsidP="002C482D">
      <w:pPr>
        <w:pStyle w:val="Teksttreci0"/>
        <w:widowControl/>
        <w:shd w:val="clear" w:color="auto" w:fill="auto"/>
        <w:tabs>
          <w:tab w:val="left" w:pos="430"/>
        </w:tabs>
        <w:spacing w:after="120"/>
        <w:ind w:left="440" w:hanging="440"/>
        <w:rPr>
          <w:lang w:val="en-US"/>
        </w:rPr>
      </w:pPr>
      <w:r w:rsidRPr="00DC6206">
        <w:rPr>
          <w:lang w:val="en-US"/>
        </w:rPr>
        <w:t>[30]</w:t>
      </w:r>
      <w:r w:rsidRPr="00DC6206">
        <w:rPr>
          <w:lang w:val="en-US"/>
        </w:rPr>
        <w:tab/>
        <w:t>High-Definition Multimedia Interface, Version 1.4a, March 2010, HDMI Licensing, LLC</w:t>
      </w:r>
    </w:p>
    <w:p w:rsidR="00080B05" w:rsidRPr="00DC6206" w:rsidRDefault="001A43DE" w:rsidP="002C482D">
      <w:pPr>
        <w:pStyle w:val="Teksttreci0"/>
        <w:widowControl/>
        <w:shd w:val="clear" w:color="auto" w:fill="auto"/>
        <w:tabs>
          <w:tab w:val="left" w:pos="430"/>
        </w:tabs>
        <w:spacing w:after="120"/>
        <w:ind w:left="440" w:hanging="440"/>
        <w:rPr>
          <w:lang w:val="en-US"/>
        </w:rPr>
      </w:pPr>
      <w:r w:rsidRPr="00DC6206">
        <w:rPr>
          <w:lang w:val="en-US"/>
        </w:rPr>
        <w:t>[31]</w:t>
      </w:r>
      <w:r w:rsidRPr="00DC6206">
        <w:rPr>
          <w:lang w:val="en-US"/>
        </w:rPr>
        <w:tab/>
        <w:t>High-Definition Multimedia Interface, Version 2.1, November 2017, HDMI Licensing, LLC</w:t>
      </w:r>
    </w:p>
    <w:p w:rsidR="00080B05" w:rsidRPr="00DC6206" w:rsidRDefault="001A43DE" w:rsidP="002C482D">
      <w:pPr>
        <w:pStyle w:val="Teksttreci0"/>
        <w:widowControl/>
        <w:shd w:val="clear" w:color="auto" w:fill="auto"/>
        <w:tabs>
          <w:tab w:val="left" w:pos="430"/>
        </w:tabs>
        <w:spacing w:after="120"/>
        <w:ind w:left="440" w:hanging="440"/>
        <w:rPr>
          <w:lang w:val="en-US"/>
        </w:rPr>
      </w:pPr>
      <w:r w:rsidRPr="00DC6206">
        <w:rPr>
          <w:lang w:val="en-US"/>
        </w:rPr>
        <w:t>[32]</w:t>
      </w:r>
      <w:r w:rsidRPr="00DC6206">
        <w:rPr>
          <w:lang w:val="en-US"/>
        </w:rPr>
        <w:tab/>
        <w:t>NorDig Unified Requirements for Integrated Receiver Decoders for use in cable, satellite, terrestrial and managed IPTV based networks, Requirements ver. 3.1 (October, 2018)</w:t>
      </w:r>
    </w:p>
    <w:p w:rsidR="00080B05" w:rsidRPr="002200AF" w:rsidRDefault="001A43DE" w:rsidP="002C482D">
      <w:pPr>
        <w:pStyle w:val="Teksttreci0"/>
        <w:widowControl/>
        <w:shd w:val="clear" w:color="auto" w:fill="auto"/>
        <w:tabs>
          <w:tab w:val="left" w:pos="920"/>
        </w:tabs>
        <w:ind w:firstLine="440"/>
      </w:pPr>
      <w:r>
        <w:t>2.2.</w:t>
      </w:r>
      <w:r>
        <w:tab/>
        <w:t>En caso de que la lista mencionada en el punto 2.1 incluya referencias a una versión concreta de documento (identificada con la fecha de publicación, número de edición, número de revisión, etc.), no se aplicarán las versiones posteriores de este documento.</w:t>
      </w:r>
    </w:p>
    <w:p w:rsidR="00080B05" w:rsidRPr="002200AF" w:rsidRDefault="001A43DE" w:rsidP="002C482D">
      <w:pPr>
        <w:pStyle w:val="Teksttreci0"/>
        <w:widowControl/>
        <w:shd w:val="clear" w:color="auto" w:fill="auto"/>
        <w:tabs>
          <w:tab w:val="left" w:pos="920"/>
        </w:tabs>
        <w:ind w:firstLine="440"/>
      </w:pPr>
      <w:r>
        <w:t>2.3.</w:t>
      </w:r>
      <w:r>
        <w:tab/>
        <w:t>En caso de que la lista mencionada en el punto 2.1 no incluya referencias a una versión concreta de documento, se aplicará la versión más reciente de ese documento.</w:t>
      </w:r>
    </w:p>
    <w:p w:rsidR="00080B05" w:rsidRPr="002200AF" w:rsidRDefault="001A43DE" w:rsidP="002C482D">
      <w:pPr>
        <w:pStyle w:val="Teksttreci0"/>
        <w:widowControl/>
        <w:shd w:val="clear" w:color="auto" w:fill="auto"/>
        <w:tabs>
          <w:tab w:val="left" w:pos="925"/>
        </w:tabs>
        <w:ind w:firstLine="440"/>
      </w:pPr>
      <w:r>
        <w:t>2.4.</w:t>
      </w:r>
      <w:r>
        <w:tab/>
        <w:t xml:space="preserve">Los documentos mencionados en el punto 2.1, en las unidades de redacción [1] a [13] y [20], están disponibles de forma gratuita en las salas de lectura de normas del Comité polaco de normalización, así como (sujeto a pago) en el sitio web </w:t>
      </w:r>
      <w:hyperlink r:id="rId11" w:history="1">
        <w:r>
          <w:t>www.pkn.pl</w:t>
        </w:r>
      </w:hyperlink>
      <w:r>
        <w:t>.</w:t>
      </w:r>
    </w:p>
    <w:p w:rsidR="00080B05" w:rsidRPr="002200AF" w:rsidRDefault="001A43DE" w:rsidP="002C482D">
      <w:pPr>
        <w:pStyle w:val="Teksttreci0"/>
        <w:widowControl/>
        <w:shd w:val="clear" w:color="auto" w:fill="auto"/>
        <w:tabs>
          <w:tab w:val="left" w:pos="925"/>
        </w:tabs>
        <w:ind w:firstLine="440"/>
      </w:pPr>
      <w:r>
        <w:t>2.5.</w:t>
      </w:r>
      <w:r>
        <w:tab/>
        <w:t>Los documentos mencionados en el punto 2.1, en las unidades de redacción [14] a [19], están disponibles en el sitio web del Instituto Europeo de Normas de Telecomunicaciones (ETSI) (</w:t>
      </w:r>
      <w:hyperlink r:id="rId12" w:history="1">
        <w:r>
          <w:t>www.etsi.org</w:t>
        </w:r>
      </w:hyperlink>
      <w:r>
        <w:t>).</w:t>
      </w:r>
    </w:p>
    <w:p w:rsidR="00080B05" w:rsidRPr="002200AF" w:rsidRDefault="001A43DE" w:rsidP="002C482D">
      <w:pPr>
        <w:pStyle w:val="Teksttreci0"/>
        <w:widowControl/>
        <w:shd w:val="clear" w:color="auto" w:fill="auto"/>
        <w:tabs>
          <w:tab w:val="left" w:pos="925"/>
        </w:tabs>
        <w:ind w:firstLine="440"/>
      </w:pPr>
      <w:r>
        <w:t>2.6.</w:t>
      </w:r>
      <w:r>
        <w:tab/>
        <w:t>Los documentos mencionados en el punto 2.1, en las unidades de redacción [21] y [22], están disponibles en el sitio web de la Comisión Electrotécnica Internacional (IEC) (</w:t>
      </w:r>
      <w:hyperlink r:id="rId13" w:history="1">
        <w:r>
          <w:t>www.iec.ch</w:t>
        </w:r>
      </w:hyperlink>
      <w:r>
        <w:t>).</w:t>
      </w:r>
    </w:p>
    <w:p w:rsidR="00080B05" w:rsidRPr="002200AF" w:rsidRDefault="001A43DE" w:rsidP="002C482D">
      <w:pPr>
        <w:pStyle w:val="Teksttreci0"/>
        <w:widowControl/>
        <w:shd w:val="clear" w:color="auto" w:fill="auto"/>
        <w:tabs>
          <w:tab w:val="left" w:pos="925"/>
        </w:tabs>
        <w:ind w:firstLine="440"/>
      </w:pPr>
      <w:r>
        <w:t>2.7.</w:t>
      </w:r>
      <w:r>
        <w:tab/>
        <w:t>Los documentos mencionados en el punto 2.1, en las unidades de redacción [23] a [26], están disponibles en el sitio web de la Unión Internacional de Telecomunicaciones (ITU) (</w:t>
      </w:r>
      <w:hyperlink r:id="rId14" w:history="1">
        <w:r>
          <w:t>www.itu.int</w:t>
        </w:r>
      </w:hyperlink>
      <w:r>
        <w:t>).</w:t>
      </w:r>
    </w:p>
    <w:p w:rsidR="00080B05" w:rsidRPr="002200AF" w:rsidRDefault="001A43DE" w:rsidP="002C482D">
      <w:pPr>
        <w:pStyle w:val="Teksttreci0"/>
        <w:widowControl/>
        <w:shd w:val="clear" w:color="auto" w:fill="auto"/>
        <w:tabs>
          <w:tab w:val="left" w:pos="942"/>
        </w:tabs>
        <w:ind w:firstLine="440"/>
      </w:pPr>
      <w:r>
        <w:t>2.8.</w:t>
      </w:r>
      <w:r>
        <w:tab/>
        <w:t xml:space="preserve">El documento mencionado en el punto 2.1, en la unidad de redacción [27], está disponible en el sitio web </w:t>
      </w:r>
      <w:hyperlink r:id="rId15" w:history="1">
        <w:r>
          <w:t>www.dvb.org</w:t>
        </w:r>
      </w:hyperlink>
      <w:r>
        <w:t>.</w:t>
      </w:r>
    </w:p>
    <w:p w:rsidR="00080B05" w:rsidRPr="002200AF" w:rsidRDefault="001A43DE" w:rsidP="002C482D">
      <w:pPr>
        <w:pStyle w:val="Teksttreci0"/>
        <w:widowControl/>
        <w:shd w:val="clear" w:color="auto" w:fill="auto"/>
        <w:tabs>
          <w:tab w:val="left" w:pos="925"/>
        </w:tabs>
        <w:ind w:firstLine="440"/>
      </w:pPr>
      <w:r>
        <w:t>2.9.</w:t>
      </w:r>
      <w:r>
        <w:tab/>
        <w:t xml:space="preserve">Los documentos mencionados en el punto 2.1, en las unidades de redacción [28] a [29], están disponibles en el sitio web </w:t>
      </w:r>
      <w:hyperlink r:id="rId16" w:history="1">
        <w:r>
          <w:t>www.digital-cp.com</w:t>
        </w:r>
      </w:hyperlink>
      <w:r>
        <w:t>.</w:t>
      </w:r>
    </w:p>
    <w:p w:rsidR="00080B05" w:rsidRPr="002200AF" w:rsidRDefault="001A43DE" w:rsidP="002C482D">
      <w:pPr>
        <w:pStyle w:val="Teksttreci0"/>
        <w:widowControl/>
        <w:shd w:val="clear" w:color="auto" w:fill="auto"/>
        <w:tabs>
          <w:tab w:val="left" w:pos="925"/>
        </w:tabs>
        <w:ind w:firstLine="440"/>
      </w:pPr>
      <w:r>
        <w:t>2.10.</w:t>
      </w:r>
      <w:r>
        <w:tab/>
        <w:t xml:space="preserve">Los documentos mencionados en el punto 2.1, en las unidades de redacción [30] a [31], están disponibles en el sitio web </w:t>
      </w:r>
      <w:hyperlink r:id="rId17" w:history="1">
        <w:r>
          <w:t>www.hdmi.org</w:t>
        </w:r>
      </w:hyperlink>
      <w:r>
        <w:t>.</w:t>
      </w:r>
    </w:p>
    <w:p w:rsidR="00080B05" w:rsidRPr="002200AF" w:rsidRDefault="001A43DE" w:rsidP="002C482D">
      <w:pPr>
        <w:pStyle w:val="Teksttreci0"/>
        <w:widowControl/>
        <w:shd w:val="clear" w:color="auto" w:fill="auto"/>
        <w:tabs>
          <w:tab w:val="left" w:pos="925"/>
        </w:tabs>
        <w:ind w:firstLine="440"/>
      </w:pPr>
      <w:r>
        <w:t>2.11.</w:t>
      </w:r>
      <w:r>
        <w:tab/>
        <w:t xml:space="preserve">El documento mencionado en el punto 2.1, en la unidad de redacción [32], está disponible en el sitio web </w:t>
      </w:r>
      <w:hyperlink r:id="rId18" w:history="1">
        <w:r>
          <w:t>www.nordig.org</w:t>
        </w:r>
      </w:hyperlink>
      <w:r>
        <w:t>.</w:t>
      </w:r>
    </w:p>
    <w:p w:rsidR="00080B05" w:rsidRPr="002200AF" w:rsidRDefault="001A43DE" w:rsidP="002C482D">
      <w:pPr>
        <w:pStyle w:val="Nagwek40"/>
        <w:keepNext/>
        <w:keepLines/>
        <w:widowControl/>
        <w:shd w:val="clear" w:color="auto" w:fill="auto"/>
        <w:tabs>
          <w:tab w:val="left" w:pos="789"/>
        </w:tabs>
        <w:spacing w:after="120"/>
        <w:ind w:left="440" w:firstLine="0"/>
      </w:pPr>
      <w:r>
        <w:lastRenderedPageBreak/>
        <w:t>3. Abreviaturas y acrónimos</w:t>
      </w:r>
    </w:p>
    <w:p w:rsidR="00080B05" w:rsidRPr="002200AF" w:rsidRDefault="00292458" w:rsidP="002C482D">
      <w:pPr>
        <w:pStyle w:val="Teksttreci0"/>
        <w:keepNext/>
        <w:keepLines/>
        <w:widowControl/>
        <w:shd w:val="clear" w:color="auto" w:fill="auto"/>
        <w:spacing w:after="100" w:line="252" w:lineRule="auto"/>
        <w:ind w:firstLine="440"/>
      </w:pPr>
      <w:r>
        <w:t>A efectos del presente anexo, por las abreviaturas y los acrónimos siguientes se entenderán:</w:t>
      </w:r>
    </w:p>
    <w:p w:rsidR="00080B05" w:rsidRPr="002200AF" w:rsidRDefault="00292458" w:rsidP="002C482D">
      <w:pPr>
        <w:pStyle w:val="Teksttreci0"/>
        <w:widowControl/>
        <w:shd w:val="clear" w:color="auto" w:fill="auto"/>
        <w:tabs>
          <w:tab w:val="left" w:pos="900"/>
        </w:tabs>
        <w:spacing w:after="120"/>
        <w:ind w:left="907" w:hanging="907"/>
      </w:pPr>
      <w:r>
        <w:t>AC-3</w:t>
      </w:r>
      <w:r>
        <w:tab/>
        <w:t>Sistema de codificación del sonido multicanal Dolby AC-3 (Dolby Audio Coding 3)</w:t>
      </w:r>
    </w:p>
    <w:p w:rsidR="00080B05" w:rsidRPr="002200AF" w:rsidRDefault="00292458" w:rsidP="002C482D">
      <w:pPr>
        <w:pStyle w:val="Teksttreci0"/>
        <w:widowControl/>
        <w:shd w:val="clear" w:color="auto" w:fill="auto"/>
        <w:tabs>
          <w:tab w:val="left" w:pos="900"/>
        </w:tabs>
        <w:spacing w:after="120"/>
        <w:ind w:left="907" w:hanging="907"/>
      </w:pPr>
      <w:r>
        <w:t>AC-4</w:t>
      </w:r>
      <w:r>
        <w:tab/>
        <w:t>Sistema de codificación del sonido multicanal Dolby AC-4 (Dolby Audio Coding 4)</w:t>
      </w:r>
    </w:p>
    <w:p w:rsidR="00080B05" w:rsidRPr="002200AF" w:rsidRDefault="00292458" w:rsidP="002C482D">
      <w:pPr>
        <w:pStyle w:val="Teksttreci0"/>
        <w:widowControl/>
        <w:shd w:val="clear" w:color="auto" w:fill="auto"/>
        <w:tabs>
          <w:tab w:val="left" w:pos="900"/>
        </w:tabs>
        <w:spacing w:after="120"/>
        <w:ind w:left="907" w:hanging="907"/>
      </w:pPr>
      <w:r>
        <w:t>API</w:t>
      </w:r>
      <w:r>
        <w:tab/>
        <w:t>Interfaz de programación de aplicaciones (Application Programming Interface)</w:t>
      </w:r>
    </w:p>
    <w:p w:rsidR="00080B05" w:rsidRPr="002200AF" w:rsidRDefault="00292458" w:rsidP="002C482D">
      <w:pPr>
        <w:pStyle w:val="Teksttreci0"/>
        <w:widowControl/>
        <w:shd w:val="clear" w:color="auto" w:fill="auto"/>
        <w:tabs>
          <w:tab w:val="left" w:pos="900"/>
        </w:tabs>
        <w:spacing w:after="120"/>
        <w:ind w:left="907" w:hanging="907"/>
      </w:pPr>
      <w:r>
        <w:t>ARC</w:t>
      </w:r>
      <w:r>
        <w:tab/>
        <w:t>Canal de retorno de audio en HDMI que utiliza los sistemas de audio (Audio Return Channel)</w:t>
      </w:r>
    </w:p>
    <w:p w:rsidR="00080B05" w:rsidRPr="002200AF" w:rsidRDefault="00292458" w:rsidP="002C482D">
      <w:pPr>
        <w:pStyle w:val="Teksttreci0"/>
        <w:widowControl/>
        <w:shd w:val="clear" w:color="auto" w:fill="auto"/>
        <w:tabs>
          <w:tab w:val="left" w:pos="900"/>
        </w:tabs>
        <w:spacing w:after="120"/>
        <w:ind w:left="907" w:hanging="907"/>
      </w:pPr>
      <w:r>
        <w:t>AVC</w:t>
      </w:r>
      <w:r>
        <w:tab/>
        <w:t>Codificación de vídeo avanzada (Advanced Video Coding)</w:t>
      </w:r>
    </w:p>
    <w:p w:rsidR="00080B05" w:rsidRPr="002200AF" w:rsidRDefault="00292458" w:rsidP="002C482D">
      <w:pPr>
        <w:pStyle w:val="Teksttreci0"/>
        <w:widowControl/>
        <w:shd w:val="clear" w:color="auto" w:fill="auto"/>
        <w:tabs>
          <w:tab w:val="left" w:pos="900"/>
        </w:tabs>
        <w:spacing w:after="120"/>
        <w:ind w:left="907" w:hanging="907"/>
      </w:pPr>
      <w:r>
        <w:t>DVB</w:t>
      </w:r>
      <w:r>
        <w:tab/>
        <w:t>Televisión digital emitida basada en el esquema de codificación y modulación DVB (Digital Video Broadcasting)</w:t>
      </w:r>
    </w:p>
    <w:p w:rsidR="00080B05" w:rsidRPr="002200AF" w:rsidRDefault="00292458" w:rsidP="002C482D">
      <w:pPr>
        <w:pStyle w:val="Teksttreci0"/>
        <w:widowControl/>
        <w:shd w:val="clear" w:color="auto" w:fill="auto"/>
        <w:tabs>
          <w:tab w:val="left" w:pos="900"/>
        </w:tabs>
        <w:spacing w:after="120"/>
        <w:ind w:left="907" w:hanging="907"/>
      </w:pPr>
      <w:r>
        <w:t>DVB-T</w:t>
      </w:r>
      <w:r>
        <w:tab/>
        <w:t>Televisión digital terrestre (un tipo de sistema de televisión digital DVB, destinado a las transmisiones terrestres) (Digital Video Broadcasting – Terrestrial)</w:t>
      </w:r>
    </w:p>
    <w:p w:rsidR="00080B05" w:rsidRPr="002200AF" w:rsidRDefault="00292458" w:rsidP="002C482D">
      <w:pPr>
        <w:pStyle w:val="Teksttreci0"/>
        <w:widowControl/>
        <w:shd w:val="clear" w:color="auto" w:fill="auto"/>
        <w:tabs>
          <w:tab w:val="left" w:pos="900"/>
        </w:tabs>
        <w:spacing w:after="120"/>
        <w:ind w:left="907" w:hanging="907"/>
      </w:pPr>
      <w:r>
        <w:t>DVB-T2</w:t>
      </w:r>
      <w:r>
        <w:tab/>
        <w:t>Segunda generación de la televisión digital terrestre (Digital Video Broadcasting - Terrestrial Second Generation)</w:t>
      </w:r>
    </w:p>
    <w:p w:rsidR="00080B05" w:rsidRPr="002200AF" w:rsidRDefault="00292458" w:rsidP="002C482D">
      <w:pPr>
        <w:pStyle w:val="Teksttreci0"/>
        <w:widowControl/>
        <w:shd w:val="clear" w:color="auto" w:fill="auto"/>
        <w:tabs>
          <w:tab w:val="left" w:pos="900"/>
        </w:tabs>
        <w:spacing w:after="120"/>
        <w:ind w:left="907" w:hanging="907"/>
      </w:pPr>
      <w:r>
        <w:t>E-AC-3</w:t>
      </w:r>
      <w:r>
        <w:tab/>
        <w:t>Sistema de codificación del sonido multicanal Dolby, el cual constituye una ampliación del sistema AC-3 (Enhanced Audio Coding 3)</w:t>
      </w:r>
    </w:p>
    <w:p w:rsidR="00080B05" w:rsidRPr="002200AF" w:rsidRDefault="00292458" w:rsidP="002C482D">
      <w:pPr>
        <w:pStyle w:val="Teksttreci0"/>
        <w:widowControl/>
        <w:shd w:val="clear" w:color="auto" w:fill="auto"/>
        <w:tabs>
          <w:tab w:val="left" w:pos="900"/>
        </w:tabs>
        <w:spacing w:after="120"/>
        <w:ind w:left="907" w:hanging="907"/>
      </w:pPr>
      <w:r>
        <w:t>FTA</w:t>
      </w:r>
      <w:r>
        <w:tab/>
        <w:t>Programas no codificados, disponibles para todos (Free-to-Air)</w:t>
      </w:r>
    </w:p>
    <w:p w:rsidR="00080B05" w:rsidRPr="002200AF" w:rsidRDefault="00292458" w:rsidP="002C482D">
      <w:pPr>
        <w:pStyle w:val="Teksttreci0"/>
        <w:widowControl/>
        <w:shd w:val="clear" w:color="auto" w:fill="auto"/>
        <w:tabs>
          <w:tab w:val="left" w:pos="900"/>
        </w:tabs>
        <w:spacing w:after="120"/>
        <w:ind w:left="907" w:hanging="907"/>
      </w:pPr>
      <w:r>
        <w:t>HbbTV</w:t>
      </w:r>
      <w:r>
        <w:tab/>
        <w:t>Servicio que suministra contenido multimedia adicional a través de la red de internet (Hybrid Broadcast Broadband TV)</w:t>
      </w:r>
    </w:p>
    <w:p w:rsidR="00080B05" w:rsidRPr="002200AF" w:rsidRDefault="00292458" w:rsidP="002C482D">
      <w:pPr>
        <w:pStyle w:val="Teksttreci0"/>
        <w:widowControl/>
        <w:shd w:val="clear" w:color="auto" w:fill="auto"/>
        <w:tabs>
          <w:tab w:val="left" w:pos="900"/>
        </w:tabs>
        <w:spacing w:after="120"/>
        <w:ind w:left="907" w:hanging="907"/>
      </w:pPr>
      <w:r>
        <w:t>HDCP</w:t>
      </w:r>
      <w:r>
        <w:tab/>
        <w:t>Sistema de protección de contenido digital de elevado ancho de banda (High-Bandwidth Digital Content Protection System)</w:t>
      </w:r>
    </w:p>
    <w:p w:rsidR="00080B05" w:rsidRPr="002200AF" w:rsidRDefault="00292458" w:rsidP="002C482D">
      <w:pPr>
        <w:pStyle w:val="Teksttreci0"/>
        <w:widowControl/>
        <w:shd w:val="clear" w:color="auto" w:fill="auto"/>
        <w:tabs>
          <w:tab w:val="left" w:pos="900"/>
        </w:tabs>
        <w:spacing w:after="120"/>
        <w:ind w:left="907" w:hanging="907"/>
      </w:pPr>
      <w:r>
        <w:t>HDMI</w:t>
      </w:r>
      <w:r>
        <w:tab/>
        <w:t>Interfaz multimedia HD (High-Definition Multimedia Interface)</w:t>
      </w:r>
    </w:p>
    <w:p w:rsidR="00080B05" w:rsidRPr="002200AF" w:rsidRDefault="00292458" w:rsidP="002C482D">
      <w:pPr>
        <w:pStyle w:val="Teksttreci0"/>
        <w:widowControl/>
        <w:shd w:val="clear" w:color="auto" w:fill="auto"/>
        <w:tabs>
          <w:tab w:val="left" w:pos="900"/>
        </w:tabs>
        <w:spacing w:after="120"/>
        <w:ind w:left="907" w:hanging="907"/>
      </w:pPr>
      <w:r>
        <w:t>HDR</w:t>
      </w:r>
      <w:r>
        <w:tab/>
        <w:t>Imagen de alto rango dinámico (High Dynamic Range Image), con los parámetros definidos en la recomendación ITU-R BT. 2100 [26]</w:t>
      </w:r>
    </w:p>
    <w:p w:rsidR="00080B05" w:rsidRPr="002200AF" w:rsidRDefault="00292458" w:rsidP="002C482D">
      <w:pPr>
        <w:pStyle w:val="Teksttreci0"/>
        <w:widowControl/>
        <w:shd w:val="clear" w:color="auto" w:fill="auto"/>
        <w:tabs>
          <w:tab w:val="left" w:pos="900"/>
        </w:tabs>
        <w:spacing w:after="120"/>
        <w:ind w:left="907" w:hanging="907"/>
      </w:pPr>
      <w:r>
        <w:t>HDTV</w:t>
      </w:r>
      <w:r>
        <w:tab/>
        <w:t>Televisión de alta definición (High Definition TV) 1280 x 720 y 1920 x 1080</w:t>
      </w:r>
    </w:p>
    <w:p w:rsidR="00080B05" w:rsidRPr="002200AF" w:rsidRDefault="00292458" w:rsidP="002C482D">
      <w:pPr>
        <w:pStyle w:val="Teksttreci0"/>
        <w:widowControl/>
        <w:shd w:val="clear" w:color="auto" w:fill="auto"/>
        <w:tabs>
          <w:tab w:val="left" w:pos="900"/>
        </w:tabs>
        <w:spacing w:after="120"/>
        <w:ind w:left="907" w:hanging="907"/>
      </w:pPr>
      <w:r>
        <w:t>HEVC</w:t>
      </w:r>
      <w:r>
        <w:tab/>
        <w:t>Estándar de alta eficiencia de compresión de vídeo (High Efficiency Video Coding)</w:t>
      </w:r>
    </w:p>
    <w:p w:rsidR="00080B05" w:rsidRPr="002200AF" w:rsidRDefault="00292458" w:rsidP="002C482D">
      <w:pPr>
        <w:pStyle w:val="Teksttreci0"/>
        <w:widowControl/>
        <w:shd w:val="clear" w:color="auto" w:fill="auto"/>
        <w:tabs>
          <w:tab w:val="left" w:pos="900"/>
        </w:tabs>
        <w:spacing w:after="120"/>
        <w:ind w:left="907" w:hanging="907"/>
      </w:pPr>
      <w:r>
        <w:t>HFR</w:t>
      </w:r>
      <w:r>
        <w:tab/>
        <w:t>Técnica de transmisión que garantiza un mayor número de fotogramas por segundo en el material de vídeo grabado/reproducido (High Frame Rate, 100/120 fotogramas por segundo)</w:t>
      </w:r>
    </w:p>
    <w:p w:rsidR="00080B05" w:rsidRPr="002200AF" w:rsidRDefault="00292458" w:rsidP="002C482D">
      <w:pPr>
        <w:pStyle w:val="Teksttreci0"/>
        <w:widowControl/>
        <w:shd w:val="clear" w:color="auto" w:fill="auto"/>
        <w:tabs>
          <w:tab w:val="left" w:pos="900"/>
        </w:tabs>
        <w:spacing w:after="120"/>
        <w:ind w:left="907" w:hanging="907"/>
      </w:pPr>
      <w:r>
        <w:t>HLG10</w:t>
      </w:r>
      <w:r>
        <w:tab/>
        <w:t>Sistema HDR cuya especificación se incluye en la recomendación ITU-R BT.2100 [26], con la resolución del espacio de color de 10-bit, de acuerdo con la recomendación ITU-R BT.2020 [25] (Hybrid Log Gamma 10)</w:t>
      </w:r>
    </w:p>
    <w:p w:rsidR="00080B05" w:rsidRPr="002200AF" w:rsidRDefault="00292458" w:rsidP="002C482D">
      <w:pPr>
        <w:pStyle w:val="Teksttreci0"/>
        <w:widowControl/>
        <w:shd w:val="clear" w:color="auto" w:fill="auto"/>
        <w:tabs>
          <w:tab w:val="left" w:pos="900"/>
        </w:tabs>
        <w:spacing w:after="120"/>
        <w:ind w:left="907" w:hanging="907"/>
      </w:pPr>
      <w:r>
        <w:t>iDTV</w:t>
      </w:r>
      <w:r>
        <w:tab/>
        <w:t>IRD equipado con un proyector de imagen (televisor)</w:t>
      </w:r>
    </w:p>
    <w:p w:rsidR="00080B05" w:rsidRPr="002200AF" w:rsidRDefault="00292458" w:rsidP="002C482D">
      <w:pPr>
        <w:pStyle w:val="Teksttreci0"/>
        <w:widowControl/>
        <w:shd w:val="clear" w:color="auto" w:fill="auto"/>
        <w:tabs>
          <w:tab w:val="left" w:pos="900"/>
        </w:tabs>
        <w:spacing w:after="120"/>
        <w:ind w:left="907" w:hanging="907"/>
      </w:pPr>
      <w:r>
        <w:t>IRD</w:t>
      </w:r>
      <w:r>
        <w:tab/>
        <w:t>Receptor integrado, equipado con un decodificador de la señal de vídeo y audio (Integrated Receiver/Decoder), en la versión STB o iDTV</w:t>
      </w:r>
    </w:p>
    <w:p w:rsidR="00080B05" w:rsidRPr="002200AF" w:rsidRDefault="00292458" w:rsidP="002C482D">
      <w:pPr>
        <w:pStyle w:val="Teksttreci0"/>
        <w:widowControl/>
        <w:shd w:val="clear" w:color="auto" w:fill="auto"/>
        <w:tabs>
          <w:tab w:val="left" w:pos="900"/>
        </w:tabs>
        <w:spacing w:after="120"/>
        <w:ind w:left="907" w:hanging="907"/>
      </w:pPr>
      <w:r>
        <w:t>LCN</w:t>
      </w:r>
      <w:r>
        <w:tab/>
        <w:t>Numeración lógica de canales (Logical Channel Number)</w:t>
      </w:r>
    </w:p>
    <w:p w:rsidR="00080B05" w:rsidRPr="002200AF" w:rsidRDefault="00292458" w:rsidP="002C482D">
      <w:pPr>
        <w:pStyle w:val="Teksttreci0"/>
        <w:widowControl/>
        <w:shd w:val="clear" w:color="auto" w:fill="auto"/>
        <w:tabs>
          <w:tab w:val="left" w:pos="900"/>
        </w:tabs>
        <w:spacing w:after="120"/>
        <w:ind w:left="907" w:hanging="907"/>
      </w:pPr>
      <w:r>
        <w:t>MPEG-2</w:t>
      </w:r>
      <w:r>
        <w:tab/>
        <w:t>Audio capa 2 Formato de compresión de sonido MPEG-2 definido en la norma ISO/IEC 13818-3:1998 [22]</w:t>
      </w:r>
    </w:p>
    <w:p w:rsidR="00080B05" w:rsidRPr="002200AF" w:rsidRDefault="00292458" w:rsidP="002C482D">
      <w:pPr>
        <w:pStyle w:val="Teksttreci0"/>
        <w:widowControl/>
        <w:shd w:val="clear" w:color="auto" w:fill="auto"/>
        <w:tabs>
          <w:tab w:val="left" w:pos="900"/>
        </w:tabs>
        <w:spacing w:after="120"/>
        <w:ind w:left="907" w:hanging="907"/>
      </w:pPr>
      <w:r>
        <w:t>NIT</w:t>
      </w:r>
      <w:r>
        <w:tab/>
        <w:t>Tabla de información de red (Network Information Table)</w:t>
      </w:r>
    </w:p>
    <w:p w:rsidR="00080B05" w:rsidRPr="002200AF" w:rsidRDefault="00292458" w:rsidP="002C482D">
      <w:pPr>
        <w:pStyle w:val="Teksttreci0"/>
        <w:widowControl/>
        <w:shd w:val="clear" w:color="auto" w:fill="auto"/>
        <w:tabs>
          <w:tab w:val="left" w:pos="900"/>
        </w:tabs>
        <w:spacing w:after="120"/>
        <w:ind w:left="907" w:hanging="907"/>
      </w:pPr>
      <w:r>
        <w:t>OFDM</w:t>
      </w:r>
      <w:r>
        <w:tab/>
        <w:t>Multiplexación por división de frecuencias ortogonales (Orthogonal Frequency-Division Multiplexing)</w:t>
      </w:r>
    </w:p>
    <w:p w:rsidR="00080B05" w:rsidRPr="002200AF" w:rsidRDefault="00292458" w:rsidP="002C482D">
      <w:pPr>
        <w:pStyle w:val="Teksttreci0"/>
        <w:widowControl/>
        <w:shd w:val="clear" w:color="auto" w:fill="auto"/>
        <w:tabs>
          <w:tab w:val="left" w:pos="900"/>
        </w:tabs>
        <w:spacing w:after="120"/>
        <w:ind w:left="907" w:hanging="907"/>
      </w:pPr>
      <w:r>
        <w:t>OSD</w:t>
      </w:r>
      <w:r>
        <w:tab/>
        <w:t>Visualización en pantalla (On Screen Display)</w:t>
      </w:r>
    </w:p>
    <w:p w:rsidR="00080B05" w:rsidRPr="002200AF" w:rsidRDefault="00292458" w:rsidP="002C482D">
      <w:pPr>
        <w:pStyle w:val="Teksttreci0"/>
        <w:widowControl/>
        <w:shd w:val="clear" w:color="auto" w:fill="auto"/>
        <w:tabs>
          <w:tab w:val="left" w:pos="900"/>
        </w:tabs>
        <w:spacing w:after="120"/>
        <w:ind w:left="907" w:hanging="907"/>
      </w:pPr>
      <w:r>
        <w:t>PLP</w:t>
      </w:r>
      <w:r>
        <w:tab/>
        <w:t>Flujo individual de datos físicos de una determinada modulación y codificación (Physical Layer Pipe)</w:t>
      </w:r>
    </w:p>
    <w:p w:rsidR="00080B05" w:rsidRPr="002200AF" w:rsidRDefault="00292458" w:rsidP="002C482D">
      <w:pPr>
        <w:pStyle w:val="Teksttreci0"/>
        <w:widowControl/>
        <w:shd w:val="clear" w:color="auto" w:fill="auto"/>
        <w:tabs>
          <w:tab w:val="left" w:pos="900"/>
        </w:tabs>
        <w:spacing w:after="120"/>
        <w:ind w:left="907" w:hanging="907"/>
      </w:pPr>
      <w:r>
        <w:t>PQ10</w:t>
      </w:r>
      <w:r>
        <w:tab/>
        <w:t>Sistema HDR, teniendo en cuenta la función no lineal de la percepción de la vista, que permite obtener un amplio rango de niveles de brillo, cuya especificación se incluye en la recomendación ITU-R BT.2100 [26], con la resolución del espacio de color de 10-bit, de acuerdo con la recomendación ITU-R BT.2020 [25] (Perceptual Quantizer 10)</w:t>
      </w:r>
    </w:p>
    <w:p w:rsidR="00080B05" w:rsidRPr="002200AF" w:rsidRDefault="00292458" w:rsidP="002C482D">
      <w:pPr>
        <w:pStyle w:val="Teksttreci0"/>
        <w:widowControl/>
        <w:shd w:val="clear" w:color="auto" w:fill="auto"/>
        <w:tabs>
          <w:tab w:val="left" w:pos="900"/>
        </w:tabs>
        <w:spacing w:after="120"/>
        <w:ind w:left="907" w:hanging="907"/>
      </w:pPr>
      <w:r>
        <w:t>SDT</w:t>
      </w:r>
      <w:r>
        <w:tab/>
        <w:t>Tabla de descripción del servicio (Service Description Table)</w:t>
      </w:r>
    </w:p>
    <w:p w:rsidR="00080B05" w:rsidRPr="002200AF" w:rsidRDefault="00292458" w:rsidP="002C482D">
      <w:pPr>
        <w:pStyle w:val="Teksttreci0"/>
        <w:widowControl/>
        <w:shd w:val="clear" w:color="auto" w:fill="auto"/>
        <w:tabs>
          <w:tab w:val="left" w:pos="900"/>
        </w:tabs>
        <w:spacing w:after="120"/>
        <w:ind w:left="907" w:hanging="907"/>
      </w:pPr>
      <w:r>
        <w:t>SDTV</w:t>
      </w:r>
      <w:r>
        <w:tab/>
        <w:t>Televisión de definición estándar (Standard Definition TV)</w:t>
      </w:r>
    </w:p>
    <w:p w:rsidR="00080B05" w:rsidRPr="002200AF" w:rsidRDefault="00292458" w:rsidP="002C482D">
      <w:pPr>
        <w:pStyle w:val="Teksttreci0"/>
        <w:widowControl/>
        <w:shd w:val="clear" w:color="auto" w:fill="auto"/>
        <w:tabs>
          <w:tab w:val="left" w:pos="900"/>
        </w:tabs>
        <w:spacing w:after="120"/>
        <w:ind w:left="907" w:hanging="907"/>
      </w:pPr>
      <w:r>
        <w:t>SI</w:t>
      </w:r>
      <w:r>
        <w:tab/>
        <w:t>Información de servicios (Service Information)</w:t>
      </w:r>
    </w:p>
    <w:p w:rsidR="00080B05" w:rsidRPr="002200AF" w:rsidRDefault="00292458" w:rsidP="002C482D">
      <w:pPr>
        <w:pStyle w:val="Teksttreci0"/>
        <w:widowControl/>
        <w:shd w:val="clear" w:color="auto" w:fill="auto"/>
        <w:tabs>
          <w:tab w:val="left" w:pos="900"/>
        </w:tabs>
        <w:spacing w:after="120"/>
        <w:ind w:left="907" w:hanging="907"/>
      </w:pPr>
      <w:r>
        <w:lastRenderedPageBreak/>
        <w:t>SISO</w:t>
      </w:r>
      <w:r>
        <w:tab/>
        <w:t>Técnica de transmisión de un único contenido con la ayuda de una única antena emisora, recibido con la ayuda de una única antena receptora (Single-Input Single-Output)</w:t>
      </w:r>
    </w:p>
    <w:p w:rsidR="00080B05" w:rsidRPr="002200AF" w:rsidRDefault="00292458" w:rsidP="002C482D">
      <w:pPr>
        <w:pStyle w:val="Teksttreci0"/>
        <w:widowControl/>
        <w:shd w:val="clear" w:color="auto" w:fill="auto"/>
        <w:tabs>
          <w:tab w:val="left" w:pos="900"/>
        </w:tabs>
        <w:spacing w:after="100" w:line="252" w:lineRule="auto"/>
        <w:ind w:left="907" w:hanging="907"/>
      </w:pPr>
      <w:r>
        <w:t>SSU</w:t>
      </w:r>
      <w:r>
        <w:tab/>
        <w:t xml:space="preserve">Actualización del </w:t>
      </w:r>
      <w:r>
        <w:rPr>
          <w:i/>
          <w:iCs/>
        </w:rPr>
        <w:t>software</w:t>
      </w:r>
      <w:r>
        <w:t xml:space="preserve"> del sistema (System Software Update)</w:t>
      </w:r>
    </w:p>
    <w:p w:rsidR="00080B05" w:rsidRPr="002200AF" w:rsidRDefault="00292458" w:rsidP="002C482D">
      <w:pPr>
        <w:pStyle w:val="Teksttreci0"/>
        <w:widowControl/>
        <w:shd w:val="clear" w:color="auto" w:fill="auto"/>
        <w:tabs>
          <w:tab w:val="left" w:pos="900"/>
        </w:tabs>
        <w:spacing w:after="100" w:line="252" w:lineRule="auto"/>
        <w:ind w:left="907" w:hanging="907"/>
      </w:pPr>
      <w:r>
        <w:t>STB</w:t>
      </w:r>
      <w:r>
        <w:tab/>
        <w:t>Receptor digital sin la pantalla de visualización (Set-Top Box)</w:t>
      </w:r>
    </w:p>
    <w:p w:rsidR="00080B05" w:rsidRPr="002200AF" w:rsidRDefault="00292458" w:rsidP="002C482D">
      <w:pPr>
        <w:pStyle w:val="Teksttreci0"/>
        <w:widowControl/>
        <w:shd w:val="clear" w:color="auto" w:fill="auto"/>
        <w:tabs>
          <w:tab w:val="left" w:pos="900"/>
        </w:tabs>
        <w:spacing w:after="100" w:line="252" w:lineRule="auto"/>
        <w:ind w:left="907" w:hanging="907"/>
      </w:pPr>
      <w:r>
        <w:t>TV</w:t>
      </w:r>
      <w:r>
        <w:tab/>
        <w:t>Televisión (TeleVision)</w:t>
      </w:r>
    </w:p>
    <w:p w:rsidR="00080B05" w:rsidRPr="002200AF" w:rsidRDefault="00292458" w:rsidP="002C482D">
      <w:pPr>
        <w:pStyle w:val="Teksttreci0"/>
        <w:widowControl/>
        <w:shd w:val="clear" w:color="auto" w:fill="auto"/>
        <w:tabs>
          <w:tab w:val="left" w:pos="900"/>
        </w:tabs>
        <w:spacing w:after="100" w:line="252" w:lineRule="auto"/>
        <w:ind w:left="907" w:hanging="907"/>
      </w:pPr>
      <w:r>
        <w:t>UHD</w:t>
      </w:r>
      <w:r>
        <w:tab/>
        <w:t>Ultra alta definición (Ultra-High Definition) 3840 x 2160</w:t>
      </w:r>
    </w:p>
    <w:p w:rsidR="00080B05" w:rsidRPr="002200AF" w:rsidRDefault="00292458" w:rsidP="002C482D">
      <w:pPr>
        <w:pStyle w:val="Teksttreci0"/>
        <w:widowControl/>
        <w:shd w:val="clear" w:color="auto" w:fill="auto"/>
        <w:tabs>
          <w:tab w:val="left" w:pos="900"/>
        </w:tabs>
        <w:spacing w:after="100" w:line="252" w:lineRule="auto"/>
        <w:ind w:left="907" w:hanging="907"/>
      </w:pPr>
      <w:r>
        <w:t>UHDTV</w:t>
      </w:r>
      <w:r>
        <w:tab/>
        <w:t>Televisión de ultra alta definición (Ultra-High Definition TV)</w:t>
      </w:r>
    </w:p>
    <w:p w:rsidR="00080B05" w:rsidRPr="002200AF" w:rsidRDefault="00292458" w:rsidP="002C482D">
      <w:pPr>
        <w:pStyle w:val="Teksttreci0"/>
        <w:widowControl/>
        <w:shd w:val="clear" w:color="auto" w:fill="auto"/>
        <w:tabs>
          <w:tab w:val="left" w:pos="900"/>
        </w:tabs>
        <w:spacing w:after="100" w:line="252" w:lineRule="auto"/>
        <w:ind w:left="907" w:hanging="907"/>
      </w:pPr>
      <w:r>
        <w:t>UHF</w:t>
      </w:r>
      <w:r>
        <w:tab/>
        <w:t>Frecuencia ultra alta de 300-3 000 MHz (Very-High Frequency), ondas decimilimétricas</w:t>
      </w:r>
    </w:p>
    <w:p w:rsidR="00080B05" w:rsidRPr="002200AF" w:rsidRDefault="00292458" w:rsidP="002C482D">
      <w:pPr>
        <w:pStyle w:val="Teksttreci0"/>
        <w:widowControl/>
        <w:shd w:val="clear" w:color="auto" w:fill="auto"/>
        <w:tabs>
          <w:tab w:val="left" w:pos="900"/>
        </w:tabs>
        <w:spacing w:after="100" w:line="252" w:lineRule="auto"/>
        <w:ind w:left="907" w:hanging="907"/>
      </w:pPr>
      <w:r>
        <w:t>USB</w:t>
      </w:r>
      <w:r>
        <w:tab/>
        <w:t>Bus serie universal (Universal Serial Bus)</w:t>
      </w:r>
    </w:p>
    <w:p w:rsidR="00080B05" w:rsidRPr="002200AF" w:rsidRDefault="00292458" w:rsidP="002C482D">
      <w:pPr>
        <w:pStyle w:val="Teksttreci0"/>
        <w:widowControl/>
        <w:shd w:val="clear" w:color="auto" w:fill="auto"/>
        <w:tabs>
          <w:tab w:val="left" w:pos="900"/>
        </w:tabs>
        <w:spacing w:after="100" w:line="252" w:lineRule="auto"/>
        <w:ind w:left="907" w:hanging="907"/>
      </w:pPr>
      <w:r>
        <w:t>UTF-8</w:t>
      </w:r>
      <w:r>
        <w:tab/>
        <w:t>Sistema de codificación Unicode de 8-bit (8-bit Unicode Transformation Format)</w:t>
      </w:r>
    </w:p>
    <w:p w:rsidR="00080B05" w:rsidRPr="002200AF" w:rsidRDefault="00292458" w:rsidP="002C482D">
      <w:pPr>
        <w:pStyle w:val="Teksttreci0"/>
        <w:widowControl/>
        <w:shd w:val="clear" w:color="auto" w:fill="auto"/>
        <w:tabs>
          <w:tab w:val="left" w:pos="900"/>
        </w:tabs>
        <w:spacing w:after="100" w:line="252" w:lineRule="auto"/>
        <w:ind w:left="907" w:hanging="907"/>
      </w:pPr>
      <w:r>
        <w:t>VBI</w:t>
      </w:r>
      <w:r>
        <w:tab/>
        <w:t>Intervalo de supresión vertical (Vertical Blanking Interval)</w:t>
      </w:r>
    </w:p>
    <w:p w:rsidR="00080B05" w:rsidRPr="002200AF" w:rsidRDefault="00292458" w:rsidP="002C482D">
      <w:pPr>
        <w:pStyle w:val="Teksttreci0"/>
        <w:widowControl/>
        <w:shd w:val="clear" w:color="auto" w:fill="auto"/>
        <w:tabs>
          <w:tab w:val="left" w:pos="900"/>
        </w:tabs>
        <w:spacing w:after="160" w:line="252" w:lineRule="auto"/>
        <w:ind w:left="907" w:hanging="907"/>
      </w:pPr>
      <w:r>
        <w:t>VHF</w:t>
      </w:r>
      <w:r>
        <w:tab/>
        <w:t>Frecuencia muy alta de 30-300 MHz (Very-High Frequency), ondas métricas.</w:t>
      </w:r>
    </w:p>
    <w:p w:rsidR="00080B05" w:rsidRPr="002200AF" w:rsidRDefault="001A43DE" w:rsidP="002C482D">
      <w:pPr>
        <w:pStyle w:val="Nagwek40"/>
        <w:keepNext/>
        <w:keepLines/>
        <w:widowControl/>
        <w:shd w:val="clear" w:color="auto" w:fill="auto"/>
        <w:tabs>
          <w:tab w:val="left" w:pos="784"/>
        </w:tabs>
        <w:spacing w:line="252" w:lineRule="auto"/>
      </w:pPr>
      <w:r>
        <w:t>4. Capacidad de recepción</w:t>
      </w:r>
    </w:p>
    <w:p w:rsidR="00080B05" w:rsidRPr="002200AF" w:rsidRDefault="00292458" w:rsidP="002C482D">
      <w:pPr>
        <w:pStyle w:val="Teksttreci0"/>
        <w:widowControl/>
        <w:shd w:val="clear" w:color="auto" w:fill="auto"/>
        <w:spacing w:after="160" w:line="252" w:lineRule="auto"/>
        <w:ind w:firstLine="440"/>
      </w:pPr>
      <w:r>
        <w:t>El receptor digital garantizará la recepción de las señales digitales DVB-T y DVB-T2, con los parámetros conformes a la norma PN-ETSI EN 300 744 [12] y a la norma PN-ETSI EN 302 755 [13], emitidas en los siguientes rangos: VHF (174-230 MHz), en los canales de 7 MHz de ancho y UHF (470-790 MHz) en los canales de 8 MHz de ancho. El sintonizador del receptor digital cumple los requisitos indicados en la norma PN-EN 62216:2011 [7], así como los demás requisitos de la parte de radio del receptor indicados en el capítulo 3.4 de la norma NorDig Unified Requirements for Integrated Receiver Decoders for use in cable, satellite, terrestrial and managed IPTV based networks [32].</w:t>
      </w:r>
    </w:p>
    <w:p w:rsidR="00080B05" w:rsidRPr="002200AF" w:rsidRDefault="001A43DE" w:rsidP="002C482D">
      <w:pPr>
        <w:pStyle w:val="Nagwek40"/>
        <w:keepNext/>
        <w:keepLines/>
        <w:widowControl/>
        <w:shd w:val="clear" w:color="auto" w:fill="auto"/>
        <w:tabs>
          <w:tab w:val="left" w:pos="784"/>
        </w:tabs>
        <w:spacing w:after="100" w:line="252" w:lineRule="auto"/>
      </w:pPr>
      <w:r>
        <w:t>5. Procedimiento de rastreo de banda</w:t>
      </w:r>
    </w:p>
    <w:p w:rsidR="00080B05" w:rsidRPr="002200AF" w:rsidRDefault="00292458" w:rsidP="002C482D">
      <w:pPr>
        <w:pStyle w:val="Teksttreci0"/>
        <w:widowControl/>
        <w:shd w:val="clear" w:color="auto" w:fill="auto"/>
        <w:spacing w:after="160"/>
        <w:ind w:firstLine="440"/>
      </w:pPr>
      <w:r>
        <w:t>El receptor digital permitirá rastrear automáticamente todo el rango de frecuencias disponibles, así como ajustarlas a la estructura correcta de alineación de trama DVB-T y DVB-T2, la codificación de canales y modulación, a fin de transmitir el flujo de transporte de entrada a los módulos siguientes. El receptor DVB-T2 permitirá recibir la transmisión SISO, con la técnica de OFDM, la cual utiliza las constelaciones rotadas y sin constelaciones rotadas. El receptor digital garantizará la recepción de la transmisión DVB-T2 compuesta por al menos un PLP. Los datos de ajuste se almacenarán en la lista de servicios para garantizar una selección rápida del flujo de transporte deseado.</w:t>
      </w:r>
    </w:p>
    <w:p w:rsidR="00080B05" w:rsidRPr="002200AF" w:rsidRDefault="001A43DE" w:rsidP="002C482D">
      <w:pPr>
        <w:pStyle w:val="Nagwek40"/>
        <w:keepNext/>
        <w:keepLines/>
        <w:widowControl/>
        <w:shd w:val="clear" w:color="auto" w:fill="auto"/>
        <w:tabs>
          <w:tab w:val="left" w:pos="784"/>
        </w:tabs>
        <w:spacing w:after="100" w:line="252" w:lineRule="auto"/>
      </w:pPr>
      <w:r>
        <w:t>6. Acceso a los servicios</w:t>
      </w:r>
    </w:p>
    <w:p w:rsidR="00080B05" w:rsidRPr="002200AF" w:rsidRDefault="00292458" w:rsidP="002C482D">
      <w:pPr>
        <w:pStyle w:val="Teksttreci0"/>
        <w:keepNext/>
        <w:keepLines/>
        <w:widowControl/>
        <w:shd w:val="clear" w:color="auto" w:fill="auto"/>
        <w:spacing w:after="100" w:line="252" w:lineRule="auto"/>
        <w:ind w:firstLine="440"/>
      </w:pPr>
      <w:r>
        <w:t>El receptor digital garantizará la posibilidad de:</w:t>
      </w:r>
    </w:p>
    <w:p w:rsidR="00080B05" w:rsidRPr="002200AF" w:rsidRDefault="001A43DE" w:rsidP="002C482D">
      <w:pPr>
        <w:pStyle w:val="Teksttreci0"/>
        <w:widowControl/>
        <w:shd w:val="clear" w:color="auto" w:fill="auto"/>
        <w:tabs>
          <w:tab w:val="left" w:pos="450"/>
        </w:tabs>
        <w:spacing w:after="100" w:line="252" w:lineRule="auto"/>
        <w:ind w:left="440" w:hanging="440"/>
      </w:pPr>
      <w:r>
        <w:t>1)</w:t>
      </w:r>
      <w:r>
        <w:tab/>
        <w:t>recibir los FTA;</w:t>
      </w:r>
    </w:p>
    <w:p w:rsidR="00080B05" w:rsidRPr="002200AF" w:rsidRDefault="001A43DE" w:rsidP="002C482D">
      <w:pPr>
        <w:pStyle w:val="Teksttreci0"/>
        <w:widowControl/>
        <w:shd w:val="clear" w:color="auto" w:fill="auto"/>
        <w:tabs>
          <w:tab w:val="left" w:pos="450"/>
        </w:tabs>
        <w:spacing w:after="100"/>
        <w:ind w:left="440" w:hanging="440"/>
      </w:pPr>
      <w:r>
        <w:t>2)</w:t>
      </w:r>
      <w:r>
        <w:tab/>
        <w:t>seleccionar el componente fónico del servicio, en el caso de la transmisión de múltiples componentes fónicos en el marco de un único servicio; se requiere que el controlador del receptor disponga de un botón de selección de la banda sonora u otro mecanismo que permita seleccionar dicha banda con facilidad;</w:t>
      </w:r>
    </w:p>
    <w:p w:rsidR="00080B05" w:rsidRPr="002200AF" w:rsidRDefault="001A43DE" w:rsidP="002C482D">
      <w:pPr>
        <w:pStyle w:val="Teksttreci0"/>
        <w:widowControl/>
        <w:shd w:val="clear" w:color="auto" w:fill="auto"/>
        <w:tabs>
          <w:tab w:val="left" w:pos="450"/>
        </w:tabs>
        <w:spacing w:after="100" w:line="252" w:lineRule="auto"/>
        <w:ind w:left="440" w:hanging="440"/>
      </w:pPr>
      <w:r>
        <w:t>3)</w:t>
      </w:r>
      <w:r>
        <w:tab/>
        <w:t>elegir subtítulos (de teletexto o DVB) en formato UTF-8;</w:t>
      </w:r>
    </w:p>
    <w:p w:rsidR="00080B05" w:rsidRPr="002200AF" w:rsidRDefault="001A43DE" w:rsidP="002C482D">
      <w:pPr>
        <w:pStyle w:val="Teksttreci0"/>
        <w:widowControl/>
        <w:shd w:val="clear" w:color="auto" w:fill="auto"/>
        <w:tabs>
          <w:tab w:val="left" w:pos="450"/>
        </w:tabs>
        <w:spacing w:after="100" w:line="252" w:lineRule="auto"/>
        <w:ind w:left="440" w:hanging="440"/>
      </w:pPr>
      <w:r>
        <w:t>4)</w:t>
      </w:r>
      <w:r>
        <w:tab/>
        <w:t>utilizar teletexto;</w:t>
      </w:r>
    </w:p>
    <w:p w:rsidR="00080B05" w:rsidRPr="002200AF" w:rsidRDefault="001A43DE" w:rsidP="002C482D">
      <w:pPr>
        <w:pStyle w:val="Teksttreci0"/>
        <w:widowControl/>
        <w:shd w:val="clear" w:color="auto" w:fill="auto"/>
        <w:tabs>
          <w:tab w:val="left" w:pos="450"/>
        </w:tabs>
        <w:spacing w:after="100" w:line="252" w:lineRule="auto"/>
        <w:ind w:left="440" w:hanging="440"/>
      </w:pPr>
      <w:r>
        <w:t>5)</w:t>
      </w:r>
      <w:r>
        <w:tab/>
        <w:t>formatear la imagen para las relaciones de aspecto 4:3 y 16:9;</w:t>
      </w:r>
    </w:p>
    <w:p w:rsidR="00080B05" w:rsidRPr="002200AF" w:rsidRDefault="001A43DE" w:rsidP="002C482D">
      <w:pPr>
        <w:pStyle w:val="Teksttreci0"/>
        <w:widowControl/>
        <w:shd w:val="clear" w:color="auto" w:fill="auto"/>
        <w:tabs>
          <w:tab w:val="left" w:pos="450"/>
        </w:tabs>
        <w:spacing w:after="100" w:line="252" w:lineRule="auto"/>
        <w:ind w:left="440" w:hanging="440"/>
      </w:pPr>
      <w:r>
        <w:t>6)</w:t>
      </w:r>
      <w:r>
        <w:tab/>
        <w:t>disponer del control parental del acceso a los programas elegidos;</w:t>
      </w:r>
    </w:p>
    <w:p w:rsidR="00080B05" w:rsidRPr="002200AF" w:rsidRDefault="001A43DE" w:rsidP="002C482D">
      <w:pPr>
        <w:pStyle w:val="Teksttreci0"/>
        <w:widowControl/>
        <w:shd w:val="clear" w:color="auto" w:fill="auto"/>
        <w:tabs>
          <w:tab w:val="left" w:pos="450"/>
        </w:tabs>
        <w:spacing w:after="160" w:line="252" w:lineRule="auto"/>
        <w:ind w:left="440" w:hanging="440"/>
      </w:pPr>
      <w:r>
        <w:t>7)</w:t>
      </w:r>
      <w:r>
        <w:tab/>
        <w:t>acceder al menú en idioma polaco y configurar el idioma nacional polaco.</w:t>
      </w:r>
    </w:p>
    <w:p w:rsidR="00080B05" w:rsidRPr="002200AF" w:rsidRDefault="001A43DE" w:rsidP="002C482D">
      <w:pPr>
        <w:pStyle w:val="Nagwek40"/>
        <w:keepNext/>
        <w:keepLines/>
        <w:widowControl/>
        <w:shd w:val="clear" w:color="auto" w:fill="auto"/>
        <w:tabs>
          <w:tab w:val="left" w:pos="784"/>
        </w:tabs>
        <w:spacing w:after="100" w:line="252" w:lineRule="auto"/>
      </w:pPr>
      <w:r>
        <w:t>7. Navegador de la información de servicios</w:t>
      </w:r>
    </w:p>
    <w:p w:rsidR="00080B05" w:rsidRPr="002200AF" w:rsidRDefault="00292458" w:rsidP="002C482D">
      <w:pPr>
        <w:pStyle w:val="Teksttreci0"/>
        <w:widowControl/>
        <w:shd w:val="clear" w:color="auto" w:fill="auto"/>
        <w:spacing w:after="160"/>
        <w:ind w:firstLine="440"/>
      </w:pPr>
      <w:r>
        <w:t>El receptor digital estará equipado con un navegador de la información de servicios que proporcionará al usuario el acceso a la información básica sobre servicios y eventos transmitida en las tablas SI descritas en la norma ETSI EN 300 468 [9] y en el DVB Document A038 [27], y también permitirá al usuario controlar el receptor. El navegador de la información de servicios permitirá una visualización correcta de los caracteres alfabéticos polacos codificados de acuerdo con la norma PN-ISO/IEC 8859-2:2001 [20].</w:t>
      </w:r>
    </w:p>
    <w:p w:rsidR="00080B05" w:rsidRPr="002200AF" w:rsidRDefault="001A43DE" w:rsidP="002C482D">
      <w:pPr>
        <w:pStyle w:val="Nagwek40"/>
        <w:keepNext/>
        <w:keepLines/>
        <w:widowControl/>
        <w:shd w:val="clear" w:color="auto" w:fill="auto"/>
        <w:tabs>
          <w:tab w:val="left" w:pos="784"/>
        </w:tabs>
        <w:spacing w:after="100" w:line="252" w:lineRule="auto"/>
      </w:pPr>
      <w:r>
        <w:t>8. Instalación automática</w:t>
      </w:r>
    </w:p>
    <w:p w:rsidR="00080B05" w:rsidRPr="002200AF" w:rsidRDefault="00292458" w:rsidP="002C482D">
      <w:pPr>
        <w:pStyle w:val="Teksttreci0"/>
        <w:widowControl/>
        <w:shd w:val="clear" w:color="auto" w:fill="auto"/>
        <w:spacing w:after="100" w:line="252" w:lineRule="auto"/>
        <w:ind w:firstLine="440"/>
      </w:pPr>
      <w:r>
        <w:t xml:space="preserve">Un receptor digital utiliza la información obligatoria NIT o SDT, descrita en la norma PN-ETSI EN 300 468 [9] y en el DVB Document A038 [27], con el fin de crear automáticamente una lista de servicios y, posteriormente, actualizarla. El receptor utiliza el LCN. Todos los servicios encontrados, marcados como «visibles», se sitúan en la lista de servicios de </w:t>
      </w:r>
      <w:r>
        <w:lastRenderedPageBreak/>
        <w:t>acuerdo con el número LCN otorgado. En caso de que falte un número o en caso de que se duplique un número, el servicio se situará al final de la lista. El usuario tendrá la posibilidad de modificar el orden de los servicios o de crear su propia lista. Todos los servicios marcados como «invisibles» se guardarán, sin embargo no se visualizarán en la lista de servicios disponibles.</w:t>
      </w:r>
    </w:p>
    <w:p w:rsidR="00080B05" w:rsidRPr="002200AF" w:rsidRDefault="001A43DE" w:rsidP="002C482D">
      <w:pPr>
        <w:pStyle w:val="Nagwek40"/>
        <w:keepNext/>
        <w:keepLines/>
        <w:widowControl/>
        <w:shd w:val="clear" w:color="auto" w:fill="auto"/>
        <w:tabs>
          <w:tab w:val="left" w:pos="789"/>
        </w:tabs>
        <w:spacing w:after="160"/>
      </w:pPr>
      <w:r>
        <w:t>9. Control parental de acceso</w:t>
      </w:r>
    </w:p>
    <w:p w:rsidR="00080B05" w:rsidRPr="002200AF" w:rsidRDefault="00292458" w:rsidP="002C482D">
      <w:pPr>
        <w:pStyle w:val="Teksttreci0"/>
        <w:widowControl/>
        <w:shd w:val="clear" w:color="auto" w:fill="auto"/>
        <w:spacing w:after="220"/>
        <w:ind w:firstLine="440"/>
      </w:pPr>
      <w:r>
        <w:t>El receptor digital permitirá bloquear el acceso a programas completos o a categorías seleccionadas de programas si en el flujo aparece el descriptor «parental_rating_descriptor» indicado en la norma PN-ETSI EN 300 468 [9].</w:t>
      </w:r>
    </w:p>
    <w:p w:rsidR="00080B05" w:rsidRPr="002200AF" w:rsidRDefault="001A43DE" w:rsidP="002C482D">
      <w:pPr>
        <w:pStyle w:val="Nagwek40"/>
        <w:keepNext/>
        <w:keepLines/>
        <w:widowControl/>
        <w:shd w:val="clear" w:color="auto" w:fill="auto"/>
        <w:tabs>
          <w:tab w:val="left" w:pos="890"/>
        </w:tabs>
        <w:spacing w:after="160"/>
      </w:pPr>
      <w:r>
        <w:t>10. Decodificador de la señal de vídeo</w:t>
      </w:r>
    </w:p>
    <w:p w:rsidR="00080B05" w:rsidRPr="002200AF" w:rsidRDefault="00292458" w:rsidP="002C482D">
      <w:pPr>
        <w:pStyle w:val="Teksttreci0"/>
        <w:keepNext/>
        <w:keepLines/>
        <w:widowControl/>
        <w:shd w:val="clear" w:color="auto" w:fill="auto"/>
        <w:spacing w:after="80"/>
        <w:ind w:firstLine="440"/>
      </w:pPr>
      <w:r>
        <w:t>El decodificador de la señal de vídeo decodificará los flujos digitales de vídeo de acuerdo con:</w:t>
      </w:r>
    </w:p>
    <w:p w:rsidR="00080B05" w:rsidRPr="002200AF" w:rsidRDefault="001A43DE" w:rsidP="002C482D">
      <w:pPr>
        <w:pStyle w:val="Teksttreci0"/>
        <w:widowControl/>
        <w:shd w:val="clear" w:color="auto" w:fill="auto"/>
        <w:tabs>
          <w:tab w:val="left" w:pos="450"/>
        </w:tabs>
        <w:spacing w:after="80"/>
        <w:ind w:left="440" w:hanging="440"/>
      </w:pPr>
      <w:r>
        <w:t>1)</w:t>
      </w:r>
      <w:r>
        <w:tab/>
        <w:t>la recomendación ITU-T H.264 [23], con las restricciones indicadas en la ETSI TS 101 154 [15] parte 5.6 y 5.7 para un receptor de 25 Hz H.264/AVC capaz de decodificar los flujos HP@L4 HDTV, así como de decodificar los flujos MP@L3 SDTV;</w:t>
      </w:r>
    </w:p>
    <w:p w:rsidR="00080B05" w:rsidRPr="002200AF" w:rsidRDefault="001A43DE" w:rsidP="002C482D">
      <w:pPr>
        <w:pStyle w:val="Teksttreci0"/>
        <w:widowControl/>
        <w:shd w:val="clear" w:color="auto" w:fill="auto"/>
        <w:tabs>
          <w:tab w:val="left" w:pos="450"/>
        </w:tabs>
        <w:spacing w:after="160"/>
        <w:ind w:left="440" w:hanging="440"/>
      </w:pPr>
      <w:r>
        <w:t>2)</w:t>
      </w:r>
      <w:r>
        <w:tab/>
        <w:t>la recomendación ITU-T H.265 [24], con las restricciones indicadas en la ETSI TS 101 154 [15] parte 5.14.1 y 5.14.2 (HDTV) para un receptor de 50 Hz HEVC HDTV 8-bit (resoluciones 1920 x 1080 p50, 1280 x 720 p50).</w:t>
      </w:r>
    </w:p>
    <w:p w:rsidR="00080B05" w:rsidRPr="002200AF" w:rsidRDefault="00292458" w:rsidP="002C482D">
      <w:pPr>
        <w:pStyle w:val="Teksttreci0"/>
        <w:widowControl/>
        <w:shd w:val="clear" w:color="auto" w:fill="auto"/>
        <w:spacing w:after="80"/>
        <w:ind w:firstLine="446"/>
      </w:pPr>
      <w:r>
        <w:t>En el caso de un receptor integrado (iDTV) que permite proyectar imágenes UHD, de acuerdo con la recomendación ITU-T H.265 [24] se requiere el uso de la decodificación de flujos según perfiles (definidos en la recomendación ITU-T H.265 [24]) Main Profile, Main 10 Profile y Main Tier:</w:t>
      </w:r>
    </w:p>
    <w:p w:rsidR="00080B05" w:rsidRPr="002200AF" w:rsidRDefault="001A43DE" w:rsidP="002C482D">
      <w:pPr>
        <w:pStyle w:val="Teksttreci0"/>
        <w:widowControl/>
        <w:shd w:val="clear" w:color="auto" w:fill="auto"/>
        <w:tabs>
          <w:tab w:val="left" w:pos="450"/>
        </w:tabs>
        <w:spacing w:after="80"/>
        <w:ind w:left="440" w:hanging="440"/>
      </w:pPr>
      <w:r>
        <w:t>1)</w:t>
      </w:r>
      <w:r>
        <w:tab/>
        <w:t>HEVC UHDTV IRD con las restricciones indicadas en la ETSI TS 101 154 [15] parte 5.14.3;</w:t>
      </w:r>
    </w:p>
    <w:p w:rsidR="00080B05" w:rsidRPr="002200AF" w:rsidRDefault="001A43DE" w:rsidP="002C482D">
      <w:pPr>
        <w:pStyle w:val="Teksttreci0"/>
        <w:widowControl/>
        <w:shd w:val="clear" w:color="auto" w:fill="auto"/>
        <w:tabs>
          <w:tab w:val="left" w:pos="450"/>
        </w:tabs>
        <w:spacing w:after="220"/>
        <w:ind w:left="440" w:hanging="440"/>
      </w:pPr>
      <w:r>
        <w:t>2)</w:t>
      </w:r>
      <w:r>
        <w:tab/>
        <w:t>HEVC HDR UHDTV IRD que utiliza HLG10, así como HEVC HDR UHDTV IRD que utiliza PQ10, con las restricciones indicadas en la ETSI TS 101 154 [15] parte 5.14.4.</w:t>
      </w:r>
    </w:p>
    <w:p w:rsidR="00080B05" w:rsidRPr="002200AF" w:rsidRDefault="001A43DE" w:rsidP="002C482D">
      <w:pPr>
        <w:pStyle w:val="Nagwek40"/>
        <w:keepNext/>
        <w:keepLines/>
        <w:widowControl/>
        <w:shd w:val="clear" w:color="auto" w:fill="auto"/>
        <w:tabs>
          <w:tab w:val="left" w:pos="890"/>
        </w:tabs>
        <w:spacing w:after="160"/>
      </w:pPr>
      <w:r>
        <w:t>11. Decodificador de sonido</w:t>
      </w:r>
    </w:p>
    <w:p w:rsidR="00080B05" w:rsidRPr="002200AF" w:rsidRDefault="00292458" w:rsidP="002C482D">
      <w:pPr>
        <w:pStyle w:val="Teksttreci0"/>
        <w:keepNext/>
        <w:keepLines/>
        <w:widowControl/>
        <w:shd w:val="clear" w:color="auto" w:fill="auto"/>
        <w:spacing w:after="80"/>
        <w:ind w:firstLine="440"/>
      </w:pPr>
      <w:r>
        <w:t>El decodificador de la señal de audio decodificará los flujos digitales de audio codificados de acuerdo con:</w:t>
      </w:r>
    </w:p>
    <w:p w:rsidR="00080B05" w:rsidRPr="002200AF" w:rsidRDefault="001A43DE" w:rsidP="002C482D">
      <w:pPr>
        <w:pStyle w:val="Teksttreci0"/>
        <w:widowControl/>
        <w:shd w:val="clear" w:color="auto" w:fill="auto"/>
        <w:spacing w:after="80"/>
        <w:ind w:left="440" w:hanging="440"/>
      </w:pPr>
      <w:r>
        <w:t>1)</w:t>
      </w:r>
      <w:r>
        <w:tab/>
        <w:t>MPEG-2 Audio capa 2, con las restricciones indicadas en la ETSI TS 101 154 [15] parte 6.1;</w:t>
      </w:r>
    </w:p>
    <w:p w:rsidR="00080B05" w:rsidRPr="002200AF" w:rsidRDefault="001A43DE" w:rsidP="002C482D">
      <w:pPr>
        <w:pStyle w:val="Teksttreci0"/>
        <w:widowControl/>
        <w:shd w:val="clear" w:color="auto" w:fill="auto"/>
        <w:spacing w:after="160"/>
        <w:ind w:left="440" w:hanging="440"/>
      </w:pPr>
      <w:r>
        <w:t>2)</w:t>
      </w:r>
      <w:r>
        <w:tab/>
        <w:t>E-AC-3, de acuerdo con la ETSI TS 102 366 [17] y con las restricciones indicadas en la ETSI TS 101 154 [15], parte 6.2.</w:t>
      </w:r>
    </w:p>
    <w:p w:rsidR="00080B05" w:rsidRPr="002200AF" w:rsidRDefault="00292458" w:rsidP="002C482D">
      <w:pPr>
        <w:pStyle w:val="Teksttreci0"/>
        <w:widowControl/>
        <w:shd w:val="clear" w:color="auto" w:fill="auto"/>
        <w:spacing w:after="160"/>
        <w:ind w:firstLine="440"/>
      </w:pPr>
      <w:r>
        <w:t>En el caso de un receptor integrado (iDTV) que permite proyectar imágenes UHD se requiere el uso de AC-4, de acuerdo con la ETSI TS 103 190 [19] y con las restricciones indicadas en la ETSI TS 101 154 [15] partes 6.6 y 6.7.</w:t>
      </w:r>
    </w:p>
    <w:p w:rsidR="00080B05" w:rsidRPr="002200AF" w:rsidRDefault="00292458" w:rsidP="002C482D">
      <w:pPr>
        <w:pStyle w:val="Teksttreci0"/>
        <w:widowControl/>
        <w:shd w:val="clear" w:color="auto" w:fill="auto"/>
        <w:spacing w:after="160"/>
        <w:ind w:firstLine="440"/>
      </w:pPr>
      <w:r>
        <w:t>El decodificador de la señal de audio utilizará los metadatos transmitidos mediante el flujo de E-AC-3 o AC-4 para normalizar la intensidad de volumen, convertir el sonido ambiental en sonido estereofónico, o bien, para mezclar el componente fónico principal con los componentes adicionales, de acuerdo con la PN-ETSI EN 300 468 [9] Annex J.</w:t>
      </w:r>
    </w:p>
    <w:p w:rsidR="00080B05" w:rsidRPr="002200AF" w:rsidRDefault="00292458" w:rsidP="002C482D">
      <w:pPr>
        <w:pStyle w:val="Teksttreci0"/>
        <w:keepNext/>
        <w:keepLines/>
        <w:widowControl/>
        <w:shd w:val="clear" w:color="auto" w:fill="auto"/>
        <w:spacing w:after="80"/>
        <w:ind w:firstLine="440"/>
      </w:pPr>
      <w:r>
        <w:t>El receptor permitirá personalizar al usuario la recepción del sonido desde el controlador del receptor:</w:t>
      </w:r>
    </w:p>
    <w:p w:rsidR="00080B05" w:rsidRPr="002200AF" w:rsidRDefault="001A43DE" w:rsidP="002C482D">
      <w:pPr>
        <w:pStyle w:val="Teksttreci0"/>
        <w:widowControl/>
        <w:shd w:val="clear" w:color="auto" w:fill="auto"/>
        <w:spacing w:after="80"/>
        <w:ind w:left="440" w:hanging="440"/>
      </w:pPr>
      <w:r>
        <w:t>1)</w:t>
      </w:r>
      <w:r>
        <w:tab/>
        <w:t>seleccionar la banda sonora;</w:t>
      </w:r>
    </w:p>
    <w:p w:rsidR="00080B05" w:rsidRPr="002200AF" w:rsidRDefault="001A43DE" w:rsidP="002C482D">
      <w:pPr>
        <w:pStyle w:val="Teksttreci0"/>
        <w:widowControl/>
        <w:shd w:val="clear" w:color="auto" w:fill="auto"/>
        <w:spacing w:after="80"/>
        <w:ind w:left="440" w:hanging="440"/>
      </w:pPr>
      <w:r>
        <w:t>2)</w:t>
      </w:r>
      <w:r>
        <w:tab/>
        <w:t>mejorar la comprensión de los diálogos;</w:t>
      </w:r>
    </w:p>
    <w:p w:rsidR="00080B05" w:rsidRPr="002200AF" w:rsidRDefault="001A43DE" w:rsidP="002C482D">
      <w:pPr>
        <w:pStyle w:val="Teksttreci0"/>
        <w:widowControl/>
        <w:shd w:val="clear" w:color="auto" w:fill="auto"/>
        <w:tabs>
          <w:tab w:val="left" w:pos="420"/>
        </w:tabs>
        <w:spacing w:after="160"/>
        <w:ind w:left="440" w:hanging="440"/>
      </w:pPr>
      <w:r>
        <w:t>3)</w:t>
      </w:r>
      <w:r>
        <w:tab/>
        <w:t>mezclar el sonido adicional (por ejemplo, el del comentarista, el de la descripción de audio) con el sonido principal, emitidos como sonido envolvente.</w:t>
      </w:r>
    </w:p>
    <w:p w:rsidR="00080B05" w:rsidRPr="002200AF" w:rsidRDefault="00292458" w:rsidP="002C482D">
      <w:pPr>
        <w:pStyle w:val="Teksttreci0"/>
        <w:widowControl/>
        <w:shd w:val="clear" w:color="auto" w:fill="auto"/>
        <w:spacing w:after="220"/>
        <w:ind w:firstLine="440"/>
      </w:pPr>
      <w:r>
        <w:t>Independientemente del sistema de codificación y del número de los canales fónicos transmitidos el decodificador de sonido suministrará la señal estereofónica a la salida analógica de sonido del receptor digital (si corresponde), a menos que se emita una señal monofónica o dos sonidos. En este caso el decodificador suministrará en ambos canales la señal monofónica elegida.</w:t>
      </w:r>
    </w:p>
    <w:p w:rsidR="00080B05" w:rsidRPr="002200AF" w:rsidRDefault="001A43DE" w:rsidP="002C482D">
      <w:pPr>
        <w:pStyle w:val="Nagwek40"/>
        <w:keepNext/>
        <w:keepLines/>
        <w:widowControl/>
        <w:shd w:val="clear" w:color="auto" w:fill="auto"/>
        <w:tabs>
          <w:tab w:val="left" w:pos="890"/>
        </w:tabs>
        <w:spacing w:after="160"/>
      </w:pPr>
      <w:r>
        <w:t>12. Teletexto y subtítulos DVB</w:t>
      </w:r>
    </w:p>
    <w:p w:rsidR="00080B05" w:rsidRPr="002200AF" w:rsidRDefault="00292458" w:rsidP="002C482D">
      <w:pPr>
        <w:pStyle w:val="Teksttreci0"/>
        <w:widowControl/>
        <w:shd w:val="clear" w:color="auto" w:fill="auto"/>
        <w:spacing w:after="220"/>
        <w:ind w:firstLine="440"/>
      </w:pPr>
      <w:r>
        <w:t>Durante la decodificación de los flujos de audio, vídeo y datos, el receptor digital segrega al mismo tiempo los datos de teletexto que cumplen los requisitos de la norma PN-ETSI EN 300 706 V1.2.1:2005[10] para el nivel 1.5 y que se transmiten en forma de paquetes, de acuerdo con la norma PN-ETSI EN 300 743 V1.6.1:2019-04 [11].</w:t>
      </w:r>
    </w:p>
    <w:p w:rsidR="00080B05" w:rsidRPr="002200AF" w:rsidRDefault="001A43DE" w:rsidP="002C482D">
      <w:pPr>
        <w:pStyle w:val="Teksttreci0"/>
        <w:keepNext/>
        <w:keepLines/>
        <w:widowControl/>
        <w:shd w:val="clear" w:color="auto" w:fill="auto"/>
        <w:tabs>
          <w:tab w:val="left" w:pos="1043"/>
        </w:tabs>
        <w:spacing w:after="160"/>
        <w:ind w:firstLine="440"/>
      </w:pPr>
      <w:r>
        <w:t>12.1.</w:t>
      </w:r>
      <w:r>
        <w:tab/>
        <w:t>Teletexto</w:t>
      </w:r>
    </w:p>
    <w:p w:rsidR="00080B05" w:rsidRPr="002200AF" w:rsidRDefault="00292458" w:rsidP="002C482D">
      <w:pPr>
        <w:pStyle w:val="Teksttreci0"/>
        <w:widowControl/>
        <w:shd w:val="clear" w:color="auto" w:fill="auto"/>
        <w:spacing w:after="120"/>
        <w:ind w:firstLine="440"/>
      </w:pPr>
      <w:r>
        <w:t>El teletexto transmitido mediante flujos digitales decodifica en el receptor de la siguiente forma:</w:t>
      </w:r>
    </w:p>
    <w:p w:rsidR="00080B05" w:rsidRPr="002200AF" w:rsidRDefault="001A43DE" w:rsidP="002C482D">
      <w:pPr>
        <w:pStyle w:val="Teksttreci0"/>
        <w:widowControl/>
        <w:shd w:val="clear" w:color="auto" w:fill="auto"/>
        <w:spacing w:after="120"/>
        <w:ind w:left="440" w:hanging="440"/>
      </w:pPr>
      <w:r>
        <w:t>1)</w:t>
      </w:r>
      <w:r>
        <w:tab/>
        <w:t>a través de un decodificador interno, y deberá proyectarse en el modo de visualización de caracteres y gráfica en pantalla (OSD); o</w:t>
      </w:r>
    </w:p>
    <w:p w:rsidR="00080B05" w:rsidRPr="002200AF" w:rsidRDefault="001A43DE" w:rsidP="002C482D">
      <w:pPr>
        <w:pStyle w:val="Teksttreci0"/>
        <w:widowControl/>
        <w:shd w:val="clear" w:color="auto" w:fill="auto"/>
        <w:spacing w:after="160"/>
        <w:ind w:left="440" w:hanging="440"/>
      </w:pPr>
      <w:r>
        <w:lastRenderedPageBreak/>
        <w:t>2)</w:t>
      </w:r>
      <w:r>
        <w:tab/>
        <w:t>en el caso de STB equipado con una salida análoga, mediante la inserción de datos en líneas seleccionadas durante el período del rango de supresión vertical (VBI), de acuerdo con los requisitos de la norma ETSI EN 300 706 V1.2.1:2005 [10] para el nivel 1.5.</w:t>
      </w:r>
    </w:p>
    <w:p w:rsidR="00080B05" w:rsidRPr="002200AF" w:rsidRDefault="001A43DE" w:rsidP="002C482D">
      <w:pPr>
        <w:pStyle w:val="Teksttreci0"/>
        <w:keepNext/>
        <w:keepLines/>
        <w:widowControl/>
        <w:shd w:val="clear" w:color="auto" w:fill="auto"/>
        <w:tabs>
          <w:tab w:val="left" w:pos="1035"/>
        </w:tabs>
        <w:ind w:firstLine="440"/>
      </w:pPr>
      <w:r>
        <w:t>12.2.</w:t>
      </w:r>
      <w:r>
        <w:tab/>
        <w:t>Subtítulos DVB</w:t>
      </w:r>
    </w:p>
    <w:p w:rsidR="00080B05" w:rsidRPr="002200AF" w:rsidRDefault="00292458" w:rsidP="002C482D">
      <w:pPr>
        <w:pStyle w:val="Teksttreci0"/>
        <w:widowControl/>
        <w:shd w:val="clear" w:color="auto" w:fill="auto"/>
        <w:ind w:firstLine="440"/>
      </w:pPr>
      <w:r>
        <w:t>El receptor digital decodificará y proyectará los subtítulos transmitidos de acuerdo con las normas de interoperabilidad descritas en el punto 7.3 y con el suplemento B.4 de la norma ETSI PN-EN 300 743 V1.6.1:2019-04 [11].</w:t>
      </w:r>
    </w:p>
    <w:p w:rsidR="00080B05" w:rsidRPr="002200AF" w:rsidRDefault="00292458" w:rsidP="002C482D">
      <w:pPr>
        <w:pStyle w:val="Teksttreci0"/>
        <w:widowControl/>
        <w:shd w:val="clear" w:color="auto" w:fill="auto"/>
        <w:ind w:firstLine="440"/>
      </w:pPr>
      <w:r>
        <w:t>La decodificación de teletexto y de subtítulos DVB recibidos de forma simultánea será controlada por el usuario.</w:t>
      </w:r>
    </w:p>
    <w:p w:rsidR="00080B05" w:rsidRPr="002200AF" w:rsidRDefault="001A43DE" w:rsidP="002C482D">
      <w:pPr>
        <w:pStyle w:val="Nagwek40"/>
        <w:keepNext/>
        <w:keepLines/>
        <w:widowControl/>
        <w:shd w:val="clear" w:color="auto" w:fill="auto"/>
        <w:tabs>
          <w:tab w:val="left" w:pos="881"/>
        </w:tabs>
      </w:pPr>
      <w:r>
        <w:t>13. HFR (si existe en el receptor)</w:t>
      </w:r>
    </w:p>
    <w:p w:rsidR="00080B05" w:rsidRPr="002200AF" w:rsidRDefault="00292458" w:rsidP="002C482D">
      <w:pPr>
        <w:pStyle w:val="Teksttreci0"/>
        <w:widowControl/>
        <w:shd w:val="clear" w:color="auto" w:fill="auto"/>
        <w:ind w:firstLine="440"/>
      </w:pPr>
      <w:r>
        <w:t>Para un receptor de UHDTV, que permita proyectar imágenes en la técnica HFR se requiere el uso de la decodificación de flujos según perfiles (definidos en la recomendación ITU-T H.265 [24]) Main Profile, Main 10 Profile y Main Tier: el HEVC HDR HFR UHDTV IRD, que utiliza HLG10, así como HEVC HDR HFR UHDTV IRD, que utiliza PQ10, con las restricciones indicadas en la ETSI TS 101 154 [15] parte 5.14.5.</w:t>
      </w:r>
    </w:p>
    <w:p w:rsidR="00080B05" w:rsidRPr="002200AF" w:rsidRDefault="001A43DE" w:rsidP="002C482D">
      <w:pPr>
        <w:pStyle w:val="Nagwek40"/>
        <w:keepNext/>
        <w:keepLines/>
        <w:widowControl/>
        <w:shd w:val="clear" w:color="auto" w:fill="auto"/>
        <w:tabs>
          <w:tab w:val="left" w:pos="881"/>
        </w:tabs>
      </w:pPr>
      <w:r>
        <w:t>14. Televisión híbrida (HbbTV, si existe en el receptor)</w:t>
      </w:r>
    </w:p>
    <w:p w:rsidR="00080B05" w:rsidRPr="002200AF" w:rsidRDefault="00292458" w:rsidP="002C482D">
      <w:pPr>
        <w:pStyle w:val="Teksttreci0"/>
        <w:widowControl/>
        <w:shd w:val="clear" w:color="auto" w:fill="auto"/>
        <w:ind w:firstLine="440"/>
      </w:pPr>
      <w:r>
        <w:t>Si el receptor permite utilizar la televisión híbrida HbbTV, permitirá utilizar la versión 2.0.2, de acuerdo con la norma ETSI TS 102 796 [18] en la versión V1.5.1 (2018-09) o posterior. La HbbTV está habilitada de forma predeterminada en el momento de la compra del receptor digital, siempre que este esté equipado con dicho servicio. Se requiere que el usuario pueda habilitar y deshabilitar con facilidad la función de HbbTV.</w:t>
      </w:r>
    </w:p>
    <w:p w:rsidR="00080B05" w:rsidRPr="002200AF" w:rsidRDefault="00292458" w:rsidP="002C482D">
      <w:pPr>
        <w:pStyle w:val="Teksttreci0"/>
        <w:widowControl/>
        <w:shd w:val="clear" w:color="auto" w:fill="auto"/>
        <w:ind w:firstLine="440"/>
      </w:pPr>
      <w:r>
        <w:t>El receptor de HbbTV recibirá y ejecutará correctamente las aplicaciones de programación (API) conformes a la HbbTV, según la ETSI TS 102 796 [18] en la versión V1.5.1 (2018-09) o posterior.</w:t>
      </w:r>
    </w:p>
    <w:p w:rsidR="00080B05" w:rsidRPr="002200AF" w:rsidRDefault="001A43DE" w:rsidP="002C482D">
      <w:pPr>
        <w:pStyle w:val="Nagwek40"/>
        <w:keepNext/>
        <w:keepLines/>
        <w:widowControl/>
        <w:shd w:val="clear" w:color="auto" w:fill="auto"/>
        <w:tabs>
          <w:tab w:val="left" w:pos="881"/>
        </w:tabs>
      </w:pPr>
      <w:r>
        <w:t xml:space="preserve">15. Actualización remota del </w:t>
      </w:r>
      <w:r>
        <w:rPr>
          <w:i/>
          <w:iCs/>
        </w:rPr>
        <w:t>software</w:t>
      </w:r>
    </w:p>
    <w:p w:rsidR="00080B05" w:rsidRPr="002200AF" w:rsidRDefault="00292458" w:rsidP="002C482D">
      <w:pPr>
        <w:pStyle w:val="Teksttreci0"/>
        <w:widowControl/>
        <w:shd w:val="clear" w:color="auto" w:fill="auto"/>
        <w:ind w:firstLine="440"/>
      </w:pPr>
      <w:r>
        <w:t xml:space="preserve">El receptor digital permite actualizar el software del sistema para el mantenimiento del receptor. El método de actualización del </w:t>
      </w:r>
      <w:r>
        <w:rPr>
          <w:i/>
          <w:iCs/>
        </w:rPr>
        <w:t>software</w:t>
      </w:r>
      <w:r>
        <w:t xml:space="preserve"> será de competencia del fabricante del receptor, debiendo ser uno de los que se enumeran a continuación:</w:t>
      </w:r>
    </w:p>
    <w:p w:rsidR="00080B05" w:rsidRPr="002200AF" w:rsidRDefault="001A43DE" w:rsidP="002C482D">
      <w:pPr>
        <w:pStyle w:val="Teksttreci0"/>
        <w:widowControl/>
        <w:shd w:val="clear" w:color="auto" w:fill="auto"/>
        <w:ind w:left="440" w:hanging="440"/>
      </w:pPr>
      <w:r>
        <w:t>1)</w:t>
      </w:r>
      <w:r>
        <w:tab/>
        <w:t>mediante el soporte de memoria conectado al puerto USB;</w:t>
      </w:r>
    </w:p>
    <w:p w:rsidR="00080B05" w:rsidRPr="002200AF" w:rsidRDefault="001A43DE" w:rsidP="002C482D">
      <w:pPr>
        <w:pStyle w:val="Teksttreci0"/>
        <w:widowControl/>
        <w:shd w:val="clear" w:color="auto" w:fill="auto"/>
        <w:ind w:left="440" w:hanging="440"/>
      </w:pPr>
      <w:r>
        <w:t>2)</w:t>
      </w:r>
      <w:r>
        <w:tab/>
        <w:t>a través de internet (en el caso de los receptores interactivos que permitan el uso de los servicios de la televisión interactiva a través de internet);</w:t>
      </w:r>
    </w:p>
    <w:p w:rsidR="00080B05" w:rsidRPr="002200AF" w:rsidRDefault="001A43DE" w:rsidP="002C482D">
      <w:pPr>
        <w:pStyle w:val="Teksttreci0"/>
        <w:widowControl/>
        <w:shd w:val="clear" w:color="auto" w:fill="auto"/>
        <w:tabs>
          <w:tab w:val="left" w:pos="424"/>
        </w:tabs>
        <w:ind w:left="440" w:hanging="440"/>
      </w:pPr>
      <w:r>
        <w:t>3)</w:t>
      </w:r>
      <w:r>
        <w:tab/>
        <w:t>a través de DVB-SSU, de acuerdo con la ETSI TS 102 006 [16].</w:t>
      </w:r>
    </w:p>
    <w:p w:rsidR="00080B05" w:rsidRPr="002200AF" w:rsidRDefault="001A43DE" w:rsidP="002C482D">
      <w:pPr>
        <w:pStyle w:val="Nagwek40"/>
        <w:keepNext/>
        <w:keepLines/>
        <w:widowControl/>
        <w:shd w:val="clear" w:color="auto" w:fill="auto"/>
        <w:tabs>
          <w:tab w:val="left" w:pos="881"/>
        </w:tabs>
      </w:pPr>
      <w:r>
        <w:t>16. Interfaces del receptor digital</w:t>
      </w:r>
    </w:p>
    <w:p w:rsidR="00080B05" w:rsidRPr="002200AF" w:rsidRDefault="001A43DE" w:rsidP="002C482D">
      <w:pPr>
        <w:pStyle w:val="Teksttreci0"/>
        <w:keepNext/>
        <w:keepLines/>
        <w:widowControl/>
        <w:shd w:val="clear" w:color="auto" w:fill="auto"/>
        <w:tabs>
          <w:tab w:val="left" w:pos="1035"/>
        </w:tabs>
        <w:ind w:firstLine="440"/>
      </w:pPr>
      <w:r>
        <w:t>16.1.</w:t>
      </w:r>
      <w:r>
        <w:tab/>
        <w:t>Interfaz de la señal de alta frecuencia:</w:t>
      </w:r>
    </w:p>
    <w:p w:rsidR="00080B05" w:rsidRPr="002200AF" w:rsidRDefault="00292458" w:rsidP="002C482D">
      <w:pPr>
        <w:pStyle w:val="Teksttreci0"/>
        <w:widowControl/>
        <w:shd w:val="clear" w:color="auto" w:fill="auto"/>
        <w:ind w:firstLine="440"/>
      </w:pPr>
      <w:r>
        <w:t>El receptor digital estará equipado con un conector IEC, de acuerdo con la norma PN-EN 61169-2:2007 [6]. La impedancia de entrada es de 75 Q.</w:t>
      </w:r>
    </w:p>
    <w:p w:rsidR="00080B05" w:rsidRPr="002200AF" w:rsidRDefault="001A43DE" w:rsidP="002C482D">
      <w:pPr>
        <w:pStyle w:val="Teksttreci0"/>
        <w:keepNext/>
        <w:keepLines/>
        <w:widowControl/>
        <w:shd w:val="clear" w:color="auto" w:fill="auto"/>
        <w:tabs>
          <w:tab w:val="left" w:pos="1035"/>
        </w:tabs>
        <w:ind w:firstLine="440"/>
      </w:pPr>
      <w:r>
        <w:t>16.2.</w:t>
      </w:r>
      <w:r>
        <w:tab/>
        <w:t>Interfaz digital</w:t>
      </w:r>
    </w:p>
    <w:p w:rsidR="00080B05" w:rsidRPr="002200AF" w:rsidRDefault="00292458" w:rsidP="002C482D">
      <w:pPr>
        <w:pStyle w:val="Teksttreci0"/>
        <w:widowControl/>
        <w:shd w:val="clear" w:color="auto" w:fill="auto"/>
        <w:ind w:firstLine="440"/>
      </w:pPr>
      <w:r>
        <w:t>El receptor integrado (iDTV) estará equipado con un conector HDMI hembra de tipo A, de acuerdo con High-Definition Multimedia Interface [30], protegido con HDCP, de acuerdo con High-Bandwidth Digital Content Protection System [28]. En el caso de un STB, el conector HDMI hembra estará equipado con la función de salida de señal a la pantalla de visualización. En el caso de un receptor integrado (iDTV) que permite proyectar imágenes UHD se requiere el estándar HDMI 2.1, de acuerdo con High-Definition Multimedia Interface, Version 2.1 [31] con el uso de HDR y ARC, así como HDCP 2.2, de acuerdo con High-bandwidth Digital Content Protection System, Mapping HDCP to HDMI, Revision 2.2 [29]. El requisito de disponer del conector HDMI hembra no se aplicará a los receptores integrados (iDTV) que incluyan un proyector de imagen con una diagonal igual o inferior a 30 cm.</w:t>
      </w:r>
    </w:p>
    <w:p w:rsidR="00080B05" w:rsidRPr="002200AF" w:rsidRDefault="001A43DE" w:rsidP="002C482D">
      <w:pPr>
        <w:pStyle w:val="Nagwek40"/>
        <w:keepNext/>
        <w:keepLines/>
        <w:widowControl/>
        <w:shd w:val="clear" w:color="auto" w:fill="auto"/>
        <w:tabs>
          <w:tab w:val="left" w:pos="881"/>
        </w:tabs>
      </w:pPr>
      <w:r>
        <w:t>17. Alimentación del receptor digital</w:t>
      </w:r>
    </w:p>
    <w:p w:rsidR="00080B05" w:rsidRPr="002200AF" w:rsidRDefault="00292458" w:rsidP="002C482D">
      <w:pPr>
        <w:pStyle w:val="Teksttreci0"/>
        <w:keepNext/>
        <w:keepLines/>
        <w:widowControl/>
        <w:shd w:val="clear" w:color="auto" w:fill="auto"/>
        <w:ind w:firstLine="440"/>
      </w:pPr>
      <w:r>
        <w:t>La alimentación del receptor digital deberá cumplir los siguientes requisitos:</w:t>
      </w:r>
    </w:p>
    <w:p w:rsidR="00080B05" w:rsidRPr="002200AF" w:rsidRDefault="001A43DE" w:rsidP="002C482D">
      <w:pPr>
        <w:pStyle w:val="Teksttreci0"/>
        <w:widowControl/>
        <w:shd w:val="clear" w:color="auto" w:fill="auto"/>
        <w:tabs>
          <w:tab w:val="left" w:pos="424"/>
        </w:tabs>
        <w:ind w:left="440" w:hanging="440"/>
      </w:pPr>
      <w:r>
        <w:t>1)</w:t>
      </w:r>
      <w:r>
        <w:tab/>
        <w:t>voltaje: 230 V ± 10 %, según la norma PN-EN 60038:2012 [4];</w:t>
      </w:r>
    </w:p>
    <w:p w:rsidR="00080B05" w:rsidRPr="002200AF" w:rsidRDefault="001A43DE" w:rsidP="002C482D">
      <w:pPr>
        <w:pStyle w:val="Teksttreci0"/>
        <w:widowControl/>
        <w:shd w:val="clear" w:color="auto" w:fill="auto"/>
        <w:tabs>
          <w:tab w:val="left" w:pos="424"/>
        </w:tabs>
        <w:ind w:left="440" w:hanging="440"/>
      </w:pPr>
      <w:r>
        <w:t>2)</w:t>
      </w:r>
      <w:r>
        <w:tab/>
        <w:t>frecuencia: 47-53 Hz, según la norma PN-EN 50160:2010 [3].</w:t>
      </w:r>
    </w:p>
    <w:sectPr w:rsidR="00080B05" w:rsidRPr="002200AF" w:rsidSect="002C482D">
      <w:headerReference w:type="default" r:id="rId19"/>
      <w:headerReference w:type="first" r:id="rId20"/>
      <w:footnotePr>
        <w:numRestart w:val="eachPage"/>
      </w:footnotePr>
      <w:pgSz w:w="11900" w:h="16840"/>
      <w:pgMar w:top="1440" w:right="994" w:bottom="994" w:left="994" w:header="806" w:footer="562"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9D5" w:rsidRDefault="000339D5">
      <w:r>
        <w:separator/>
      </w:r>
    </w:p>
  </w:endnote>
  <w:endnote w:type="continuationSeparator" w:id="0">
    <w:p w:rsidR="000339D5" w:rsidRDefault="00033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9D5" w:rsidRDefault="000339D5">
      <w:r>
        <w:separator/>
      </w:r>
    </w:p>
  </w:footnote>
  <w:footnote w:type="continuationSeparator" w:id="0">
    <w:p w:rsidR="000339D5" w:rsidRDefault="000339D5">
      <w:r>
        <w:continuationSeparator/>
      </w:r>
    </w:p>
  </w:footnote>
  <w:footnote w:id="1">
    <w:p w:rsidR="00080B05" w:rsidRDefault="00292458" w:rsidP="002200AF">
      <w:pPr>
        <w:pStyle w:val="Stopka1"/>
        <w:shd w:val="clear" w:color="auto" w:fill="auto"/>
        <w:tabs>
          <w:tab w:val="left" w:pos="281"/>
        </w:tabs>
      </w:pPr>
      <w:r>
        <w:rPr>
          <w:sz w:val="12"/>
          <w:szCs w:val="12"/>
          <w:vertAlign w:val="superscript"/>
        </w:rPr>
        <w:footnoteRef/>
      </w:r>
      <w:r>
        <w:rPr>
          <w:sz w:val="12"/>
        </w:rPr>
        <w:tab/>
      </w:r>
      <w:r>
        <w:t>El Ministro de Digitalización dirige el Departamento de Administración pública de digitalización, de acuerdo con el artículo 1, apartado 2, del Reglamento del Presidente del Consejo de Ministros, de 20 de abril de 2018, relativo al ámbito de actuación específico del Ministro de Digitalización (Boletín Oficial de la República de Polonia, punto 761).</w:t>
      </w:r>
    </w:p>
  </w:footnote>
  <w:footnote w:id="2">
    <w:p w:rsidR="00080B05" w:rsidRDefault="00292458">
      <w:pPr>
        <w:pStyle w:val="Stopka1"/>
        <w:shd w:val="clear" w:color="auto" w:fill="auto"/>
        <w:tabs>
          <w:tab w:val="left" w:pos="281"/>
        </w:tabs>
      </w:pPr>
      <w:r>
        <w:rPr>
          <w:sz w:val="12"/>
          <w:szCs w:val="12"/>
          <w:vertAlign w:val="superscript"/>
        </w:rPr>
        <w:footnoteRef/>
      </w:r>
      <w:r>
        <w:rPr>
          <w:sz w:val="12"/>
        </w:rPr>
        <w:tab/>
      </w:r>
      <w:r>
        <w:t>El presente Reglamento se notificó a la Comisión Europea el 15 de mayo de 2019 con el número 2019/213/PL, de acuerdo con el artículo 4, del Reglamento del Consejo de Ministros, de 23 de diciembre de 2002, relativo al método de funcionamiento del sistema nacional de notificación de normas y actos jurídicos (Boletín Oficial de la República de Polonia, punto 2039, así como de 2004, punto 597), que transpone la Directiva (UE) 2015/1535 del Parlamento Europeo y del Consejo, de 9 de septiembre de 2015, por la que se establece un procedimiento de información en materia de reglamentaciones técnicas y de reglas relativas a los servicios de la sociedad de la información (DO L 241 de 17.9.2015, p. 1).</w:t>
      </w:r>
    </w:p>
  </w:footnote>
  <w:footnote w:id="3">
    <w:p w:rsidR="00080B05" w:rsidRDefault="00292458" w:rsidP="002200AF">
      <w:pPr>
        <w:pStyle w:val="Stopka1"/>
        <w:shd w:val="clear" w:color="auto" w:fill="auto"/>
        <w:tabs>
          <w:tab w:val="left" w:pos="281"/>
        </w:tabs>
      </w:pPr>
      <w:r>
        <w:rPr>
          <w:sz w:val="12"/>
          <w:szCs w:val="12"/>
          <w:vertAlign w:val="superscript"/>
        </w:rPr>
        <w:footnoteRef/>
      </w:r>
      <w:r>
        <w:rPr>
          <w:sz w:val="12"/>
        </w:rPr>
        <w:tab/>
      </w:r>
      <w:r>
        <w:t>Las modificaciones del texto final de la mencionada Ley se publicaron en el Boletín Oficial de la República de Polonia de 2018, puntos 2245 y 2354, así como de 2019, puntos 643, 730, 1030, 1553, 1815 y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332"/>
      <w:gridCol w:w="3333"/>
      <w:gridCol w:w="3333"/>
    </w:tblGrid>
    <w:tr w:rsidR="002200AF" w:rsidTr="002200AF">
      <w:tc>
        <w:tcPr>
          <w:tcW w:w="1666" w:type="pct"/>
        </w:tcPr>
        <w:p w:rsidR="002200AF" w:rsidRPr="002200AF" w:rsidRDefault="002200AF" w:rsidP="002200AF">
          <w:pPr>
            <w:pStyle w:val="Nagweklubstopka20"/>
            <w:widowControl/>
            <w:shd w:val="clear" w:color="auto" w:fill="auto"/>
            <w:spacing w:before="20" w:after="20"/>
            <w:jc w:val="both"/>
          </w:pPr>
          <w:r>
            <w:t>Diario Oficial</w:t>
          </w:r>
        </w:p>
      </w:tc>
      <w:tc>
        <w:tcPr>
          <w:tcW w:w="1667" w:type="pct"/>
        </w:tcPr>
        <w:p w:rsidR="002200AF" w:rsidRPr="002200AF" w:rsidRDefault="002200AF" w:rsidP="002200AF">
          <w:pPr>
            <w:pStyle w:val="Nagweklubstopka20"/>
            <w:widowControl/>
            <w:shd w:val="clear" w:color="auto" w:fill="auto"/>
            <w:spacing w:before="20" w:after="20"/>
            <w:jc w:val="center"/>
          </w:pPr>
          <w:r>
            <w:t xml:space="preserve">- </w:t>
          </w:r>
          <w:r w:rsidRPr="002200AF">
            <w:fldChar w:fldCharType="begin"/>
          </w:r>
          <w:r w:rsidRPr="002200AF">
            <w:instrText xml:space="preserve"> PAGE \* MERGEFORMAT </w:instrText>
          </w:r>
          <w:r w:rsidRPr="002200AF">
            <w:fldChar w:fldCharType="separate"/>
          </w:r>
          <w:r w:rsidR="00DC6206">
            <w:rPr>
              <w:noProof/>
            </w:rPr>
            <w:t>7</w:t>
          </w:r>
          <w:r w:rsidRPr="002200AF">
            <w:fldChar w:fldCharType="end"/>
          </w:r>
          <w:r>
            <w:t xml:space="preserve"> -</w:t>
          </w:r>
        </w:p>
      </w:tc>
      <w:tc>
        <w:tcPr>
          <w:tcW w:w="1667" w:type="pct"/>
        </w:tcPr>
        <w:p w:rsidR="002200AF" w:rsidRDefault="002200AF" w:rsidP="002200AF">
          <w:pPr>
            <w:pStyle w:val="Nagweklubstopka20"/>
            <w:widowControl/>
            <w:shd w:val="clear" w:color="auto" w:fill="auto"/>
            <w:spacing w:before="20" w:after="20"/>
            <w:jc w:val="right"/>
          </w:pPr>
          <w:r>
            <w:t>Punto 2125</w:t>
          </w:r>
        </w:p>
      </w:tc>
    </w:tr>
  </w:tbl>
  <w:p w:rsidR="002200AF" w:rsidRDefault="002200AF" w:rsidP="002200AF">
    <w:pPr>
      <w:pStyle w:val="Nagweklubstopka20"/>
      <w:shd w:val="clear" w:color="auto" w:fill="auto"/>
      <w:tabs>
        <w:tab w:val="right" w:pos="5165"/>
        <w:tab w:val="right" w:pos="9869"/>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AF" w:rsidRDefault="002200AF" w:rsidP="00960F69">
    <w:pPr>
      <w:pStyle w:val="Teksttreci30"/>
      <w:shd w:val="clear" w:color="auto" w:fill="auto"/>
      <w:spacing w:line="264" w:lineRule="auto"/>
      <w:ind w:left="8827"/>
    </w:pPr>
    <w:r>
      <w:rPr>
        <w:noProof/>
        <w:lang w:val="en-US" w:eastAsia="en-US" w:bidi="hi-IN"/>
      </w:rPr>
      <w:drawing>
        <wp:anchor distT="0" distB="0" distL="114300" distR="114300" simplePos="0" relativeHeight="251661312" behindDoc="0" locked="0" layoutInCell="1" allowOverlap="1">
          <wp:simplePos x="0" y="0"/>
          <wp:positionH relativeFrom="column">
            <wp:posOffset>4963160</wp:posOffset>
          </wp:positionH>
          <wp:positionV relativeFrom="paragraph">
            <wp:posOffset>-19050</wp:posOffset>
          </wp:positionV>
          <wp:extent cx="609524" cy="600000"/>
          <wp:effectExtent l="0" t="0" r="63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9524" cy="600000"/>
                  </a:xfrm>
                  <a:prstGeom prst="rect">
                    <a:avLst/>
                  </a:prstGeom>
                </pic:spPr>
              </pic:pic>
            </a:graphicData>
          </a:graphic>
          <wp14:sizeRelH relativeFrom="page">
            <wp14:pctWidth>0</wp14:pctWidth>
          </wp14:sizeRelH>
          <wp14:sizeRelV relativeFrom="page">
            <wp14:pctHeight>0</wp14:pctHeight>
          </wp14:sizeRelV>
        </wp:anchor>
      </w:drawing>
    </w:r>
    <w:r>
      <w:t>Documento firmado por Krzysztof Madei</w:t>
    </w:r>
  </w:p>
  <w:p w:rsidR="002200AF" w:rsidRPr="002200AF" w:rsidRDefault="002200AF" w:rsidP="00960F69">
    <w:pPr>
      <w:pStyle w:val="Teksttreci30"/>
      <w:shd w:val="clear" w:color="auto" w:fill="auto"/>
      <w:spacing w:line="264" w:lineRule="auto"/>
      <w:ind w:left="8827"/>
    </w:pPr>
    <w:r>
      <w:t>Fecha: 2019.11.04 15:36:48 CET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C7373"/>
    <w:multiLevelType w:val="multilevel"/>
    <w:tmpl w:val="9CF04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5F4BA8"/>
    <w:multiLevelType w:val="multilevel"/>
    <w:tmpl w:val="7F4A9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2B5555"/>
    <w:multiLevelType w:val="multilevel"/>
    <w:tmpl w:val="DC22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5037889"/>
    <w:multiLevelType w:val="multilevel"/>
    <w:tmpl w:val="032E4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D324CD"/>
    <w:multiLevelType w:val="multilevel"/>
    <w:tmpl w:val="2FA415FC"/>
    <w:lvl w:ilvl="0">
      <w:start w:val="2"/>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621264"/>
    <w:multiLevelType w:val="multilevel"/>
    <w:tmpl w:val="8A2064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7E7232"/>
    <w:multiLevelType w:val="multilevel"/>
    <w:tmpl w:val="528070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2"/>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6"/>
  <w:hyphenationZone w:val="425"/>
  <w:doNotHyphenateCaps/>
  <w:drawingGridHorizontalSpacing w:val="181"/>
  <w:drawingGridVerticalSpacing w:val="181"/>
  <w:characterSpacingControl w:val="compressPunctuation"/>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
  <w:rsids>
    <w:rsidRoot w:val="00080B05"/>
    <w:rsid w:val="000339D5"/>
    <w:rsid w:val="00080B05"/>
    <w:rsid w:val="000B6112"/>
    <w:rsid w:val="001A43DE"/>
    <w:rsid w:val="002200AF"/>
    <w:rsid w:val="00292458"/>
    <w:rsid w:val="002C482D"/>
    <w:rsid w:val="0033633B"/>
    <w:rsid w:val="004743A8"/>
    <w:rsid w:val="00617C9D"/>
    <w:rsid w:val="00684636"/>
    <w:rsid w:val="007F4DF4"/>
    <w:rsid w:val="00960F69"/>
    <w:rsid w:val="009E5E33"/>
    <w:rsid w:val="00AE0F11"/>
    <w:rsid w:val="00AE4595"/>
    <w:rsid w:val="00B50F5C"/>
    <w:rsid w:val="00DC6206"/>
    <w:rsid w:val="00F40A2E"/>
  </w:rsids>
  <m:mathPr>
    <m:mathFont m:val="Cambria Math"/>
    <m:brkBin m:val="before"/>
    <m:brkBinSub m:val="--"/>
    <m:smallFrac m:val="0"/>
    <m:dispDef/>
    <m:lMargin m:val="0"/>
    <m:rMargin m:val="0"/>
    <m:defJc m:val="centerGroup"/>
    <m:wrapIndent m:val="1440"/>
    <m:intLim m:val="subSup"/>
    <m:naryLim m:val="undOvr"/>
  </m:mathPr>
  <w:themeFontLang w:val="pl-PL"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F13D50-D030-4588-BC2F-F647B79F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s-ES"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pka">
    <w:name w:val="Stopka_"/>
    <w:basedOn w:val="DefaultParagraphFont"/>
    <w:link w:val="Stopka1"/>
    <w:rPr>
      <w:rFonts w:ascii="Times New Roman" w:eastAsia="Times New Roman" w:hAnsi="Times New Roman" w:cs="Times New Roman"/>
      <w:b w:val="0"/>
      <w:bCs w:val="0"/>
      <w:i w:val="0"/>
      <w:iCs w:val="0"/>
      <w:smallCaps w:val="0"/>
      <w:strike w:val="0"/>
      <w:sz w:val="18"/>
      <w:szCs w:val="18"/>
      <w:u w:val="none"/>
    </w:rPr>
  </w:style>
  <w:style w:type="character" w:customStyle="1" w:styleId="Podpisobrazu">
    <w:name w:val="Podpis obrazu_"/>
    <w:basedOn w:val="DefaultParagraphFont"/>
    <w:link w:val="Podpisobrazu0"/>
    <w:rPr>
      <w:rFonts w:ascii="Times New Roman" w:eastAsia="Times New Roman" w:hAnsi="Times New Roman" w:cs="Times New Roman"/>
      <w:b w:val="0"/>
      <w:bCs w:val="0"/>
      <w:i w:val="0"/>
      <w:iCs w:val="0"/>
      <w:smallCaps w:val="0"/>
      <w:strike w:val="0"/>
      <w:color w:val="EBEBEB"/>
      <w:sz w:val="18"/>
      <w:szCs w:val="18"/>
      <w:u w:val="none"/>
    </w:rPr>
  </w:style>
  <w:style w:type="character" w:customStyle="1" w:styleId="Teksttreci3">
    <w:name w:val="Tekst treści (3)_"/>
    <w:basedOn w:val="DefaultParagraphFont"/>
    <w:link w:val="Teksttreci30"/>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efaultParagraphFont"/>
    <w:link w:val="Nagwek10"/>
    <w:rPr>
      <w:rFonts w:ascii="Times New Roman" w:eastAsia="Times New Roman" w:hAnsi="Times New Roman" w:cs="Times New Roman"/>
      <w:b w:val="0"/>
      <w:bCs w:val="0"/>
      <w:i w:val="0"/>
      <w:iCs w:val="0"/>
      <w:smallCaps w:val="0"/>
      <w:strike w:val="0"/>
      <w:sz w:val="94"/>
      <w:szCs w:val="94"/>
      <w:u w:val="none"/>
    </w:rPr>
  </w:style>
  <w:style w:type="character" w:customStyle="1" w:styleId="Nagwek2">
    <w:name w:val="Nagłówek #2_"/>
    <w:basedOn w:val="DefaultParagraphFont"/>
    <w:link w:val="Nagwek20"/>
    <w:rPr>
      <w:rFonts w:ascii="Times New Roman" w:eastAsia="Times New Roman" w:hAnsi="Times New Roman" w:cs="Times New Roman"/>
      <w:b w:val="0"/>
      <w:bCs w:val="0"/>
      <w:i w:val="0"/>
      <w:iCs w:val="0"/>
      <w:smallCaps w:val="0"/>
      <w:strike w:val="0"/>
      <w:sz w:val="54"/>
      <w:szCs w:val="54"/>
      <w:u w:val="single"/>
    </w:rPr>
  </w:style>
  <w:style w:type="character" w:customStyle="1" w:styleId="Nagwek3">
    <w:name w:val="Nagłówek #3_"/>
    <w:basedOn w:val="DefaultParagraphFont"/>
    <w:link w:val="Nagwek30"/>
    <w:rPr>
      <w:rFonts w:ascii="Times New Roman" w:eastAsia="Times New Roman" w:hAnsi="Times New Roman" w:cs="Times New Roman"/>
      <w:b w:val="0"/>
      <w:bCs w:val="0"/>
      <w:i w:val="0"/>
      <w:iCs w:val="0"/>
      <w:smallCaps w:val="0"/>
      <w:strike w:val="0"/>
      <w:sz w:val="28"/>
      <w:szCs w:val="28"/>
      <w:u w:val="none"/>
    </w:rPr>
  </w:style>
  <w:style w:type="character" w:customStyle="1" w:styleId="Teksttreci">
    <w:name w:val="Tekst treści_"/>
    <w:basedOn w:val="DefaultParagraphFont"/>
    <w:link w:val="Teksttreci0"/>
    <w:rPr>
      <w:rFonts w:ascii="Times New Roman" w:eastAsia="Times New Roman" w:hAnsi="Times New Roman" w:cs="Times New Roman"/>
      <w:b w:val="0"/>
      <w:bCs w:val="0"/>
      <w:i w:val="0"/>
      <w:iCs w:val="0"/>
      <w:smallCaps w:val="0"/>
      <w:strike w:val="0"/>
      <w:sz w:val="20"/>
      <w:szCs w:val="20"/>
      <w:u w:val="none"/>
    </w:rPr>
  </w:style>
  <w:style w:type="character" w:customStyle="1" w:styleId="Nagwek4">
    <w:name w:val="Nagłówek #4_"/>
    <w:basedOn w:val="DefaultParagraphFont"/>
    <w:link w:val="Nagwek40"/>
    <w:rPr>
      <w:rFonts w:ascii="Times New Roman" w:eastAsia="Times New Roman" w:hAnsi="Times New Roman" w:cs="Times New Roman"/>
      <w:b/>
      <w:bCs/>
      <w:i w:val="0"/>
      <w:iCs w:val="0"/>
      <w:smallCaps w:val="0"/>
      <w:strike w:val="0"/>
      <w:sz w:val="20"/>
      <w:szCs w:val="20"/>
      <w:u w:val="none"/>
    </w:rPr>
  </w:style>
  <w:style w:type="character" w:customStyle="1" w:styleId="Teksttreci2">
    <w:name w:val="Tekst treści (2)_"/>
    <w:basedOn w:val="DefaultParagraphFont"/>
    <w:link w:val="Teksttreci20"/>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2">
    <w:name w:val="Nagłówek lub stopka (2)_"/>
    <w:basedOn w:val="DefaultParagraphFont"/>
    <w:link w:val="Nagweklubstopka20"/>
    <w:rPr>
      <w:rFonts w:ascii="Times New Roman" w:eastAsia="Times New Roman" w:hAnsi="Times New Roman" w:cs="Times New Roman"/>
      <w:b w:val="0"/>
      <w:bCs w:val="0"/>
      <w:i w:val="0"/>
      <w:iCs w:val="0"/>
      <w:smallCaps w:val="0"/>
      <w:strike w:val="0"/>
      <w:sz w:val="20"/>
      <w:szCs w:val="20"/>
      <w:u w:val="none"/>
    </w:rPr>
  </w:style>
  <w:style w:type="paragraph" w:customStyle="1" w:styleId="Stopka1">
    <w:name w:val="Stopka1"/>
    <w:basedOn w:val="Normal"/>
    <w:link w:val="Stopka"/>
    <w:pPr>
      <w:shd w:val="clear" w:color="auto" w:fill="FFFFFF"/>
      <w:spacing w:line="259" w:lineRule="auto"/>
      <w:ind w:left="300" w:hanging="300"/>
      <w:jc w:val="both"/>
    </w:pPr>
    <w:rPr>
      <w:rFonts w:ascii="Times New Roman" w:eastAsia="Times New Roman" w:hAnsi="Times New Roman" w:cs="Times New Roman"/>
      <w:sz w:val="18"/>
      <w:szCs w:val="18"/>
    </w:rPr>
  </w:style>
  <w:style w:type="paragraph" w:customStyle="1" w:styleId="Podpisobrazu0">
    <w:name w:val="Podpis obrazu"/>
    <w:basedOn w:val="Normal"/>
    <w:link w:val="Podpisobrazu"/>
    <w:pPr>
      <w:shd w:val="clear" w:color="auto" w:fill="FFFFFF"/>
    </w:pPr>
    <w:rPr>
      <w:rFonts w:ascii="Times New Roman" w:eastAsia="Times New Roman" w:hAnsi="Times New Roman" w:cs="Times New Roman"/>
      <w:color w:val="EBEBEB"/>
      <w:sz w:val="18"/>
      <w:szCs w:val="18"/>
    </w:rPr>
  </w:style>
  <w:style w:type="paragraph" w:customStyle="1" w:styleId="Teksttreci30">
    <w:name w:val="Tekst treści (3)"/>
    <w:basedOn w:val="Normal"/>
    <w:link w:val="Teksttreci3"/>
    <w:pPr>
      <w:shd w:val="clear" w:color="auto" w:fill="FFFFFF"/>
      <w:spacing w:line="206" w:lineRule="auto"/>
    </w:pPr>
    <w:rPr>
      <w:rFonts w:ascii="Times New Roman" w:eastAsia="Times New Roman" w:hAnsi="Times New Roman" w:cs="Times New Roman"/>
      <w:sz w:val="13"/>
      <w:szCs w:val="13"/>
    </w:rPr>
  </w:style>
  <w:style w:type="paragraph" w:customStyle="1" w:styleId="Nagwek10">
    <w:name w:val="Nagłówek #1"/>
    <w:basedOn w:val="Normal"/>
    <w:link w:val="Nagwek1"/>
    <w:pPr>
      <w:shd w:val="clear" w:color="auto" w:fill="FFFFFF"/>
      <w:spacing w:line="233" w:lineRule="auto"/>
      <w:outlineLvl w:val="0"/>
    </w:pPr>
    <w:rPr>
      <w:rFonts w:ascii="Times New Roman" w:eastAsia="Times New Roman" w:hAnsi="Times New Roman" w:cs="Times New Roman"/>
      <w:sz w:val="94"/>
      <w:szCs w:val="94"/>
    </w:rPr>
  </w:style>
  <w:style w:type="paragraph" w:customStyle="1" w:styleId="Nagwek20">
    <w:name w:val="Nagłówek #2"/>
    <w:basedOn w:val="Normal"/>
    <w:link w:val="Nagwek2"/>
    <w:pPr>
      <w:shd w:val="clear" w:color="auto" w:fill="FFFFFF"/>
      <w:spacing w:after="620" w:line="233" w:lineRule="auto"/>
      <w:outlineLvl w:val="1"/>
    </w:pPr>
    <w:rPr>
      <w:rFonts w:ascii="Times New Roman" w:eastAsia="Times New Roman" w:hAnsi="Times New Roman" w:cs="Times New Roman"/>
      <w:sz w:val="54"/>
      <w:szCs w:val="54"/>
      <w:u w:val="single"/>
    </w:rPr>
  </w:style>
  <w:style w:type="paragraph" w:customStyle="1" w:styleId="Nagwek30">
    <w:name w:val="Nagłówek #3"/>
    <w:basedOn w:val="Normal"/>
    <w:link w:val="Nagwek3"/>
    <w:pPr>
      <w:shd w:val="clear" w:color="auto" w:fill="FFFFFF"/>
      <w:spacing w:after="540" w:line="422" w:lineRule="auto"/>
      <w:ind w:left="60"/>
      <w:jc w:val="center"/>
      <w:outlineLvl w:val="2"/>
    </w:pPr>
    <w:rPr>
      <w:rFonts w:ascii="Times New Roman" w:eastAsia="Times New Roman" w:hAnsi="Times New Roman" w:cs="Times New Roman"/>
      <w:sz w:val="28"/>
      <w:szCs w:val="28"/>
    </w:rPr>
  </w:style>
  <w:style w:type="paragraph" w:customStyle="1" w:styleId="Teksttreci0">
    <w:name w:val="Tekst treści"/>
    <w:basedOn w:val="Normal"/>
    <w:link w:val="Teksttreci"/>
    <w:pPr>
      <w:shd w:val="clear" w:color="auto" w:fill="FFFFFF"/>
      <w:spacing w:after="140"/>
      <w:jc w:val="both"/>
    </w:pPr>
    <w:rPr>
      <w:rFonts w:ascii="Times New Roman" w:eastAsia="Times New Roman" w:hAnsi="Times New Roman" w:cs="Times New Roman"/>
      <w:sz w:val="20"/>
      <w:szCs w:val="20"/>
    </w:rPr>
  </w:style>
  <w:style w:type="paragraph" w:customStyle="1" w:styleId="Nagwek40">
    <w:name w:val="Nagłówek #4"/>
    <w:basedOn w:val="Normal"/>
    <w:link w:val="Nagwek4"/>
    <w:pPr>
      <w:shd w:val="clear" w:color="auto" w:fill="FFFFFF"/>
      <w:spacing w:after="140"/>
      <w:ind w:firstLine="440"/>
      <w:jc w:val="both"/>
      <w:outlineLvl w:val="3"/>
    </w:pPr>
    <w:rPr>
      <w:rFonts w:ascii="Times New Roman" w:eastAsia="Times New Roman" w:hAnsi="Times New Roman" w:cs="Times New Roman"/>
      <w:b/>
      <w:bCs/>
      <w:sz w:val="20"/>
      <w:szCs w:val="20"/>
    </w:rPr>
  </w:style>
  <w:style w:type="paragraph" w:customStyle="1" w:styleId="Teksttreci20">
    <w:name w:val="Tekst treści (2)"/>
    <w:basedOn w:val="Normal"/>
    <w:link w:val="Teksttreci2"/>
    <w:pPr>
      <w:shd w:val="clear" w:color="auto" w:fill="FFFFFF"/>
      <w:spacing w:after="220" w:line="257" w:lineRule="auto"/>
      <w:ind w:left="6680"/>
      <w:jc w:val="both"/>
    </w:pPr>
    <w:rPr>
      <w:rFonts w:ascii="Times New Roman" w:eastAsia="Times New Roman" w:hAnsi="Times New Roman" w:cs="Times New Roman"/>
      <w:sz w:val="16"/>
      <w:szCs w:val="16"/>
    </w:rPr>
  </w:style>
  <w:style w:type="paragraph" w:customStyle="1" w:styleId="Nagweklubstopka20">
    <w:name w:val="Nagłówek lub stopka (2)"/>
    <w:basedOn w:val="Normal"/>
    <w:link w:val="Nagweklubstopka2"/>
    <w:pPr>
      <w:shd w:val="clear" w:color="auto" w:fill="FFFFFF"/>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200AF"/>
    <w:pPr>
      <w:tabs>
        <w:tab w:val="center" w:pos="4680"/>
        <w:tab w:val="right" w:pos="9360"/>
      </w:tabs>
    </w:pPr>
  </w:style>
  <w:style w:type="character" w:customStyle="1" w:styleId="HeaderChar">
    <w:name w:val="Header Char"/>
    <w:basedOn w:val="DefaultParagraphFont"/>
    <w:link w:val="Header"/>
    <w:uiPriority w:val="99"/>
    <w:rsid w:val="002200AF"/>
    <w:rPr>
      <w:color w:val="000000"/>
    </w:rPr>
  </w:style>
  <w:style w:type="paragraph" w:styleId="Footer">
    <w:name w:val="footer"/>
    <w:basedOn w:val="Normal"/>
    <w:link w:val="FooterChar"/>
    <w:uiPriority w:val="99"/>
    <w:unhideWhenUsed/>
    <w:rsid w:val="002200AF"/>
    <w:pPr>
      <w:tabs>
        <w:tab w:val="center" w:pos="4680"/>
        <w:tab w:val="right" w:pos="9360"/>
      </w:tabs>
    </w:pPr>
  </w:style>
  <w:style w:type="character" w:customStyle="1" w:styleId="FooterChar">
    <w:name w:val="Footer Char"/>
    <w:basedOn w:val="DefaultParagraphFont"/>
    <w:link w:val="Footer"/>
    <w:uiPriority w:val="99"/>
    <w:rsid w:val="002200AF"/>
    <w:rPr>
      <w:color w:val="000000"/>
    </w:rPr>
  </w:style>
  <w:style w:type="table" w:styleId="TableGrid">
    <w:name w:val="Table Grid"/>
    <w:basedOn w:val="TableNormal"/>
    <w:uiPriority w:val="59"/>
    <w:rsid w:val="00220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ec.ch" TargetMode="External"/><Relationship Id="rId18" Type="http://schemas.openxmlformats.org/officeDocument/2006/relationships/hyperlink" Target="http://www.nordig.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tsi.org" TargetMode="External"/><Relationship Id="rId17" Type="http://schemas.openxmlformats.org/officeDocument/2006/relationships/hyperlink" Target="http://www.hdmi.org" TargetMode="External"/><Relationship Id="rId2" Type="http://schemas.openxmlformats.org/officeDocument/2006/relationships/customXml" Target="../customXml/item2.xml"/><Relationship Id="rId16" Type="http://schemas.openxmlformats.org/officeDocument/2006/relationships/hyperlink" Target="http://www.digital-cp.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kn.pl" TargetMode="External"/><Relationship Id="rId5" Type="http://schemas.openxmlformats.org/officeDocument/2006/relationships/styles" Target="styles.xml"/><Relationship Id="rId15" Type="http://schemas.openxmlformats.org/officeDocument/2006/relationships/hyperlink" Target="http://www.dvb.org"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9ADB9-8054-44E6-B9EC-9B37B05FB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E4DDB8-8E30-4412-A4CE-5468B1120A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2FAB86-1D48-428E-8976-02E407FABF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3575</Words>
  <Characters>20383</Characters>
  <Application>Microsoft Office Word</Application>
  <DocSecurity>0</DocSecurity>
  <Lines>169</Lines>
  <Paragraphs>47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Pozycja 2125 DPPTK.555.2.2019 MW</vt:lpstr>
      <vt:lpstr>Pozycja 2125 DPPTK.555.2.2019 MW</vt:lpstr>
    </vt:vector>
  </TitlesOfParts>
  <Company/>
  <LinksUpToDate>false</LinksUpToDate>
  <CharactersWithSpaces>23911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2125 DPPTK.555.2.2019 MW</dc:title>
  <dc:creator>mbartnicka</dc:creator>
  <cp:lastModifiedBy>Ke, Tingting</cp:lastModifiedBy>
  <cp:revision>3</cp:revision>
  <dcterms:created xsi:type="dcterms:W3CDTF">2020-09-10T12:10:00Z</dcterms:created>
  <dcterms:modified xsi:type="dcterms:W3CDTF">2020-10-28T02:58:00Z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