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D28C8" w14:textId="66741AF7" w:rsidR="00704E6A" w:rsidRPr="00704E6A" w:rsidRDefault="00704E6A" w:rsidP="00D543FF">
      <w:pPr>
        <w:spacing w:after="0" w:line="240" w:lineRule="auto"/>
        <w:rPr>
          <w:rFonts w:ascii="Courier New" w:hAnsi="Courier New" w:cs="Courier New"/>
          <w:szCs w:val="20"/>
        </w:rPr>
      </w:pPr>
      <w:r>
        <w:rPr>
          <w:rFonts w:ascii="Courier New" w:hAnsi="Courier New"/>
        </w:rPr>
        <w:t>1. ------IND- 2020 0609 DK- IT-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PROGETTO</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5FBD3FE1"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Decreto relativo a un divieto di pubblicizzare ed esporre in luoghi visibili, ecc., sigarette elettroniche e contenitori di ricarica con e senza nicotina</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sz w:val="24"/>
        </w:rPr>
        <w:t>Sulla base dell'articolo 18a, paragrafo 4, della legge relativa a un divieto sulle sigarette elettroniche, ecc., cfr. legge n. 426, del 18 maggio 2016, sulle sigarette elettroniche, ecc., come modificata dall'articolo 2 della legge n. 1558 del 18 dicembre 2018 e dall'articolo 3 della legge n. xx del xx 2020, si emana quanto segue:</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Capitolo 1</w:t>
      </w:r>
    </w:p>
    <w:p w14:paraId="38A2464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Pr>
          <w:i/>
          <w:sz w:val="24"/>
        </w:rPr>
        <w:t>Definizioni</w:t>
      </w:r>
    </w:p>
    <w:p w14:paraId="446E03A7"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Articolo 1. </w:t>
      </w:r>
      <w:r>
        <w:rPr>
          <w:sz w:val="24"/>
        </w:rPr>
        <w:t>Ai fini del presente decreto si applicano le seguenti definizioni:</w:t>
      </w:r>
    </w:p>
    <w:p w14:paraId="4B8F07EA" w14:textId="77777777" w:rsidR="00BB6654" w:rsidRPr="00D543FF" w:rsidRDefault="00BB6654" w:rsidP="00BB6654">
      <w:pPr>
        <w:autoSpaceDE w:val="0"/>
        <w:autoSpaceDN w:val="0"/>
        <w:adjustRightInd w:val="0"/>
        <w:spacing w:after="0" w:line="240" w:lineRule="auto"/>
        <w:rPr>
          <w:rFonts w:eastAsia="TimesNewRomanPSMT" w:cstheme="minorHAnsi"/>
          <w:sz w:val="24"/>
          <w:szCs w:val="24"/>
        </w:rPr>
      </w:pPr>
      <w:r>
        <w:rPr>
          <w:sz w:val="24"/>
        </w:rPr>
        <w:t>1) Sigaretta elettronica: un prodotto utilizzabile per il consumo di vapore contenente nicotina tramite un bocchino o qualsiasi componente di tale prodotto, compresi una cartuccia, un serbatoio ricaricabile e un dispositivo privo di cartuccia o di serbatoio ricaricabile. Le sigarette elettroniche possono essere monouso o ricaricabili tramite un contenitore di liquido di ricarica e un serbatoio ricaricabile, oppure essere ricaricabili con cartucce monouso.</w:t>
      </w:r>
    </w:p>
    <w:p w14:paraId="492F8B93"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2) Contenitore di liquido di ricarica con nicotina: un flacone che contiene un liquido contenente nicotina, utilizzabile per ricaricare una sigaretta elettronica con nicotina.</w:t>
      </w:r>
    </w:p>
    <w:p w14:paraId="400A7200"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3) Contenitore di liquido di ricarica senza nicotina: un flacone che contiene un liquido privo di nicotina, utilizzabile per ricaricare una sigaretta elettronica senza nicotina.</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20CF364B"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Capitolo 2</w:t>
      </w:r>
    </w:p>
    <w:p w14:paraId="7A51CD03" w14:textId="34822FC0"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Pubblicità</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F96A71" w:rsidRDefault="00BB6654" w:rsidP="00BB6654">
      <w:pPr>
        <w:autoSpaceDE w:val="0"/>
        <w:autoSpaceDN w:val="0"/>
        <w:adjustRightInd w:val="0"/>
        <w:spacing w:after="0" w:line="240" w:lineRule="auto"/>
        <w:rPr>
          <w:rFonts w:eastAsia="TimesNewRomanPSMT" w:cstheme="minorHAnsi"/>
          <w:spacing w:val="-2"/>
          <w:sz w:val="24"/>
          <w:szCs w:val="24"/>
        </w:rPr>
      </w:pPr>
      <w:r w:rsidRPr="00F96A71">
        <w:rPr>
          <w:b/>
          <w:spacing w:val="-2"/>
          <w:sz w:val="24"/>
        </w:rPr>
        <w:t xml:space="preserve">Articolo 2. </w:t>
      </w:r>
      <w:r w:rsidRPr="00F96A71">
        <w:rPr>
          <w:spacing w:val="-2"/>
          <w:sz w:val="24"/>
        </w:rPr>
        <w:t>È vietata qualsiasi forma di pubblicità delle sigarette elettroniche e dei contenitori di ricarica con e senza nicotina, cfr. articolo 16, paragrafo 1, della legge sulle sigarette elettroniche, ecc.</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Paragrafo 2.</w:t>
      </w:r>
      <w:r>
        <w:rPr>
          <w:sz w:val="24"/>
        </w:rPr>
        <w:t xml:space="preserve"> Il divieto di pubblicità di cui al paragrafo 1 include un divieto su:</w:t>
      </w:r>
    </w:p>
    <w:p w14:paraId="12B97FB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l'uso di un nome, marchio, simbolo o altro simbolo conosciuto principalmente per le sigarette elettroniche e i contenitori di ricarica, per pubblicizzare altri prodotti e servizi;</w:t>
      </w:r>
    </w:p>
    <w:p w14:paraId="71659EAA"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la commercializzazione di sigarette elettroniche e contenitori di ricarica con l'ausilio di un nome, marchio, simbolo o altra caratteristica nota o in uso come marchio per altri prodotti e servizi;</w:t>
      </w:r>
    </w:p>
    <w:p w14:paraId="6284E46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la commercializzazione di sigarette elettroniche e contenitori di ricarica con l'ausilio di nomi, marchi, simboli, figure o simili che si rivolgono principalmente a bambini e giovani di età inferiore ai 18 anni;</w:t>
      </w:r>
    </w:p>
    <w:p w14:paraId="1F3A4A90"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4) l'uso di layout, design o particolari combinazioni di colori associati a particolari sigarette elettroniche e contenitori di ricarica con e senza nicotina;</w:t>
      </w:r>
    </w:p>
    <w:p w14:paraId="1A4B2A5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lastRenderedPageBreak/>
        <w:t>5) l'uso di sigarette elettroniche e contenitori di ricarica riconoscibili nella pubblicità di altri prodotti e servizi.</w:t>
      </w:r>
    </w:p>
    <w:p w14:paraId="50A31B26"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 xml:space="preserve">Paragrafo 3. </w:t>
      </w:r>
      <w:r>
        <w:rPr>
          <w:sz w:val="24"/>
        </w:rPr>
        <w:t>Il divieto di cui al paragrafo 1, tuttavia, non si applica a:</w:t>
      </w:r>
    </w:p>
    <w:p w14:paraId="1C5563B6"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notifiche rivolte esclusivamente ai professionisti del settore,</w:t>
      </w:r>
    </w:p>
    <w:p w14:paraId="12DF0DF8"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l'uso di un nome che prima del 7 giugno 2016 veniva utilizzato sia per le sigarette elettroniche e i contenitori di ricarica che per altri beni o servizi, per pubblicizzare questi ultimi, purché il nome appaia in una forma chiaramente distinta da come il nome appare sulle sigarette elettroniche e i contenitori di ricarica,</w:t>
      </w:r>
    </w:p>
    <w:p w14:paraId="12279633"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l'uso di un nome conosciuto dei prodotti del tabacco nella pubblicità di altri beni e servizi, se tali altri beni o servizi sono immessi sul mercato solo in un'area geografica limitata.</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4862AFB1"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Capitolo 3</w:t>
      </w:r>
    </w:p>
    <w:p w14:paraId="006DAB7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Divieto di esposizione in luoghi visibili</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016E95D2" w:rsidR="00BB6654" w:rsidRPr="00D543FF"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Articolo 3. </w:t>
      </w:r>
      <w:r>
        <w:rPr>
          <w:sz w:val="24"/>
        </w:rPr>
        <w:t>È vietato esporre in un luogo visibile nei punti vendita, compresi online, sigarette elettroniche e contenitori di ricarica con e senza nicotina.</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0A764E31" w:rsidR="00BB6654" w:rsidRPr="00704E6A" w:rsidRDefault="00BB6654" w:rsidP="00BB6654">
      <w:pPr>
        <w:rPr>
          <w:rFonts w:eastAsia="TimesNewRomanPSMT" w:cstheme="minorHAnsi"/>
          <w:sz w:val="24"/>
          <w:szCs w:val="24"/>
        </w:rPr>
      </w:pPr>
      <w:r>
        <w:rPr>
          <w:i/>
          <w:sz w:val="24"/>
        </w:rPr>
        <w:t xml:space="preserve">Paragrafo 2. </w:t>
      </w:r>
      <w:r>
        <w:rPr>
          <w:sz w:val="24"/>
        </w:rPr>
        <w:t>Il divieto di cui al paragrafo 1 vale anche per i prodotti destinati all'impiego in combinazione con i prodotti di cui al paragrafo 1.</w:t>
      </w:r>
    </w:p>
    <w:p w14:paraId="6C243789" w14:textId="77777777" w:rsidR="00BB6654" w:rsidRPr="00704E6A" w:rsidRDefault="00BB6654" w:rsidP="00BB6654">
      <w:pPr>
        <w:rPr>
          <w:rFonts w:cstheme="minorHAnsi"/>
          <w:sz w:val="24"/>
          <w:szCs w:val="24"/>
        </w:rPr>
      </w:pPr>
      <w:r>
        <w:rPr>
          <w:i/>
          <w:sz w:val="24"/>
        </w:rPr>
        <w:t>Paragrafo 3.</w:t>
      </w:r>
      <w:r>
        <w:rPr>
          <w:sz w:val="24"/>
        </w:rPr>
        <w:t xml:space="preserve"> Il divieto di cui al paragrafo 2 comprende, ma non si limita a, caricabatteria, contenitori di ricarica vuoti, imballaggi, batterie o aromi. Il divieto di cui al paragrafo 2 non comprende i prodotti che hanno una destinazione d'uso più generale, a meno che non siano specificamente progettati o commercializzati con riferimento alle sigarette elettroniche e i contenitori di ricarica con e senza nicotina.</w:t>
      </w:r>
    </w:p>
    <w:p w14:paraId="44736DC4" w14:textId="77777777" w:rsidR="00BB6654" w:rsidRPr="00704E6A" w:rsidRDefault="00BB6654" w:rsidP="00704E6A">
      <w:pPr>
        <w:keepNext/>
        <w:keepLines/>
        <w:rPr>
          <w:rStyle w:val="tlid-translation"/>
          <w:rFonts w:cstheme="minorHAnsi"/>
          <w:color w:val="000000" w:themeColor="text1"/>
          <w:sz w:val="24"/>
          <w:szCs w:val="24"/>
        </w:rPr>
      </w:pPr>
      <w:r>
        <w:rPr>
          <w:i/>
          <w:sz w:val="24"/>
        </w:rPr>
        <w:t xml:space="preserve">Paragrafo 4. </w:t>
      </w:r>
      <w:r>
        <w:rPr>
          <w:sz w:val="24"/>
        </w:rPr>
        <w:t>Conformemente ai divieti di cui ai paragrafi 1 e 2, è vietato:</w:t>
      </w:r>
    </w:p>
    <w:p w14:paraId="1B46E0BB" w14:textId="77A26A6A"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pubblicizzare o comunicare, direttamente o indirettamente, la vendita all'interno del punto vendita delle sigarette elettroniche e dei contenitori di ricarica con e senza nicotina,</w:t>
      </w:r>
    </w:p>
    <w:p w14:paraId="09282853" w14:textId="2CD96E31"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utilizzare illustrazioni, immagini, colori, loghi, simboli o altri mezzi per dare al consumatore l'impressione che si faccia riferimento a prodotti o categorie di prodotti di cui ai paragrafi 1 e 2 o dare l'impressione che tali prodotti siano benefici alla salute, meno dannosi di altri prodotti, agiscano come aiuto per smettere di fumare o abbiano altri effetti benefici o vantaggi, oppure</w:t>
      </w:r>
    </w:p>
    <w:p w14:paraId="649FA914" w14:textId="693EE4C4"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mettere in risalto tali prodotti attraverso i colori, l'illuminazione o simili rispetto alla restante merce del punto vendita.</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lastRenderedPageBreak/>
        <w:t>Capitolo 4</w:t>
      </w:r>
    </w:p>
    <w:p w14:paraId="1CF1B6D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Informazioni neutrali sui prodotti e i prezzi</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b/>
          <w:sz w:val="24"/>
        </w:rPr>
        <w:t xml:space="preserve">Articolo 4. </w:t>
      </w:r>
      <w:r>
        <w:rPr>
          <w:sz w:val="24"/>
        </w:rPr>
        <w:t>I punti vendita possono fornire all'acquirente informazioni neutrali su quali sigarette elettroniche e contenitori di ricarica con e senza nicotina sono venduti nel punto vendita e sul prezzo di tali prodotti.</w:t>
      </w:r>
    </w:p>
    <w:p w14:paraId="58C115B8"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Paragrafo 2.</w:t>
      </w:r>
      <w:r>
        <w:rPr>
          <w:sz w:val="24"/>
        </w:rPr>
        <w:t xml:space="preserve"> Le informazioni permesse ai sensi del paragrafo 1 includono:</w:t>
      </w:r>
    </w:p>
    <w:p w14:paraId="026B0705" w14:textId="2C650B78" w:rsidR="00BB6654" w:rsidRPr="00704E6A" w:rsidRDefault="0099201C" w:rsidP="00BB6654">
      <w:pPr>
        <w:pStyle w:val="ListParagraph"/>
        <w:numPr>
          <w:ilvl w:val="0"/>
          <w:numId w:val="1"/>
        </w:numPr>
        <w:autoSpaceDE w:val="0"/>
        <w:autoSpaceDN w:val="0"/>
        <w:adjustRightInd w:val="0"/>
        <w:spacing w:after="0" w:line="240" w:lineRule="auto"/>
        <w:rPr>
          <w:rFonts w:cstheme="minorHAnsi"/>
          <w:sz w:val="24"/>
          <w:szCs w:val="24"/>
        </w:rPr>
      </w:pPr>
      <w:r>
        <w:rPr>
          <w:sz w:val="24"/>
        </w:rPr>
        <w:t>marchio e nome del prodotto,</w:t>
      </w:r>
    </w:p>
    <w:p w14:paraId="5EF8EFC1" w14:textId="3B75C0E1"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t>quantità, peso e volume, e</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t>prezzo.</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704E6A" w:rsidRDefault="0099201C" w:rsidP="00704E6A">
      <w:pPr>
        <w:keepNext/>
        <w:keepLines/>
        <w:autoSpaceDE w:val="0"/>
        <w:autoSpaceDN w:val="0"/>
        <w:adjustRightInd w:val="0"/>
        <w:spacing w:after="0" w:line="240" w:lineRule="auto"/>
        <w:rPr>
          <w:rFonts w:cstheme="minorHAnsi"/>
          <w:sz w:val="24"/>
          <w:szCs w:val="24"/>
        </w:rPr>
      </w:pPr>
      <w:r>
        <w:rPr>
          <w:i/>
          <w:sz w:val="24"/>
        </w:rPr>
        <w:t xml:space="preserve">Paragrafo 3. </w:t>
      </w:r>
      <w:r>
        <w:rPr>
          <w:sz w:val="24"/>
        </w:rPr>
        <w:t>Le informazioni di cui al paragrafo 2 sono esposte in un elenco neutrale. Le informazioni contenute nell'elenco devono essere esposte con un testo nero su un foglio A4 bianco che non può recare illustrazioni, immagini, stampe in grassetto, colori, loghi, simboli o altro testo, salvo quanto previsto al paragrafo 4. Nessuna informazione dell'elenco può risaltare rispetto alle altre e le informazioni:</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appaiono in ordine alfabetico in base al nome del prodotto,</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appaiono nella sequenza: nome del marchio, nome del prodotto, quantità, peso, volume e prezzo,</w:t>
      </w:r>
    </w:p>
    <w:p w14:paraId="4781441E" w14:textId="2F7539C0"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sono in caratteri Helvetica con una dimensione massima di 14 punti, e</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Pr>
          <w:sz w:val="24"/>
        </w:rPr>
        <w:t>sono allineate a sinistra.</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3F355590"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Paragrafo 4. </w:t>
      </w:r>
      <w:r>
        <w:rPr>
          <w:sz w:val="24"/>
        </w:rPr>
        <w:t>L'elenco neutrale di cui al paragrafo 3 contiene informazioni sul limite di età per la vendita di sigarette elettroniche e contenitori di ricarica con e senza nicotina, cfr. articolo 15, paragrafo 1, della legge sulle sigarette elettroniche, ecc. redatta dall'Autorità sanitaria danese.</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rFonts w:cstheme="minorHAnsi"/>
          <w:i/>
          <w:sz w:val="24"/>
          <w:szCs w:val="24"/>
        </w:rPr>
      </w:pPr>
      <w:r>
        <w:rPr>
          <w:i/>
          <w:sz w:val="24"/>
        </w:rPr>
        <w:t xml:space="preserve">Paragrafo 5. </w:t>
      </w:r>
      <w:r>
        <w:rPr>
          <w:sz w:val="24"/>
        </w:rPr>
        <w:t>Ad ogni prodotto che figura nell'elenco neutrale di cui al paragrafo 3 può essere assegnato un numero.</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7C2054D8" w:rsidR="00BB6654" w:rsidRPr="00704E6A" w:rsidRDefault="0054510B" w:rsidP="00BB6654">
      <w:pPr>
        <w:autoSpaceDE w:val="0"/>
        <w:autoSpaceDN w:val="0"/>
        <w:adjustRightInd w:val="0"/>
        <w:spacing w:after="0" w:line="240" w:lineRule="auto"/>
        <w:rPr>
          <w:rFonts w:cstheme="minorHAnsi"/>
          <w:sz w:val="24"/>
          <w:szCs w:val="24"/>
        </w:rPr>
      </w:pPr>
      <w:r>
        <w:rPr>
          <w:i/>
          <w:sz w:val="24"/>
        </w:rPr>
        <w:t>Paragrafo 6.</w:t>
      </w:r>
      <w:r>
        <w:rPr>
          <w:sz w:val="24"/>
        </w:rPr>
        <w:t xml:space="preserve"> L'elenco neutrale di cui al paragrafo 3 può essere suddiviso in una o più delle seguenti categorie: "Sigaretta elettronica", "Contenitori di ricarica con liquido", "Confezioni combinate" e "Altro". Un prodotto è elencato in corrispondenza della categoria a cui appartiene.</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rFonts w:cstheme="minorHAnsi"/>
          <w:sz w:val="24"/>
          <w:szCs w:val="24"/>
        </w:rPr>
      </w:pPr>
      <w:r>
        <w:rPr>
          <w:i/>
          <w:sz w:val="24"/>
        </w:rPr>
        <w:t>Paragrafo 7.</w:t>
      </w:r>
      <w:r>
        <w:rPr>
          <w:sz w:val="24"/>
        </w:rPr>
        <w:t xml:space="preserve"> Nei punti di vendita fisici, l'elenco neutrale di cui al paragrafo 3 può essere mostrato su richiesta di un acquirente o esposto presso una cassa di vendita con personale.</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Capitolo 5</w:t>
      </w:r>
    </w:p>
    <w:p w14:paraId="4308304F" w14:textId="77777777" w:rsidR="00BB6654" w:rsidRPr="00704E6A" w:rsidRDefault="00BB6654" w:rsidP="00704E6A">
      <w:pPr>
        <w:keepNext/>
        <w:keepLines/>
        <w:jc w:val="center"/>
        <w:rPr>
          <w:rFonts w:cstheme="minorHAnsi"/>
          <w:i/>
          <w:iCs/>
          <w:sz w:val="24"/>
          <w:szCs w:val="24"/>
        </w:rPr>
      </w:pPr>
      <w:r>
        <w:rPr>
          <w:i/>
          <w:sz w:val="24"/>
        </w:rPr>
        <w:t>Vendita tramite soluzioni digitali e online</w:t>
      </w:r>
    </w:p>
    <w:p w14:paraId="2C3211DB" w14:textId="7F63D302" w:rsidR="00BB6654" w:rsidRPr="00704E6A" w:rsidRDefault="00BB6654" w:rsidP="00BB6654">
      <w:pPr>
        <w:autoSpaceDE w:val="0"/>
        <w:autoSpaceDN w:val="0"/>
        <w:adjustRightInd w:val="0"/>
        <w:spacing w:after="0" w:line="240" w:lineRule="auto"/>
        <w:rPr>
          <w:rFonts w:cstheme="minorHAnsi"/>
          <w:sz w:val="24"/>
          <w:szCs w:val="24"/>
        </w:rPr>
      </w:pPr>
      <w:r>
        <w:rPr>
          <w:b/>
          <w:sz w:val="24"/>
        </w:rPr>
        <w:t>Articolo 5.</w:t>
      </w:r>
      <w:r>
        <w:rPr>
          <w:sz w:val="24"/>
        </w:rPr>
        <w:t xml:space="preserve"> Il divieto di esposizione in un luogo visibile delle sigarette elettroniche e dei contenitori di ricarica con e senza nicotina nei punti vendita ai sensi dell'articolo 3, paragrafi 1 e 2, si applica anche alla vendita tramite soluzioni digitali, come le homepage dei rivenditori al dettaglio, i negozi su Internet, le homepage aziendali, le pagine aziendali sui social media e le app.</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lastRenderedPageBreak/>
        <w:t xml:space="preserve">Paragrafo 2. </w:t>
      </w:r>
      <w:r>
        <w:rPr>
          <w:sz w:val="24"/>
        </w:rPr>
        <w:t>I punti vendita di cui al paragrafo 1 possono fornire all'acquirente informazioni neutrali su quali sigarette elettroniche e contenitori di ricarica con e senza nicotina sono venduti nel punto vendita e sul prezzo dei prodotti.</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Paragrafo 3.</w:t>
      </w:r>
      <w:r>
        <w:rPr>
          <w:sz w:val="24"/>
        </w:rPr>
        <w:t xml:space="preserve"> Le informazioni permesse ai sensi del paragrafo 2 includono:</w:t>
      </w:r>
    </w:p>
    <w:p w14:paraId="512A3319" w14:textId="33A2ED56"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marchio e nome del prodotto,</w:t>
      </w:r>
    </w:p>
    <w:p w14:paraId="5AF73772" w14:textId="0C77CE98"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quantità, peso e volume, e</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prezzo.</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Default="00BB6654" w:rsidP="007A2FDC">
      <w:pPr>
        <w:autoSpaceDE w:val="0"/>
        <w:autoSpaceDN w:val="0"/>
        <w:adjustRightInd w:val="0"/>
        <w:spacing w:after="0" w:line="240" w:lineRule="auto"/>
        <w:rPr>
          <w:rFonts w:cstheme="minorHAnsi"/>
          <w:sz w:val="24"/>
          <w:szCs w:val="24"/>
        </w:rPr>
      </w:pPr>
      <w:r>
        <w:rPr>
          <w:i/>
          <w:sz w:val="24"/>
        </w:rPr>
        <w:t xml:space="preserve">Paragrafo 4. </w:t>
      </w:r>
      <w:r>
        <w:rPr>
          <w:sz w:val="24"/>
        </w:rPr>
        <w:t>Le informazioni di cui al paragrafo 3 non possono essere esposte con o accompagnate da illustrazioni, immagini, colori, loghi, simboli o altri testi. Ciò non vale tuttavia per il simbolo "Aggiungi al carrello". Nessuna informazione può risaltare rispetto alle altre e le informazioni sono esposte in nero con lo stesso tipo di carattere e le stesse dimensioni generalmente utilizzati nella descrizione dei prodotti sulla homepage.</w:t>
      </w:r>
    </w:p>
    <w:p w14:paraId="44E7930B" w14:textId="6B3D423B" w:rsidR="007A2FDC" w:rsidRPr="00704E6A" w:rsidRDefault="007A2FDC" w:rsidP="007A2FDC">
      <w:pPr>
        <w:autoSpaceDE w:val="0"/>
        <w:autoSpaceDN w:val="0"/>
        <w:adjustRightInd w:val="0"/>
        <w:spacing w:after="0" w:line="240" w:lineRule="auto"/>
        <w:rPr>
          <w:rFonts w:cstheme="minorHAnsi"/>
          <w:sz w:val="24"/>
          <w:szCs w:val="24"/>
        </w:rPr>
      </w:pPr>
      <w:r>
        <w:rPr>
          <w:i/>
          <w:sz w:val="24"/>
        </w:rPr>
        <w:t>Paragrafo 5.</w:t>
      </w:r>
      <w:r>
        <w:rPr>
          <w:sz w:val="24"/>
        </w:rPr>
        <w:t xml:space="preserve"> Le informazioni di cui al paragrafo 4 non possono dare l'impressione che le sigarette elettroniche e i contenitori di ricarica con e senza nicotina siano benefici alla salute, meno dannosi di altri prodotti o abbiano altri effetti benefici o vantaggi.</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2822C74C" w:rsidR="00BB6654" w:rsidRPr="00704E6A" w:rsidRDefault="00BB6654" w:rsidP="00BB6654">
      <w:pPr>
        <w:autoSpaceDE w:val="0"/>
        <w:autoSpaceDN w:val="0"/>
        <w:adjustRightInd w:val="0"/>
        <w:spacing w:after="0" w:line="240" w:lineRule="auto"/>
        <w:rPr>
          <w:rFonts w:cstheme="minorHAnsi"/>
          <w:sz w:val="24"/>
          <w:szCs w:val="24"/>
        </w:rPr>
      </w:pPr>
      <w:r>
        <w:rPr>
          <w:i/>
          <w:sz w:val="24"/>
        </w:rPr>
        <w:t>Paragrafo 6.</w:t>
      </w:r>
      <w:r>
        <w:rPr>
          <w:sz w:val="24"/>
        </w:rPr>
        <w:t xml:space="preserve"> I punti vendita di cui al paragrafo 1 presso i quali le sigarette elettroniche e i contenitori di ricarica con e senza nicotina sono venduti, o nei quali ne è favorita la vendita, non possono consentire ai clienti o ai visitatori della pagina di recensire, dare una valutazione o simili ai prodotti di cui al paragrafo 1, se la recensione ecc. diventa in qualche modo visibile o accessibile per il recensore stesso o per altri soggetti non dipendenti del punto vendita che vende i prodotti.</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Capitolo 6</w:t>
      </w:r>
    </w:p>
    <w:p w14:paraId="39F0F3E5" w14:textId="77777777" w:rsidR="00BB6654" w:rsidRPr="00704E6A" w:rsidRDefault="00BB6654" w:rsidP="00704E6A">
      <w:pPr>
        <w:keepNext/>
        <w:keepLines/>
        <w:spacing w:line="240" w:lineRule="auto"/>
        <w:jc w:val="center"/>
        <w:rPr>
          <w:rFonts w:cstheme="minorHAnsi"/>
          <w:i/>
          <w:iCs/>
          <w:sz w:val="24"/>
          <w:szCs w:val="24"/>
        </w:rPr>
      </w:pPr>
      <w:r>
        <w:rPr>
          <w:i/>
          <w:sz w:val="24"/>
        </w:rPr>
        <w:t>Punti vendita fisici specializzati nella vendita di sigarette elettroniche e contenitori di ricarica con e senza nicotina</w:t>
      </w:r>
    </w:p>
    <w:p w14:paraId="6BC97759" w14:textId="59447DCF" w:rsidR="00BB6654" w:rsidRPr="00D543FF" w:rsidRDefault="00BB6654" w:rsidP="00BB6654">
      <w:pPr>
        <w:autoSpaceDE w:val="0"/>
        <w:autoSpaceDN w:val="0"/>
        <w:adjustRightInd w:val="0"/>
        <w:spacing w:after="0" w:line="240" w:lineRule="auto"/>
        <w:rPr>
          <w:rFonts w:cstheme="minorHAnsi"/>
          <w:sz w:val="24"/>
          <w:szCs w:val="24"/>
        </w:rPr>
      </w:pPr>
      <w:r>
        <w:rPr>
          <w:b/>
          <w:sz w:val="24"/>
        </w:rPr>
        <w:t xml:space="preserve">Articolo 6. </w:t>
      </w:r>
      <w:r>
        <w:rPr>
          <w:sz w:val="24"/>
        </w:rPr>
        <w:t>Il divieto di esposizione in un luogo visibile di cui all'articolo 3, paragrafi 1 e 2, non si applica alla vendita di sigarette elettroniche e contenitori di ricarica con e senza nicotina in punti vendita fisici specializzati nella vendita di tali prodotti.</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Paragrafo 2.</w:t>
      </w:r>
      <w:r>
        <w:rPr>
          <w:sz w:val="24"/>
        </w:rPr>
        <w:t xml:space="preserve"> Un punto vendita fisico ai sensi del paragrafo 1 è considerato specializzato nella vendita di sigarette elettroniche e contenitori di ricarica con e senza nicotina quando il punto vendita vende esclusivamente o principalmente sigarette elettroniche e contenitori di ricarica con e senza nicotina.</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Paragrafo 3.</w:t>
      </w:r>
      <w:r>
        <w:rPr>
          <w:sz w:val="24"/>
        </w:rPr>
        <w:t xml:space="preserve"> La deroga al divieto di esposizione in un luogo visibile di cui al paragrafo 1 si applica solo alle sigarette elettroniche e contenitori di ricarica con e senza nicotina. Se il punto vendita vende altri prodotti o prodotti del tabacco, surrogati di tabacco o prodotti da fumo a base di erbe, questi sono soggetti al divieto di cui all'articolo 3, paragrafi 1 e 2, o all'articolo 2, paragrafi 1 e 2, del decreto relativo a un divieto di pubblicità, esposizione in un luogo visibile, ecc. di prodotti del tabacco, surrogati del tabacco e prodotti da fumo a base di erbe.</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339B47D1" w:rsidR="00BB6654" w:rsidRPr="00704E6A" w:rsidRDefault="00BB6654" w:rsidP="00BB6654">
      <w:pPr>
        <w:autoSpaceDE w:val="0"/>
        <w:autoSpaceDN w:val="0"/>
        <w:adjustRightInd w:val="0"/>
        <w:spacing w:after="0" w:line="240" w:lineRule="auto"/>
        <w:rPr>
          <w:rFonts w:cstheme="minorHAnsi"/>
          <w:sz w:val="24"/>
          <w:szCs w:val="24"/>
        </w:rPr>
      </w:pPr>
      <w:r>
        <w:rPr>
          <w:i/>
          <w:sz w:val="24"/>
        </w:rPr>
        <w:lastRenderedPageBreak/>
        <w:t xml:space="preserve">Paragrafo 4. </w:t>
      </w:r>
      <w:r>
        <w:rPr>
          <w:sz w:val="24"/>
        </w:rPr>
        <w:t>Se un punto vendita di cui al paragrafo 1 vende sigarette elettroniche e contenitori di ricarica con e senza nicotina tramite soluzioni digitali, quali le homepage dei rivenditori al dettaglio, i negozi su Internet, le homepage aziendali, le pagine aziendali sui social media e le app, questo è soggetto alle disposizioni di cui all'articolo 5.</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rFonts w:cstheme="minorHAnsi"/>
          <w:color w:val="000000" w:themeColor="text1"/>
          <w:sz w:val="24"/>
          <w:szCs w:val="24"/>
        </w:rPr>
      </w:pPr>
      <w:r>
        <w:rPr>
          <w:i/>
          <w:color w:val="000000" w:themeColor="text1"/>
          <w:sz w:val="24"/>
        </w:rPr>
        <w:t>Paragrafo 5.</w:t>
      </w:r>
      <w:r>
        <w:rPr>
          <w:color w:val="000000" w:themeColor="text1"/>
          <w:sz w:val="24"/>
        </w:rPr>
        <w:t xml:space="preserve"> In un punto vendita fisico di cui al paragrafo 1, non è consentito pubblicizzare sigarette elettroniche e contenitori di ricarica con e senza nicotina nel punto vendita, in vetrina o nella facciata del punto vendita, salvo quanto previsto dal paragrafo 6. Ciò comprende:</w:t>
      </w:r>
    </w:p>
    <w:p w14:paraId="52BBBBD1" w14:textId="671ED9B1" w:rsidR="00BB6654" w:rsidRPr="00704E6A"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Pr>
          <w:sz w:val="24"/>
        </w:rPr>
        <w:t>mettere in risalto, direttamente o indirettamente, un particolare prodotto, un nome aziendale, prezzi o altre informazioni relative alle sigarette elettroniche e i contenitori di ricarica con e senza nicotina con l'aiuto di luci speciali, colori, posizionamento dato a prodotti o nomi su scaffali, scaffali o immagini in evidenza, oppure</w:t>
      </w:r>
    </w:p>
    <w:p w14:paraId="072130F3" w14:textId="2592410E" w:rsidR="00BB6654" w:rsidRPr="00F96A71" w:rsidRDefault="00BB6654" w:rsidP="00BB6654">
      <w:pPr>
        <w:pStyle w:val="ListParagraph"/>
        <w:numPr>
          <w:ilvl w:val="0"/>
          <w:numId w:val="2"/>
        </w:numPr>
        <w:spacing w:line="240" w:lineRule="auto"/>
        <w:ind w:left="709"/>
        <w:rPr>
          <w:rStyle w:val="tlid-translation"/>
          <w:rFonts w:cstheme="minorHAnsi"/>
          <w:spacing w:val="-4"/>
          <w:sz w:val="24"/>
          <w:szCs w:val="24"/>
        </w:rPr>
      </w:pPr>
      <w:r w:rsidRPr="00F96A71">
        <w:rPr>
          <w:rStyle w:val="tlid-translation"/>
          <w:spacing w:val="-4"/>
        </w:rPr>
        <w:t>con testi, illustrazioni, immagini, colori, loghi, simboli o altri mezzi per dare all'acquirente l'impressione che uno o più prodotti siano benefici per la salute, meno dannosi di altri prodotti, agiscano come aiuto per smettere di fumare o in altri modi abbiano un effetto o un vantaggio benefico.</w:t>
      </w:r>
    </w:p>
    <w:p w14:paraId="1F5F7C9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Paragrafo 6.</w:t>
      </w:r>
      <w:r>
        <w:rPr>
          <w:sz w:val="24"/>
        </w:rPr>
        <w:t xml:space="preserve"> Il nome del punto vendita fisico di cui al paragrafo 1 è esposto nella facciata del punto vendita con un design neutrale. Il nome non deve avere di per sé un effetto pubblicitario.</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i/>
          <w:sz w:val="24"/>
        </w:rPr>
        <w:t>Paragrafo 7.</w:t>
      </w:r>
      <w:r>
        <w:rPr>
          <w:sz w:val="24"/>
        </w:rPr>
        <w:t xml:space="preserve"> La deroga al divieto di esposizione in un luogo visibile di cui al paragrafo 1 non autorizza il punto vendita a esporre in un luogo visibile sigarette elettroniche e contenitori di ricarica con e senza nicotina in luoghi diversi dal punto vendita o di distribuire volantini pubblicitari e prodotti gratuiti, ecc.</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Capitolo 7</w:t>
      </w:r>
    </w:p>
    <w:p w14:paraId="2BA0131B"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Distributori automatici</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F96A71" w:rsidRDefault="00BB6654" w:rsidP="00BB6654">
      <w:pPr>
        <w:autoSpaceDE w:val="0"/>
        <w:autoSpaceDN w:val="0"/>
        <w:adjustRightInd w:val="0"/>
        <w:spacing w:after="0" w:line="240" w:lineRule="auto"/>
        <w:rPr>
          <w:rFonts w:cstheme="minorHAnsi"/>
          <w:bCs/>
          <w:spacing w:val="-4"/>
          <w:sz w:val="24"/>
          <w:szCs w:val="24"/>
        </w:rPr>
      </w:pPr>
      <w:r w:rsidRPr="00F96A71">
        <w:rPr>
          <w:spacing w:val="-4"/>
          <w:sz w:val="24"/>
        </w:rPr>
        <w:t>Articolo 7. I distributori automatici utilizzati per la fornitura di prodotti del tabacco, surrogati di tabacco o prodotti da fumo a base di erbe dopo la vendita da una cassa con personale sono progettate in modo neutrale. Le informazioni sulla macchina relative al nome del marchio, al nome della variante e ai prezzi sono riportate in caratteri Helvetica neri con una dimensione massima di 14 punti.</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r>
        <w:rPr>
          <w:i/>
          <w:sz w:val="24"/>
        </w:rPr>
        <w:t>Paragrafo 2.</w:t>
      </w:r>
      <w:r>
        <w:rPr>
          <w:sz w:val="24"/>
        </w:rPr>
        <w:t xml:space="preserve"> Un distributore automatico di cui al paragrafo 1 non:</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reca o applica etichette di marchi o aziende o altre caratteristiche per tali prodotti, compresa un'immagine del prodotto,</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mette in risalto informazioni, o</w:t>
      </w:r>
    </w:p>
    <w:p w14:paraId="127664C5"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reca o applica illustrazioni, immagini, colori, loghi, simboli o altri mezzi per dare al consumatore l'impressione che un prodotto venduto dal distributore in questione sia benefico alla salute, meno dannoso di altri prodotti, agisca come aiuto per smettere di fumare o abbia altri effetti benefici o vantaggi.</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lastRenderedPageBreak/>
        <w:t>Capitolo 8</w:t>
      </w:r>
    </w:p>
    <w:p w14:paraId="288F8D8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Sanzioni</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Articolo 8. </w:t>
      </w:r>
      <w:r>
        <w:rPr>
          <w:sz w:val="24"/>
        </w:rPr>
        <w:t>Fatte salve eventuali sanzioni di entità maggiore previste da altre normative, si infliggeranno sanzioni a chiunque violi gli articoli 2 e 3 o le disposizioni di cui agli articoli da 4 a 7.</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 xml:space="preserve">Paragrafo 2. </w:t>
      </w:r>
      <w:r>
        <w:rPr>
          <w:sz w:val="24"/>
        </w:rPr>
        <w:t>I soggetti ecc. (persone giuridiche) possono essere ritenuti penalmente responsabili ai sensi delle disposizioni del capitolo 5 del codice penale [</w:t>
      </w:r>
      <w:r>
        <w:rPr>
          <w:i/>
          <w:iCs/>
          <w:sz w:val="24"/>
        </w:rPr>
        <w:t>Straffeloven</w:t>
      </w:r>
      <w:r>
        <w:rPr>
          <w:sz w:val="24"/>
        </w:rPr>
        <w:t>].</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Capitolo 7</w:t>
      </w:r>
    </w:p>
    <w:p w14:paraId="6F04C86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Entrata in vigore</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Articolo 8. </w:t>
      </w:r>
      <w:r>
        <w:rPr>
          <w:sz w:val="24"/>
        </w:rPr>
        <w:t>La presente notifica entrerà in vigore il 1° aprile 2021.</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rFonts w:cstheme="minorHAnsi"/>
          <w:i/>
          <w:iCs/>
          <w:sz w:val="24"/>
          <w:szCs w:val="24"/>
        </w:rPr>
      </w:pPr>
      <w:r>
        <w:rPr>
          <w:i/>
          <w:sz w:val="24"/>
        </w:rPr>
        <w:t>Ministero della Salute, [data]</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r>
        <w:rPr>
          <w:sz w:val="24"/>
        </w:rPr>
        <w:t>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Pr>
          <w:sz w:val="24"/>
        </w:rPr>
        <w:t>/ Mie Saabye</w:t>
      </w:r>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F96A71"/>
    <w:sectPr w:rsidR="00D47ADF"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654"/>
    <w:rsid w:val="000F2720"/>
    <w:rsid w:val="001129D3"/>
    <w:rsid w:val="00133423"/>
    <w:rsid w:val="00200FF7"/>
    <w:rsid w:val="003072BA"/>
    <w:rsid w:val="0054510B"/>
    <w:rsid w:val="00704E6A"/>
    <w:rsid w:val="007253E1"/>
    <w:rsid w:val="007A2FDC"/>
    <w:rsid w:val="0099201C"/>
    <w:rsid w:val="00A332B7"/>
    <w:rsid w:val="00BB6654"/>
    <w:rsid w:val="00C9352B"/>
    <w:rsid w:val="00D543FF"/>
    <w:rsid w:val="00E34BC1"/>
    <w:rsid w:val="00EA6F2F"/>
    <w:rsid w:val="00F96A71"/>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docId w15:val="{C7E1DDCF-B593-4C1E-BFC8-C3F77F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2025</Words>
  <Characters>11547</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Diana STOICA</cp:lastModifiedBy>
  <cp:revision>6</cp:revision>
  <dcterms:created xsi:type="dcterms:W3CDTF">2020-09-30T11:28:00Z</dcterms:created>
  <dcterms:modified xsi:type="dcterms:W3CDTF">2020-10-07T11:54:00Z</dcterms:modified>
</cp:coreProperties>
</file>