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D5247" w14:textId="77777777" w:rsidR="004F7E45" w:rsidRPr="004F7E45" w:rsidRDefault="004F7E45" w:rsidP="004F7E45">
      <w:pPr>
        <w:spacing w:before="100" w:beforeAutospacing="1" w:after="100" w:afterAutospacing="1" w:line="240" w:lineRule="auto"/>
        <w:outlineLvl w:val="1"/>
        <w:rPr>
          <w:b/>
          <w:bCs/>
          <w:sz w:val="36"/>
          <w:szCs w:val="36"/>
          <w:rFonts w:ascii="Times New Roman" w:eastAsia="Times New Roman" w:hAnsi="Times New Roman" w:cs="Times New Roman"/>
        </w:rPr>
      </w:pPr>
      <w:r>
        <w:rPr>
          <w:b/>
          <w:sz w:val="36"/>
          <w:rFonts w:ascii="Times New Roman" w:hAnsi="Times New Roman"/>
        </w:rPr>
        <w:t xml:space="preserve">Dekret nr. 2020-1757 av den 29 december 2020</w:t>
      </w:r>
      <w:r>
        <w:rPr>
          <w:b/>
          <w:sz w:val="36"/>
          <w:rFonts w:ascii="Times New Roman" w:hAnsi="Times New Roman"/>
        </w:rPr>
        <w:br/>
      </w:r>
      <w:r>
        <w:rPr>
          <w:b/>
          <w:sz w:val="36"/>
          <w:rFonts w:ascii="Times New Roman" w:hAnsi="Times New Roman"/>
        </w:rPr>
        <w:t xml:space="preserve">om reparerbarhetsindexet för elektrisk och elektronisk utrustning</w:t>
      </w:r>
    </w:p>
    <w:p w14:paraId="122A44DD" w14:textId="77777777" w:rsidR="004F7E45" w:rsidRPr="004F7E45" w:rsidRDefault="004F7E45" w:rsidP="004F7E45">
      <w:pPr>
        <w:spacing w:before="100" w:beforeAutospacing="1" w:after="100" w:afterAutospacing="1" w:line="240" w:lineRule="auto"/>
        <w:outlineLvl w:val="3"/>
        <w:rPr>
          <w:b/>
          <w:bCs/>
          <w:sz w:val="24"/>
          <w:szCs w:val="24"/>
          <w:rFonts w:ascii="Times New Roman" w:eastAsia="Times New Roman" w:hAnsi="Times New Roman" w:cs="Times New Roman"/>
        </w:rPr>
      </w:pPr>
      <w:r>
        <w:rPr>
          <w:b/>
          <w:sz w:val="24"/>
          <w:rFonts w:ascii="Times New Roman" w:hAnsi="Times New Roman"/>
        </w:rPr>
        <w:t xml:space="preserve">Ursprunglig version</w:t>
      </w:r>
      <w:r>
        <w:rPr>
          <w:b/>
          <w:sz w:val="24"/>
          <w:rFonts w:ascii="Times New Roman" w:hAnsi="Times New Roman"/>
        </w:rPr>
        <w:t xml:space="preserve"> </w:t>
      </w:r>
    </w:p>
    <w:p w14:paraId="7AA0884E" w14:textId="77777777" w:rsidR="004F7E45" w:rsidRPr="004F7E45" w:rsidRDefault="004F7E45" w:rsidP="004F7E45">
      <w:pPr>
        <w:spacing w:before="100" w:beforeAutospacing="1" w:after="100" w:afterAutospacing="1" w:line="240" w:lineRule="auto"/>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Målgrupper: tillverkare, importörer, distributörer eller andra personer som släpper ut elektrisk och elektronisk utrustning på marknaden liksom försäljare av samma utrustning samt de som driver en webbplats, en plattform eller någon annan elektronisk distributionskanal inom ramen för sin yrkesmässiga verksamhet i Frankrike.</w:t>
      </w:r>
      <w:r>
        <w:rPr>
          <w:sz w:val="24"/>
          <w:rFonts w:ascii="Times New Roman" w:hAnsi="Times New Roman"/>
        </w:rPr>
        <w:t xml:space="preserve"> </w:t>
      </w:r>
      <w:r>
        <w:rPr>
          <w:sz w:val="24"/>
          <w:rFonts w:ascii="Times New Roman" w:hAnsi="Times New Roman"/>
        </w:rPr>
        <w:br/>
      </w:r>
      <w:r>
        <w:rPr>
          <w:sz w:val="24"/>
          <w:rFonts w:ascii="Times New Roman" w:hAnsi="Times New Roman"/>
        </w:rPr>
        <w:t xml:space="preserve">Angående: genomförandebestämmelser för det reparerbarhetsindex som definieras i artikel L541-9-2 i miljöbalken.</w:t>
      </w:r>
      <w:r>
        <w:rPr>
          <w:sz w:val="24"/>
          <w:rFonts w:ascii="Times New Roman" w:hAnsi="Times New Roman"/>
        </w:rPr>
        <w:t xml:space="preserve"> </w:t>
      </w:r>
      <w:r>
        <w:rPr>
          <w:sz w:val="24"/>
          <w:rFonts w:ascii="Times New Roman" w:hAnsi="Times New Roman"/>
        </w:rPr>
        <w:br/>
      </w:r>
      <w:r>
        <w:rPr>
          <w:sz w:val="24"/>
          <w:rFonts w:ascii="Times New Roman" w:hAnsi="Times New Roman"/>
        </w:rPr>
        <w:t xml:space="preserve">Ikraftträdande: texten träder i kraft den 1 januari 2021.</w:t>
      </w:r>
      <w:r>
        <w:rPr>
          <w:sz w:val="24"/>
          <w:rFonts w:ascii="Times New Roman" w:hAnsi="Times New Roman"/>
        </w:rPr>
        <w:t xml:space="preserve"> </w:t>
      </w:r>
      <w:r>
        <w:rPr>
          <w:sz w:val="24"/>
          <w:rFonts w:ascii="Times New Roman" w:hAnsi="Times New Roman"/>
        </w:rPr>
        <w:br/>
      </w:r>
      <w:r>
        <w:rPr>
          <w:sz w:val="24"/>
          <w:rFonts w:ascii="Times New Roman" w:hAnsi="Times New Roman"/>
        </w:rPr>
        <w:t xml:space="preserve">Meddelande: i detta dekret fastställs förfarandena för genomförandet av artikel L541-9-2 i miljöbalken, som föreskriver införande av ett reparerbarhetsindex för vissa kategorier av elektriska och elektroniska produkter.</w:t>
      </w:r>
      <w:r>
        <w:rPr>
          <w:sz w:val="24"/>
          <w:rFonts w:ascii="Times New Roman" w:hAnsi="Times New Roman"/>
        </w:rPr>
        <w:t xml:space="preserve"> </w:t>
      </w:r>
      <w:r>
        <w:rPr>
          <w:sz w:val="24"/>
          <w:rFonts w:ascii="Times New Roman" w:hAnsi="Times New Roman"/>
        </w:rPr>
        <w:t xml:space="preserve">Det ska särskilt ange kriterier och parametrar för den beräkning som används för att upprätta detta index samt den allmänna ramen för skyldigheterna i samband med dess kommunikation och presentation.</w:t>
      </w:r>
      <w:r>
        <w:rPr>
          <w:sz w:val="24"/>
          <w:rFonts w:ascii="Times New Roman" w:hAnsi="Times New Roman"/>
        </w:rPr>
        <w:t xml:space="preserve"> </w:t>
      </w:r>
      <w:r>
        <w:rPr>
          <w:sz w:val="24"/>
          <w:rFonts w:ascii="Times New Roman" w:hAnsi="Times New Roman"/>
        </w:rPr>
        <w:br/>
      </w:r>
      <w:r>
        <w:rPr>
          <w:sz w:val="24"/>
          <w:rFonts w:ascii="Times New Roman" w:hAnsi="Times New Roman"/>
        </w:rPr>
        <w:t xml:space="preserve">Detta dekret finns tillgängligt på webbplatsen tillhörande Légifrance (</w:t>
      </w:r>
      <w:r>
        <w:rPr>
          <w:sz w:val="24"/>
          <w:rFonts w:ascii="Times New Roman" w:hAnsi="Times New Roman"/>
        </w:rPr>
        <w:t xml:space="preserve">http://www.legifrance.gouv.fr</w:t>
      </w:r>
      <w:r>
        <w:rPr>
          <w:sz w:val="24"/>
          <w:rFonts w:ascii="Times New Roman" w:hAnsi="Times New Roman"/>
        </w:rPr>
        <w:t xml:space="preserve">).</w:t>
      </w:r>
      <w:r>
        <w:rPr>
          <w:sz w:val="24"/>
          <w:rFonts w:ascii="Times New Roman" w:hAnsi="Times New Roman"/>
        </w:rPr>
        <w:t xml:space="preserve"> </w:t>
      </w:r>
    </w:p>
    <w:p w14:paraId="09C3F7EC"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Premiärministern har antagit detta dekret</w:t>
      </w:r>
    </w:p>
    <w:p w14:paraId="40611F90"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Om rapporten från ministern för ekologisk övergång och ekonomi-, finans- och återhämtningsministern,</w:t>
      </w:r>
    </w:p>
    <w:p w14:paraId="1A81B9F1"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Med beaktande av Europaparlamentets och rådets direktiv 2008/98/EG av den 19 november 2008 om avfall och om upphävande av vissa direktiv, senast ändrat genom direktiv (EU) 2018/851 av den 30 maj 2018;</w:t>
      </w:r>
    </w:p>
    <w:p w14:paraId="581D6C66"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Med beaktande av Europaparlamentets och rådets direktiv (EU) 2015/1535 av den 9 september 2015 om ett informationsförfarande beträffande tekniska föreskrifter för informationssamhällets tjänster, tillsammans med anmälan som skickades till Europeiska kommissionen den 21 juli 2020;</w:t>
      </w:r>
    </w:p>
    <w:p w14:paraId="546BA7DD"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Med beaktande av miljölagen, särskilt artikel L541-9-2 i dess lydelse i artikel 16 i lag nr 2020-105 av den 10 februari 2020 om bekämpningen av resursslöseri och om den cirkulära ekonomin;</w:t>
      </w:r>
    </w:p>
    <w:p w14:paraId="09557C55"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Med beaktande av lag nr 2020-105 om kampen mot avfall och om cirkulär ekonomi, särskilt artiklarna 16, 29 och 130 i denna;</w:t>
      </w:r>
    </w:p>
    <w:p w14:paraId="48736AEC"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Med beaktande av de synpunkter som framfördes under det offentliga samrådet mellan den 21 juli 2020 och den 17 augusti 2020 i enlighet med artikel L123-19-1 i miljöbalken;</w:t>
      </w:r>
    </w:p>
    <w:p w14:paraId="514A1D37"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Efter att ha hört statsrådet (avdelningen för offentlig arbete),</w:t>
      </w:r>
    </w:p>
    <w:p w14:paraId="7B9A171C" w14:textId="529FA357" w:rsidR="004F7E45" w:rsidRPr="004F7E45"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Härigenom föreskrivs följande.</w:t>
      </w:r>
    </w:p>
    <w:p w14:paraId="61759A43" w14:textId="77777777" w:rsidR="004F7E45" w:rsidRPr="004F7E45" w:rsidRDefault="004F7E45" w:rsidP="004F7E45">
      <w:pPr>
        <w:spacing w:before="100" w:beforeAutospacing="1" w:after="100" w:afterAutospacing="1" w:line="240" w:lineRule="auto"/>
        <w:ind w:left="450"/>
        <w:outlineLvl w:val="3"/>
        <w:rPr>
          <w:b/>
          <w:bCs/>
          <w:sz w:val="24"/>
          <w:szCs w:val="24"/>
          <w:rFonts w:ascii="Times New Roman" w:eastAsia="Times New Roman" w:hAnsi="Times New Roman" w:cs="Times New Roman"/>
        </w:rPr>
      </w:pPr>
      <w:r>
        <w:rPr>
          <w:b/>
          <w:sz w:val="24"/>
          <w:rFonts w:ascii="Times New Roman" w:hAnsi="Times New Roman"/>
        </w:rPr>
        <w:t xml:space="preserve">Artikel 1</w:t>
      </w:r>
    </w:p>
    <w:p w14:paraId="77ABD760"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Kapitel I i titel IV i bok V i miljöbalkens regleringsdel ska kompletteras med följande avsnitt 9 med följande lydelse:</w:t>
      </w:r>
    </w:p>
    <w:p w14:paraId="16727251"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”Avsnitt 9 Information till allmänheten om avfallsgenererande produkter”</w:t>
      </w:r>
    </w:p>
    <w:p w14:paraId="3F984B64"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”Underavsnitt 1 Visning av reparerbarhetsindex</w:t>
      </w:r>
    </w:p>
    <w:p w14:paraId="50911D7C"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”Artikel R541-210.</w:t>
      </w:r>
      <w:r>
        <w:rPr>
          <w:sz w:val="24"/>
          <w:rFonts w:ascii="Times New Roman" w:hAnsi="Times New Roman"/>
        </w:rPr>
        <w:t xml:space="preserve"> </w:t>
      </w:r>
      <w:r>
        <w:rPr>
          <w:sz w:val="24"/>
          <w:rFonts w:ascii="Times New Roman" w:hAnsi="Times New Roman"/>
        </w:rPr>
        <w:t xml:space="preserve">- Reparerbarhetsindexet för elektriska och elektroniska produkter som definieras i artikel L541-9-2 består av ett poängtal av tio som ska tillhandahållas konsumenterna vid köp av ny utrustning.</w:t>
      </w:r>
      <w:r>
        <w:rPr>
          <w:sz w:val="24"/>
          <w:rFonts w:ascii="Times New Roman" w:hAnsi="Times New Roman"/>
        </w:rPr>
        <w:br/>
      </w:r>
      <w:r>
        <w:rPr>
          <w:sz w:val="24"/>
          <w:rFonts w:ascii="Times New Roman" w:hAnsi="Times New Roman"/>
        </w:rPr>
        <w:t xml:space="preserve">”Detta index avser var och en av denna utrustnings modeller.</w:t>
      </w:r>
    </w:p>
    <w:p w14:paraId="377464DC"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”Artikel R541-211.</w:t>
      </w:r>
      <w:r>
        <w:rPr>
          <w:sz w:val="24"/>
          <w:rFonts w:ascii="Times New Roman" w:hAnsi="Times New Roman"/>
        </w:rPr>
        <w:t xml:space="preserve"> </w:t>
      </w:r>
      <w:r>
        <w:rPr>
          <w:sz w:val="24"/>
          <w:rFonts w:ascii="Times New Roman" w:hAnsi="Times New Roman"/>
        </w:rPr>
        <w:t xml:space="preserve">- I detta avsnitt gäller följande definitioner:</w:t>
      </w:r>
      <w:r>
        <w:rPr>
          <w:sz w:val="24"/>
          <w:rFonts w:ascii="Times New Roman" w:hAnsi="Times New Roman"/>
        </w:rPr>
        <w:br/>
      </w:r>
      <w:r>
        <w:rPr>
          <w:sz w:val="24"/>
          <w:rFonts w:ascii="Times New Roman" w:hAnsi="Times New Roman"/>
        </w:rPr>
        <w:t xml:space="preserve">1.</w:t>
      </w:r>
      <w:r>
        <w:rPr>
          <w:sz w:val="24"/>
          <w:rFonts w:ascii="Times New Roman" w:hAnsi="Times New Roman"/>
        </w:rPr>
        <w:t xml:space="preserve"> </w:t>
      </w:r>
      <w:r>
        <w:rPr>
          <w:sz w:val="24"/>
          <w:rFonts w:ascii="Times New Roman" w:hAnsi="Times New Roman"/>
        </w:rPr>
        <w:t xml:space="preserve">”Tillhandahållande på marknaden”: leveranser av elektriska eller elektroniska produkter som är avsedda att distribueras eller användas på den nationella marknaden i samband med kommersiell verksamhet, mot betalning eller kostnadsfritt;</w:t>
      </w:r>
    </w:p>
    <w:p w14:paraId="712B5E64"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2.</w:t>
      </w:r>
      <w:r>
        <w:rPr>
          <w:sz w:val="24"/>
          <w:rFonts w:ascii="Times New Roman" w:hAnsi="Times New Roman"/>
        </w:rPr>
        <w:t xml:space="preserve"> </w:t>
      </w:r>
      <w:r>
        <w:rPr>
          <w:sz w:val="24"/>
          <w:rFonts w:ascii="Times New Roman" w:hAnsi="Times New Roman"/>
        </w:rPr>
        <w:t xml:space="preserve">”Placering på marknaden”: det första tillhandahållandet av elektrisk eller elektronisk utrustning på den inhemska marknaden;</w:t>
      </w:r>
    </w:p>
    <w:p w14:paraId="38196A95"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3.</w:t>
      </w:r>
      <w:r>
        <w:rPr>
          <w:sz w:val="24"/>
          <w:rFonts w:ascii="Times New Roman" w:hAnsi="Times New Roman"/>
        </w:rPr>
        <w:t xml:space="preserve"> </w:t>
      </w:r>
      <w:r>
        <w:rPr>
          <w:sz w:val="24"/>
          <w:rFonts w:ascii="Times New Roman" w:hAnsi="Times New Roman"/>
        </w:rPr>
        <w:t xml:space="preserve">”Importör”: varje fysisk eller juridisk person som släpper ut elektrisk eller elektronisk utrustning från Europeiska unionens medlemsstater eller från tredje land på den inhemska marknaden;</w:t>
      </w:r>
    </w:p>
    <w:p w14:paraId="3814DEE0"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4.</w:t>
      </w:r>
      <w:r>
        <w:rPr>
          <w:sz w:val="24"/>
          <w:rFonts w:ascii="Times New Roman" w:hAnsi="Times New Roman"/>
        </w:rPr>
        <w:t xml:space="preserve"> </w:t>
      </w:r>
      <w:r>
        <w:rPr>
          <w:sz w:val="24"/>
          <w:rFonts w:ascii="Times New Roman" w:hAnsi="Times New Roman"/>
        </w:rPr>
        <w:t xml:space="preserve">”Säljare”: varje fysisk eller juridisk person som inom ramen för en yrkesmässig verksamhet tillhandahåller elektrisk eller elektronisk utrustning för konsumenter genom försäljning, inbegripet på distans;</w:t>
      </w:r>
    </w:p>
    <w:p w14:paraId="596FE06B"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5.</w:t>
      </w:r>
      <w:r>
        <w:rPr>
          <w:sz w:val="24"/>
          <w:rFonts w:ascii="Times New Roman" w:hAnsi="Times New Roman"/>
        </w:rPr>
        <w:t xml:space="preserve"> </w:t>
      </w:r>
      <w:r>
        <w:rPr>
          <w:sz w:val="24"/>
          <w:rFonts w:ascii="Times New Roman" w:hAnsi="Times New Roman"/>
        </w:rPr>
        <w:t xml:space="preserve">”Distansförsäljning”: distansavtal mellan en yrkesmässig säljare och en konsument inom ramen för ett organiserat system för försäljning, utan näringsidkarens och konsumentens samtidiga närvaro, som enbart ingås med hjälp av ett eller flera medel för distanskommunikation;</w:t>
      </w:r>
    </w:p>
    <w:p w14:paraId="76DB3484"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6.</w:t>
      </w:r>
      <w:r>
        <w:rPr>
          <w:sz w:val="24"/>
          <w:rFonts w:ascii="Times New Roman" w:hAnsi="Times New Roman"/>
        </w:rPr>
        <w:t xml:space="preserve"> </w:t>
      </w:r>
      <w:r>
        <w:rPr>
          <w:sz w:val="24"/>
          <w:rFonts w:ascii="Times New Roman" w:hAnsi="Times New Roman"/>
        </w:rPr>
        <w:t xml:space="preserve">”Modell”: en version av en apparat vars enheter har samma relevanta tekniska egenskaper för beräkningen av reparerbarhetsindexet.</w:t>
      </w:r>
    </w:p>
    <w:p w14:paraId="6A24F5EF" w14:textId="2E831C23" w:rsidR="004F7E45" w:rsidRPr="004F7E45"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”De övriga termerna förstås i enlighet med bestämmelserna i artikel R543-171-2, ”producent” som betyder ”tillverkare” i den mening som avses i denna artikel.</w:t>
      </w:r>
    </w:p>
    <w:p w14:paraId="26FBD480"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”Artikel R541-212.</w:t>
      </w:r>
      <w:r>
        <w:rPr>
          <w:sz w:val="24"/>
          <w:rFonts w:ascii="Times New Roman" w:hAnsi="Times New Roman"/>
        </w:rPr>
        <w:t xml:space="preserve"> </w:t>
      </w:r>
      <w:r>
        <w:rPr>
          <w:sz w:val="24"/>
          <w:rFonts w:ascii="Times New Roman" w:hAnsi="Times New Roman"/>
        </w:rPr>
        <w:t xml:space="preserve">- I.- Tillverkarna eller importörerna ska upprätta reparerbarhetsindexet för den elektriska eller elektroniska utrustning som de släpper ut på marknaden samt de parametrar med vilka det har upprättats enligt de metoder som fastställs genom den förordning som refereras till i artikel R541-214(III).</w:t>
      </w:r>
      <w:r>
        <w:rPr>
          <w:sz w:val="24"/>
          <w:rFonts w:ascii="Times New Roman" w:hAnsi="Times New Roman"/>
        </w:rPr>
        <w:br/>
      </w:r>
      <w:r>
        <w:rPr>
          <w:sz w:val="24"/>
          <w:rFonts w:ascii="Times New Roman" w:hAnsi="Times New Roman"/>
        </w:rPr>
        <w:t xml:space="preserve">II.</w:t>
      </w:r>
      <w:r>
        <w:rPr>
          <w:sz w:val="24"/>
          <w:rFonts w:ascii="Times New Roman" w:hAnsi="Times New Roman"/>
        </w:rPr>
        <w:t xml:space="preserve"> </w:t>
      </w:r>
      <w:r>
        <w:rPr>
          <w:sz w:val="24"/>
          <w:rFonts w:ascii="Times New Roman" w:hAnsi="Times New Roman"/>
        </w:rPr>
        <w:t xml:space="preserve">- Tillverkarna eller importörerna ska, utan kostnad och i papperslöst format, meddela distributörerna eller säljarna vid saluföring och leverans av den elektriska eller elektroniska utrustningen följande för varje apparatmodell som släpps på marknaden:</w:t>
      </w:r>
      <w:r>
        <w:rPr>
          <w:sz w:val="24"/>
          <w:rFonts w:ascii="Times New Roman" w:hAnsi="Times New Roman"/>
        </w:rPr>
        <w:br/>
      </w:r>
      <w:r>
        <w:rPr>
          <w:sz w:val="24"/>
          <w:rFonts w:ascii="Times New Roman" w:hAnsi="Times New Roman"/>
        </w:rPr>
        <w:t xml:space="preserve">1.</w:t>
      </w:r>
      <w:r>
        <w:rPr>
          <w:sz w:val="24"/>
          <w:rFonts w:ascii="Times New Roman" w:hAnsi="Times New Roman"/>
        </w:rPr>
        <w:t xml:space="preserve"> </w:t>
      </w:r>
      <w:r>
        <w:rPr>
          <w:sz w:val="24"/>
          <w:rFonts w:ascii="Times New Roman" w:hAnsi="Times New Roman"/>
        </w:rPr>
        <w:t xml:space="preserve">Reparerbarhetsindex i enlighet med de villkor och skyltar som föreskrivs i det beslut som avses i artikel Article R541-213(I);</w:t>
      </w:r>
      <w:r>
        <w:rPr>
          <w:sz w:val="24"/>
          <w:rFonts w:ascii="Times New Roman" w:hAnsi="Times New Roman"/>
        </w:rPr>
        <w:br/>
      </w:r>
      <w:r>
        <w:rPr>
          <w:sz w:val="24"/>
          <w:rFonts w:ascii="Times New Roman" w:hAnsi="Times New Roman"/>
        </w:rPr>
        <w:t xml:space="preserve">‘2.</w:t>
      </w:r>
      <w:r>
        <w:rPr>
          <w:sz w:val="24"/>
          <w:rFonts w:ascii="Times New Roman" w:hAnsi="Times New Roman"/>
        </w:rPr>
        <w:t xml:space="preserve"> </w:t>
      </w:r>
      <w:r>
        <w:rPr>
          <w:sz w:val="24"/>
          <w:rFonts w:ascii="Times New Roman" w:hAnsi="Times New Roman"/>
        </w:rPr>
        <w:t xml:space="preserve">De parametrar som gjorde det möjligt att fastställa reparerbarhetsindex i enlighet med det format som föreskrivs i den förordning som refereras till i artikel R541-213(I).</w:t>
      </w:r>
      <w:r>
        <w:rPr>
          <w:sz w:val="24"/>
          <w:rFonts w:ascii="Times New Roman" w:hAnsi="Times New Roman"/>
        </w:rPr>
        <w:br/>
      </w:r>
      <w:r>
        <w:rPr>
          <w:sz w:val="24"/>
          <w:rFonts w:ascii="Times New Roman" w:hAnsi="Times New Roman"/>
        </w:rPr>
        <w:t xml:space="preserve">III.</w:t>
      </w:r>
      <w:r>
        <w:rPr>
          <w:sz w:val="24"/>
          <w:rFonts w:ascii="Times New Roman" w:hAnsi="Times New Roman"/>
        </w:rPr>
        <w:t xml:space="preserve"> </w:t>
      </w:r>
      <w:r>
        <w:rPr>
          <w:sz w:val="24"/>
          <w:rFonts w:ascii="Times New Roman" w:hAnsi="Times New Roman"/>
        </w:rPr>
        <w:t xml:space="preserve">- Om distributören och säljaren inte är desamma ska distributören kostnadsfritt och på samma villkor som anges i II informera säljaren om indexet och parametrarna för dess beräkning vid tidpunkten för hänvisning och leverans av elektriska och elektroniska produkter.</w:t>
      </w:r>
      <w:r>
        <w:rPr>
          <w:sz w:val="24"/>
          <w:rFonts w:ascii="Times New Roman" w:hAnsi="Times New Roman"/>
        </w:rPr>
        <w:br/>
      </w:r>
      <w:r>
        <w:rPr>
          <w:sz w:val="24"/>
          <w:rFonts w:ascii="Times New Roman" w:hAnsi="Times New Roman"/>
        </w:rPr>
        <w:t xml:space="preserve">IV.</w:t>
      </w:r>
      <w:r>
        <w:rPr>
          <w:sz w:val="24"/>
          <w:rFonts w:ascii="Times New Roman" w:hAnsi="Times New Roman"/>
        </w:rPr>
        <w:t xml:space="preserve"> </w:t>
      </w:r>
      <w:r>
        <w:rPr>
          <w:sz w:val="24"/>
          <w:rFonts w:ascii="Times New Roman" w:hAnsi="Times New Roman"/>
        </w:rPr>
        <w:t xml:space="preserve">- Dessutom får indexet fästas direkt på varje utrustning eller på förpackningen genom märkning, i enlighet med de skyltar som föreskrivs i den förordning som refereras till i artikel R541-213(I).</w:t>
      </w:r>
      <w:r>
        <w:rPr>
          <w:sz w:val="24"/>
          <w:rFonts w:ascii="Times New Roman" w:hAnsi="Times New Roman"/>
        </w:rPr>
        <w:br/>
      </w:r>
      <w:r>
        <w:rPr>
          <w:sz w:val="24"/>
          <w:rFonts w:ascii="Times New Roman" w:hAnsi="Times New Roman"/>
        </w:rPr>
        <w:t xml:space="preserve">‘V.- Tillverkarna och importörerna ska utan kostnad och inom 15 dagar meddela de uppgifter som anges i punkt II till varje person som begär dem under en period på minst två år efter det att den senaste enheten av en apparatmodell har släppts ut på marknaden.</w:t>
      </w:r>
    </w:p>
    <w:p w14:paraId="261403F3"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”Artikel R541-213.</w:t>
      </w:r>
      <w:r>
        <w:rPr>
          <w:sz w:val="24"/>
          <w:rFonts w:ascii="Times New Roman" w:hAnsi="Times New Roman"/>
        </w:rPr>
        <w:t xml:space="preserve"> </w:t>
      </w:r>
      <w:r>
        <w:rPr>
          <w:sz w:val="24"/>
          <w:rFonts w:ascii="Times New Roman" w:hAnsi="Times New Roman"/>
        </w:rPr>
        <w:t xml:space="preserve">- I. - Om elektriska eller elektroniska produkter bjuds ut till försäljning i butiker ska säljaren, i enlighet med de förfaranden och de skyltar som föreskrivs i beslut av ministern med ansvar för miljö och ekonomi, tydligt ange det reparerbarhetsindex som tillverkaren eller importören tillhandahåller på varje produkt som föreslås för försäljning eller i omedelbar närhet.</w:t>
      </w:r>
      <w:r>
        <w:rPr>
          <w:sz w:val="24"/>
          <w:rFonts w:ascii="Times New Roman" w:hAnsi="Times New Roman"/>
        </w:rPr>
        <w:br/>
      </w:r>
      <w:r>
        <w:rPr>
          <w:sz w:val="24"/>
          <w:rFonts w:ascii="Times New Roman" w:hAnsi="Times New Roman"/>
        </w:rPr>
        <w:t xml:space="preserve">II.</w:t>
      </w:r>
      <w:r>
        <w:rPr>
          <w:sz w:val="24"/>
          <w:rFonts w:ascii="Times New Roman" w:hAnsi="Times New Roman"/>
        </w:rPr>
        <w:t xml:space="preserve"> </w:t>
      </w:r>
      <w:r>
        <w:rPr>
          <w:sz w:val="24"/>
          <w:rFonts w:ascii="Times New Roman" w:hAnsi="Times New Roman"/>
        </w:rPr>
        <w:t xml:space="preserve">- Om elektrisk eller elektronisk utrustning bjuds ut till försäljning på distans ska säljaren på ett synligt sätt visa reparerbarhetsindexet i presentationen av utrustningen och i närheten av dess pris, i enlighet med de villkor som anges i den förordning som anges i I.</w:t>
      </w:r>
      <w:r>
        <w:rPr>
          <w:sz w:val="24"/>
          <w:rFonts w:ascii="Times New Roman" w:hAnsi="Times New Roman"/>
        </w:rPr>
        <w:br/>
      </w:r>
      <w:r>
        <w:rPr>
          <w:sz w:val="24"/>
          <w:rFonts w:ascii="Times New Roman" w:hAnsi="Times New Roman"/>
        </w:rPr>
        <w:t xml:space="preserve">‘III.</w:t>
      </w:r>
      <w:r>
        <w:rPr>
          <w:sz w:val="24"/>
          <w:rFonts w:ascii="Times New Roman" w:hAnsi="Times New Roman"/>
        </w:rPr>
        <w:t xml:space="preserve"> </w:t>
      </w:r>
      <w:r>
        <w:rPr>
          <w:sz w:val="24"/>
          <w:rFonts w:ascii="Times New Roman" w:hAnsi="Times New Roman"/>
        </w:rPr>
        <w:t xml:space="preserve">- Säljaren ska också ge konsumenterna tillgång till de parametrar som möjliggjorde att utrustningens reparerbarhetsindex kunde fastställas på lämpligt sätt.</w:t>
      </w:r>
    </w:p>
    <w:p w14:paraId="09FA1FE2"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”Artikel R541-214.</w:t>
      </w:r>
      <w:r>
        <w:rPr>
          <w:sz w:val="24"/>
          <w:rFonts w:ascii="Times New Roman" w:hAnsi="Times New Roman"/>
        </w:rPr>
        <w:t xml:space="preserve"> </w:t>
      </w:r>
      <w:r>
        <w:rPr>
          <w:sz w:val="24"/>
          <w:rFonts w:ascii="Times New Roman" w:hAnsi="Times New Roman"/>
        </w:rPr>
        <w:t xml:space="preserve">- I. - Reparerbarhetsindexet ska beräknas med hjälp av följande parametrar:</w:t>
      </w:r>
      <w:r>
        <w:rPr>
          <w:sz w:val="24"/>
          <w:rFonts w:ascii="Times New Roman" w:hAnsi="Times New Roman"/>
        </w:rPr>
        <w:br/>
      </w:r>
      <w:r>
        <w:rPr>
          <w:sz w:val="24"/>
          <w:rFonts w:ascii="Times New Roman" w:hAnsi="Times New Roman"/>
        </w:rPr>
        <w:t xml:space="preserve">‘1° En siffra mellan ett och tjugo som avser hur länge den tekniska dokumentationen finns tillgänglig och rådgivning vad gäller användning och underhåll för tillverkare, reparatörer och konsumenter;</w:t>
      </w:r>
    </w:p>
    <w:p w14:paraId="2403791F"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‘2° En siffra mellan ett och tjugo som avser utrustningens demonteringsegenskaper: antal arbetsmoment för demontering för enskild åtkomst till reservdelar, egenskaper hos erforderliga verktyg och fastsättning mellan reservdelar;</w:t>
      </w:r>
    </w:p>
    <w:p w14:paraId="681FCAC1"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‘3° En siffra mellan ett och tjugo som avser hur länge reservdelarna finns tillgängliga på marknaden och leveranstider för tillverkare, distributörer av reservdelar, reparatörer och konsumenter;</w:t>
      </w:r>
    </w:p>
    <w:p w14:paraId="4133FD83"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‘4° En siffra mellan ett och tjugo som avser förhållandet mellan tillverkarens eller importörens försäljningspris på delarna och tillverkarens eller importörens försäljningspris på utrustningen, beräknat enligt de metoder som fastställs genom förordning;</w:t>
      </w:r>
    </w:p>
    <w:p w14:paraId="68E845C2" w14:textId="57891694" w:rsidR="004F7E45" w:rsidRPr="004F7E45"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‘5° En siffra mellan ett och tjugo som avser de specifika kriterierna för berörd utrustningskategori.</w:t>
      </w:r>
      <w:r>
        <w:rPr>
          <w:sz w:val="24"/>
          <w:rFonts w:ascii="Times New Roman" w:hAnsi="Times New Roman"/>
        </w:rPr>
        <w:br/>
      </w:r>
      <w:r>
        <w:rPr>
          <w:sz w:val="24"/>
          <w:rFonts w:ascii="Times New Roman" w:hAnsi="Times New Roman"/>
        </w:rPr>
        <w:t xml:space="preserve">II.</w:t>
      </w:r>
      <w:r>
        <w:rPr>
          <w:sz w:val="24"/>
          <w:rFonts w:ascii="Times New Roman" w:hAnsi="Times New Roman"/>
        </w:rPr>
        <w:t xml:space="preserve"> </w:t>
      </w:r>
      <w:r>
        <w:rPr>
          <w:sz w:val="24"/>
          <w:rFonts w:ascii="Times New Roman" w:hAnsi="Times New Roman"/>
        </w:rPr>
        <w:t xml:space="preserve">- Reparerbarhetsindexet erhålls genom addition av de fem erhållna siffrorna och efterföljande division av totalsumman med tio för att ange en sammanfattande poängsumma på en skala mellan 1 och 10.</w:t>
      </w:r>
      <w:r>
        <w:rPr>
          <w:sz w:val="24"/>
          <w:rFonts w:ascii="Times New Roman" w:hAnsi="Times New Roman"/>
        </w:rPr>
        <w:br/>
      </w:r>
      <w:r>
        <w:rPr>
          <w:sz w:val="24"/>
          <w:rFonts w:ascii="Times New Roman" w:hAnsi="Times New Roman"/>
        </w:rPr>
        <w:t xml:space="preserve">III.</w:t>
      </w:r>
      <w:r>
        <w:rPr>
          <w:sz w:val="24"/>
          <w:rFonts w:ascii="Times New Roman" w:hAnsi="Times New Roman"/>
        </w:rPr>
        <w:t xml:space="preserve"> </w:t>
      </w:r>
      <w:r>
        <w:rPr>
          <w:sz w:val="24"/>
          <w:rFonts w:ascii="Times New Roman" w:hAnsi="Times New Roman"/>
        </w:rPr>
        <w:t xml:space="preserve">- Genom en förordning från miljöministern och ekonomi- och finansministern fastställs för varje kategori av elektronisk och elektrisk utrustning alla kriterier och underkriterier, inbegripet de för kategorin specifika kriterierna samt beräkningsmetoderna för indexet.</w:t>
      </w:r>
    </w:p>
    <w:p w14:paraId="31C9246E" w14:textId="77777777" w:rsidR="004F7E45" w:rsidRPr="004F7E45" w:rsidRDefault="004F7E45" w:rsidP="004F7E45">
      <w:pPr>
        <w:spacing w:before="100" w:beforeAutospacing="1" w:after="100" w:afterAutospacing="1" w:line="240" w:lineRule="auto"/>
        <w:ind w:left="450"/>
        <w:outlineLvl w:val="3"/>
        <w:rPr>
          <w:b/>
          <w:bCs/>
          <w:sz w:val="24"/>
          <w:szCs w:val="24"/>
          <w:rFonts w:ascii="Times New Roman" w:eastAsia="Times New Roman" w:hAnsi="Times New Roman" w:cs="Times New Roman"/>
        </w:rPr>
      </w:pPr>
      <w:r>
        <w:rPr>
          <w:b/>
          <w:sz w:val="24"/>
          <w:rFonts w:ascii="Times New Roman" w:hAnsi="Times New Roman"/>
        </w:rPr>
        <w:t xml:space="preserve">Artikel 2</w:t>
      </w:r>
    </w:p>
    <w:p w14:paraId="0C875A98"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Bestämmelserna i detta dekret träder i kraft från och med den 1 januari 2021.</w:t>
      </w:r>
    </w:p>
    <w:p w14:paraId="3FAB2966" w14:textId="77777777" w:rsidR="004F7E45" w:rsidRPr="004F7E45" w:rsidRDefault="004F7E45" w:rsidP="004F7E45">
      <w:pPr>
        <w:spacing w:before="100" w:beforeAutospacing="1" w:after="100" w:afterAutospacing="1" w:line="240" w:lineRule="auto"/>
        <w:ind w:left="450"/>
        <w:outlineLvl w:val="3"/>
        <w:rPr>
          <w:b/>
          <w:bCs/>
          <w:sz w:val="24"/>
          <w:szCs w:val="24"/>
          <w:rFonts w:ascii="Times New Roman" w:eastAsia="Times New Roman" w:hAnsi="Times New Roman" w:cs="Times New Roman"/>
        </w:rPr>
      </w:pPr>
      <w:r>
        <w:rPr>
          <w:b/>
          <w:sz w:val="24"/>
          <w:rFonts w:ascii="Times New Roman" w:hAnsi="Times New Roman"/>
        </w:rPr>
        <w:t xml:space="preserve">Artikel 3</w:t>
      </w:r>
    </w:p>
    <w:p w14:paraId="24600007"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Ministern för ekologisk omställning och ekonomi- och finansministern ansvarar var och en inom sitt område för tillämpningen av detta dekret, som kommer att offentliggöras i Republiken Frankrikes officiella tidning (Journal officiel).</w:t>
      </w:r>
    </w:p>
    <w:p w14:paraId="11EDDB72" w14:textId="77777777" w:rsidR="004F7E45" w:rsidRPr="004F7E45" w:rsidRDefault="004F7E45" w:rsidP="004F7E45">
      <w:pPr>
        <w:spacing w:before="100" w:beforeAutospacing="1" w:after="100" w:afterAutospacing="1" w:line="240" w:lineRule="auto"/>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Daterat den 29 december 2020.</w:t>
      </w:r>
    </w:p>
    <w:p w14:paraId="6D086227" w14:textId="77777777" w:rsidR="004F7E45" w:rsidRPr="004F7E45" w:rsidRDefault="004F7E45" w:rsidP="004F7E45">
      <w:pPr>
        <w:spacing w:before="100" w:beforeAutospacing="1" w:after="100" w:afterAutospacing="1" w:line="240" w:lineRule="auto"/>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Jean Castex Av premiärministern:</w:t>
      </w:r>
    </w:p>
    <w:p w14:paraId="75AA65C8" w14:textId="77777777" w:rsidR="004F7E45" w:rsidRPr="004F7E45" w:rsidRDefault="004F7E45" w:rsidP="004F7E45">
      <w:pPr>
        <w:spacing w:before="100" w:beforeAutospacing="1" w:after="100" w:afterAutospacing="1" w:line="240" w:lineRule="auto"/>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Minister för ekologisk övergång, Barbara Pompili</w:t>
      </w:r>
    </w:p>
    <w:p w14:paraId="250F8DFD" w14:textId="77777777" w:rsidR="004F7E45" w:rsidRPr="004F7E45" w:rsidRDefault="004F7E45" w:rsidP="004F7E45">
      <w:pPr>
        <w:spacing w:before="100" w:beforeAutospacing="1" w:after="100" w:afterAutospacing="1" w:line="240" w:lineRule="auto"/>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Bruno Le Maire, ekonomi-, finans- och återhämtningsminister</w:t>
      </w:r>
    </w:p>
    <w:p w14:paraId="60C6DEC7" w14:textId="77777777" w:rsidR="00CF4D53" w:rsidRDefault="00CF4D53"/>
    <w:sectPr w:rsidR="00CF4D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45"/>
    <w:rsid w:val="004C7568"/>
    <w:rsid w:val="004F7E45"/>
    <w:rsid w:val="00CF4D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54B5C"/>
  <w15:chartTrackingRefBased/>
  <w15:docId w15:val="{A73B6F73-6A2C-4EF9-AF88-F4CB7DAB6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557498">
      <w:bodyDiv w:val="1"/>
      <w:marLeft w:val="0"/>
      <w:marRight w:val="0"/>
      <w:marTop w:val="0"/>
      <w:marBottom w:val="0"/>
      <w:divBdr>
        <w:top w:val="none" w:sz="0" w:space="0" w:color="auto"/>
        <w:left w:val="none" w:sz="0" w:space="0" w:color="auto"/>
        <w:bottom w:val="none" w:sz="0" w:space="0" w:color="auto"/>
        <w:right w:val="none" w:sz="0" w:space="0" w:color="auto"/>
      </w:divBdr>
      <w:divsChild>
        <w:div w:id="1589196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1394</Words>
  <Characters>7951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Dimitris Dimitriadis</cp:lastModifiedBy>
  <cp:revision>2</cp:revision>
  <dcterms:created xsi:type="dcterms:W3CDTF">2021-01-04T14:42:00Z</dcterms:created>
  <dcterms:modified xsi:type="dcterms:W3CDTF">2021-04-13T11:53:00Z</dcterms:modified>
</cp:coreProperties>
</file>