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C6227" w14:textId="77777777" w:rsidR="00000018" w:rsidRDefault="00000018" w:rsidP="00000018">
      <w:pPr>
        <w:jc w:val="center"/>
        <w:rPr>
          <w:rFonts w:ascii="Courier New" w:hAnsi="Courier New"/>
          <w:sz w:val="20"/>
        </w:rPr>
      </w:pPr>
      <w:r>
        <w:rPr>
          <w:rFonts w:ascii="Courier New" w:hAnsi="Courier New"/>
          <w:sz w:val="20"/>
        </w:rPr>
        <w:t>1. ------IND- 2020 0469 F-- CS- ------ 20210228 --- --- FINAL</w:t>
      </w:r>
    </w:p>
    <w:p w14:paraId="4CBE32FB" w14:textId="77777777" w:rsidR="00E53DB4" w:rsidRPr="00970505" w:rsidRDefault="00E53DB4" w:rsidP="00ED3F8B">
      <w:pPr>
        <w:spacing w:after="0" w:line="240" w:lineRule="auto"/>
      </w:pPr>
    </w:p>
    <w:p w14:paraId="37B6A598" w14:textId="77777777" w:rsidR="004C4E44" w:rsidRDefault="004C4E44" w:rsidP="00ED3F8B">
      <w:pPr>
        <w:spacing w:after="0" w:line="240" w:lineRule="auto"/>
        <w:outlineLvl w:val="1"/>
        <w:rPr>
          <w:rFonts w:ascii="Times New Roman" w:eastAsia="Times New Roman" w:hAnsi="Times New Roman" w:cs="Times New Roman"/>
          <w:b/>
          <w:bCs/>
          <w:sz w:val="36"/>
          <w:szCs w:val="36"/>
        </w:rPr>
      </w:pPr>
      <w:r>
        <w:rPr>
          <w:rFonts w:ascii="Times New Roman" w:hAnsi="Times New Roman"/>
          <w:b/>
          <w:sz w:val="36"/>
        </w:rPr>
        <w:t>Vyhláška ze dne 29. prosince 2020 o způsobech uvádění a označování indexu opravitelnosti a o obecných parametrech pro jeho výpočet</w:t>
      </w:r>
    </w:p>
    <w:p w14:paraId="74FB8CF6" w14:textId="77777777" w:rsidR="00ED3F8B" w:rsidRPr="00970505" w:rsidRDefault="00ED3F8B" w:rsidP="00ED3F8B">
      <w:pPr>
        <w:spacing w:after="0" w:line="240" w:lineRule="auto"/>
        <w:outlineLvl w:val="1"/>
        <w:rPr>
          <w:rFonts w:ascii="Times New Roman" w:eastAsia="Times New Roman" w:hAnsi="Times New Roman" w:cs="Times New Roman"/>
          <w:b/>
          <w:bCs/>
          <w:sz w:val="36"/>
          <w:szCs w:val="36"/>
          <w:lang w:eastAsia="fr-FR"/>
        </w:rPr>
      </w:pPr>
    </w:p>
    <w:p w14:paraId="715BA3EA" w14:textId="77777777" w:rsidR="004C4E44" w:rsidRPr="00970505" w:rsidRDefault="004C4E44" w:rsidP="00ED3F8B">
      <w:pPr>
        <w:spacing w:after="0"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Původní znění </w:t>
      </w:r>
    </w:p>
    <w:p w14:paraId="63AC2D3C" w14:textId="77777777" w:rsidR="00FB0990" w:rsidRDefault="00FB0990" w:rsidP="00ED3F8B">
      <w:pPr>
        <w:spacing w:after="0" w:line="240" w:lineRule="auto"/>
        <w:rPr>
          <w:rFonts w:ascii="Times New Roman" w:eastAsia="Times New Roman" w:hAnsi="Times New Roman" w:cs="Times New Roman"/>
          <w:sz w:val="24"/>
          <w:szCs w:val="24"/>
          <w:lang w:eastAsia="fr-FR"/>
        </w:rPr>
      </w:pPr>
    </w:p>
    <w:p w14:paraId="5F503FEB" w14:textId="77777777" w:rsidR="00ED3F8B" w:rsidRPr="00970505" w:rsidRDefault="00ED3F8B" w:rsidP="00ED3F8B">
      <w:pPr>
        <w:spacing w:after="0" w:line="240" w:lineRule="auto"/>
        <w:rPr>
          <w:rFonts w:ascii="Times New Roman" w:eastAsia="Times New Roman" w:hAnsi="Times New Roman" w:cs="Times New Roman"/>
          <w:sz w:val="24"/>
          <w:szCs w:val="24"/>
          <w:lang w:eastAsia="fr-FR"/>
        </w:rPr>
      </w:pPr>
    </w:p>
    <w:p w14:paraId="24B11482"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 xml:space="preserve">Dotčené skupiny obyvatelstva: výrobci, dovozci, distributoři či jiné osoby, které uvádějí na trh elektrická a elektronická zařízení, a prodejci těchto zařízení i osoby, které využívají internetové stránky, platformu nebo jiný způsob on-line distribuce v rámci své obchodní činnosti provozované na území Francie. </w:t>
      </w:r>
    </w:p>
    <w:p w14:paraId="386C758D"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 xml:space="preserve">Předmět: způsoby uvádění a označování indexu opravitelnosti a obecné parametry pro jeho výpočet. </w:t>
      </w:r>
    </w:p>
    <w:p w14:paraId="33E67026"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 xml:space="preserve">Nabytí účinnosti: tento text nabývá účinnosti dnem 1. ledna 2021. </w:t>
      </w:r>
    </w:p>
    <w:p w14:paraId="2A69380C"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 xml:space="preserve">Poznámka: tato vyhláška stanoví způsoby uvádění a označování indexu opravitelnosti a obecné parametry pro jeho výpočet. </w:t>
      </w:r>
    </w:p>
    <w:p w14:paraId="219800D3"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 xml:space="preserve">Odkazy: tato vyhláška je k dispozici k nahlédnutí na internetových stránkách Légifrance (https://www.legifrance.gouv.fr). </w:t>
      </w:r>
    </w:p>
    <w:p w14:paraId="5F6457AC" w14:textId="77777777" w:rsidR="00FB0990" w:rsidRDefault="00FB0990" w:rsidP="00ED3F8B">
      <w:pPr>
        <w:spacing w:after="0" w:line="240" w:lineRule="auto"/>
        <w:rPr>
          <w:rFonts w:ascii="Times New Roman" w:eastAsia="Times New Roman" w:hAnsi="Times New Roman" w:cs="Times New Roman"/>
          <w:sz w:val="24"/>
          <w:szCs w:val="24"/>
          <w:lang w:eastAsia="fr-FR"/>
        </w:rPr>
      </w:pPr>
    </w:p>
    <w:p w14:paraId="27844418" w14:textId="77777777" w:rsidR="00ED3F8B" w:rsidRPr="00970505" w:rsidRDefault="00ED3F8B" w:rsidP="00ED3F8B">
      <w:pPr>
        <w:spacing w:after="0" w:line="240" w:lineRule="auto"/>
        <w:rPr>
          <w:rFonts w:ascii="Times New Roman" w:eastAsia="Times New Roman" w:hAnsi="Times New Roman" w:cs="Times New Roman"/>
          <w:sz w:val="24"/>
          <w:szCs w:val="24"/>
          <w:lang w:eastAsia="fr-FR"/>
        </w:rPr>
      </w:pPr>
    </w:p>
    <w:p w14:paraId="183501B2"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Ministryně pro ekologický přechod a ministr hospodářství, financí a oživení,</w:t>
      </w:r>
    </w:p>
    <w:p w14:paraId="448ECD40"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s ohledem na nařízení Komise (EU) 2019/2021 ze dne 1. října 2019, kterým se stanoví požadavky na ekodesign elektronických displejů podle směrnice Evropského parlamentu a Rady 2009/125/ES, mění nařízení Komise (ES) č. 1275/2008 a zrušuje nařízení Komise (ES) č. 642/2009;</w:t>
      </w:r>
    </w:p>
    <w:p w14:paraId="3564E3F2"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s ohledem na zákoník životního prostředí, a zejména na jeho článek L. 541-9-2;</w:t>
      </w:r>
    </w:p>
    <w:p w14:paraId="7A8990A1"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s ohledem na nařízení č. 2020-1757 ze dne 29. prosince 2020 o indexu opravitelnosti elektrických a elektronických zařízení,</w:t>
      </w:r>
    </w:p>
    <w:p w14:paraId="0A7E68E7" w14:textId="77777777" w:rsidR="004C4E44" w:rsidRDefault="004C4E44" w:rsidP="00ED3F8B">
      <w:pPr>
        <w:keepNext/>
        <w:spacing w:after="0" w:line="240" w:lineRule="auto"/>
        <w:rPr>
          <w:rFonts w:ascii="Times New Roman" w:eastAsia="Times New Roman" w:hAnsi="Times New Roman" w:cs="Times New Roman"/>
          <w:sz w:val="24"/>
          <w:szCs w:val="24"/>
        </w:rPr>
      </w:pPr>
      <w:r>
        <w:rPr>
          <w:rFonts w:ascii="Times New Roman" w:hAnsi="Times New Roman"/>
          <w:sz w:val="24"/>
        </w:rPr>
        <w:t>nařizují:</w:t>
      </w:r>
    </w:p>
    <w:p w14:paraId="2E8B1580" w14:textId="77777777" w:rsidR="00ED3F8B" w:rsidRPr="00970505" w:rsidRDefault="00ED3F8B" w:rsidP="00ED3F8B">
      <w:pPr>
        <w:keepNext/>
        <w:spacing w:after="0" w:line="240" w:lineRule="auto"/>
        <w:rPr>
          <w:rFonts w:ascii="Times New Roman" w:eastAsia="Times New Roman" w:hAnsi="Times New Roman" w:cs="Times New Roman"/>
          <w:sz w:val="24"/>
          <w:szCs w:val="24"/>
          <w:lang w:eastAsia="fr-FR"/>
        </w:rPr>
      </w:pPr>
    </w:p>
    <w:p w14:paraId="28C49017" w14:textId="77777777" w:rsidR="004C4E44" w:rsidRDefault="004C4E44" w:rsidP="00ED3F8B">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sz w:val="24"/>
        </w:rPr>
        <w:t>Článek 1</w:t>
      </w:r>
    </w:p>
    <w:p w14:paraId="17D88BDD" w14:textId="77777777" w:rsidR="00ED3F8B" w:rsidRPr="00970505" w:rsidRDefault="00ED3F8B" w:rsidP="00ED3F8B">
      <w:pPr>
        <w:keepNext/>
        <w:spacing w:after="0" w:line="240" w:lineRule="auto"/>
        <w:ind w:left="446"/>
        <w:outlineLvl w:val="3"/>
        <w:rPr>
          <w:rFonts w:ascii="Times New Roman" w:eastAsia="Times New Roman" w:hAnsi="Times New Roman" w:cs="Times New Roman"/>
          <w:b/>
          <w:bCs/>
          <w:sz w:val="24"/>
          <w:szCs w:val="24"/>
          <w:lang w:eastAsia="fr-FR"/>
        </w:rPr>
      </w:pPr>
    </w:p>
    <w:p w14:paraId="697A5807" w14:textId="77777777" w:rsidR="00FB0990" w:rsidRPr="00970505" w:rsidRDefault="00FB0990" w:rsidP="00ED3F8B">
      <w:pPr>
        <w:keepNext/>
        <w:spacing w:after="0" w:line="240" w:lineRule="auto"/>
        <w:ind w:left="450"/>
        <w:rPr>
          <w:rFonts w:ascii="Times New Roman" w:eastAsia="Times New Roman" w:hAnsi="Times New Roman" w:cs="Times New Roman"/>
          <w:sz w:val="24"/>
          <w:szCs w:val="24"/>
          <w:lang w:eastAsia="fr-FR"/>
        </w:rPr>
      </w:pPr>
    </w:p>
    <w:p w14:paraId="158FEDF8" w14:textId="77777777" w:rsidR="004C4E44"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Tato vyhláška se vztahuje na všechna elektrická a elektronická zařízení, u kterých se vypočítává a uvádí index opravitelnosti v souladu s ustanoveními článků R. 541-210 až R. 541-214 zákoníku životního prostředí.</w:t>
      </w:r>
    </w:p>
    <w:p w14:paraId="4DA90C60" w14:textId="77777777"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14:paraId="694C8B13" w14:textId="77777777" w:rsidR="004C4E44" w:rsidRPr="00970505" w:rsidRDefault="004C4E44" w:rsidP="00ED3F8B">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sz w:val="24"/>
        </w:rPr>
        <w:t>Článek 2</w:t>
      </w:r>
    </w:p>
    <w:p w14:paraId="38804DB1" w14:textId="77777777" w:rsidR="00FB0990" w:rsidRDefault="00FB0990" w:rsidP="00ED3F8B">
      <w:pPr>
        <w:keepNext/>
        <w:spacing w:after="0" w:line="240" w:lineRule="auto"/>
        <w:ind w:left="450"/>
        <w:rPr>
          <w:rFonts w:ascii="Times New Roman" w:eastAsia="Times New Roman" w:hAnsi="Times New Roman" w:cs="Times New Roman"/>
          <w:sz w:val="24"/>
          <w:szCs w:val="24"/>
          <w:lang w:eastAsia="fr-FR"/>
        </w:rPr>
      </w:pPr>
    </w:p>
    <w:p w14:paraId="2D314775" w14:textId="77777777" w:rsidR="00ED3F8B" w:rsidRPr="00970505" w:rsidRDefault="00ED3F8B" w:rsidP="00ED3F8B">
      <w:pPr>
        <w:keepNext/>
        <w:spacing w:after="0" w:line="240" w:lineRule="auto"/>
        <w:ind w:left="450"/>
        <w:rPr>
          <w:rFonts w:ascii="Times New Roman" w:eastAsia="Times New Roman" w:hAnsi="Times New Roman" w:cs="Times New Roman"/>
          <w:sz w:val="24"/>
          <w:szCs w:val="24"/>
          <w:lang w:eastAsia="fr-FR"/>
        </w:rPr>
      </w:pPr>
    </w:p>
    <w:p w14:paraId="568F2A45"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U všech elektrických a elektronických zařízení uvedených v článku 1 představuje index opravitelnosti známka od nuly do 10 s možností jednoho desetinného místa.</w:t>
      </w:r>
    </w:p>
    <w:p w14:paraId="4D557FF1"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Pokud je číslice na prvním desetinném místě nižší než 5, známka se zaokrouhlí na nejbližší nižší celé číslo.</w:t>
      </w:r>
    </w:p>
    <w:p w14:paraId="641A2973" w14:textId="77777777" w:rsidR="004C4E44"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Pokud je číslice na místě desetiny nejméně 5, známka se zaokrouhlí na vyšší celé číslo.</w:t>
      </w:r>
    </w:p>
    <w:p w14:paraId="5AB50601" w14:textId="77777777"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14:paraId="6DB43D69" w14:textId="77777777" w:rsidR="004C4E44" w:rsidRPr="00970505" w:rsidRDefault="004C4E44" w:rsidP="00ED3F8B">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sz w:val="24"/>
        </w:rPr>
        <w:lastRenderedPageBreak/>
        <w:t>Článek 3</w:t>
      </w:r>
    </w:p>
    <w:p w14:paraId="36A4D84F" w14:textId="77777777" w:rsidR="00FB0990" w:rsidRDefault="00FB0990" w:rsidP="00ED3F8B">
      <w:pPr>
        <w:keepNext/>
        <w:spacing w:after="0" w:line="240" w:lineRule="auto"/>
        <w:ind w:left="450"/>
        <w:rPr>
          <w:rFonts w:ascii="Times New Roman" w:eastAsia="Times New Roman" w:hAnsi="Times New Roman" w:cs="Times New Roman"/>
          <w:sz w:val="24"/>
          <w:szCs w:val="24"/>
          <w:lang w:eastAsia="fr-FR"/>
        </w:rPr>
      </w:pPr>
    </w:p>
    <w:p w14:paraId="6D0B2F94" w14:textId="77777777" w:rsidR="00ED3F8B" w:rsidRPr="00970505" w:rsidRDefault="00ED3F8B" w:rsidP="00ED3F8B">
      <w:pPr>
        <w:keepNext/>
        <w:spacing w:after="0" w:line="240" w:lineRule="auto"/>
        <w:ind w:left="450"/>
        <w:rPr>
          <w:rFonts w:ascii="Times New Roman" w:eastAsia="Times New Roman" w:hAnsi="Times New Roman" w:cs="Times New Roman"/>
          <w:sz w:val="24"/>
          <w:szCs w:val="24"/>
          <w:lang w:eastAsia="fr-FR"/>
        </w:rPr>
      </w:pPr>
    </w:p>
    <w:p w14:paraId="612D3BA5" w14:textId="77777777" w:rsidR="00FB0990" w:rsidRPr="00970505" w:rsidRDefault="004C4E44" w:rsidP="00ED3F8B">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Podle takto získané známky se použijí následující barevné kódy pro uvádění indexu:</w:t>
      </w:r>
    </w:p>
    <w:p w14:paraId="1F5624F3"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1. známka nejméně 0 a nejvýše 1,9: červená, referenční barva Pantone 186 C;</w:t>
      </w:r>
    </w:p>
    <w:p w14:paraId="46D4495B"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2. známka nejméně 2 a nejvýše 3,9: oranžová, referenční barva Pantone 1585 C;</w:t>
      </w:r>
    </w:p>
    <w:p w14:paraId="590F020C"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3. známka nejméně 4 a nejvýše 5,9: žlutá, referenční barva Pantone 7548 C;</w:t>
      </w:r>
    </w:p>
    <w:p w14:paraId="2FCE65F8"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4. známka nejméně 6 a nejvýše 7,9: světle zelená, referenční barva Pantone 2291 C;</w:t>
      </w:r>
    </w:p>
    <w:p w14:paraId="1C2AAC3E"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5. Známka nejméně 8 a nejvýše 10: tmavě zelená, referenční barva Pantone 347 C.</w:t>
      </w:r>
    </w:p>
    <w:p w14:paraId="2C1E9580" w14:textId="77777777" w:rsidR="004C4E44"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Povinné označování pro uvádění indexu opravitelnosti má grafickou podobu, která obsahuje údaj „index opravitelnosti“ a piktogram s vyznačením známky indexu níže.</w:t>
      </w:r>
    </w:p>
    <w:p w14:paraId="2C5A1436"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16C624C0"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4A7C9804"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Do celého textu i s obrázky je možné nahlížet na ověřeném výpisu z elektronického věstníku, který je k dispozici v dolní části stránky</w:t>
      </w:r>
    </w:p>
    <w:p w14:paraId="28E0A91F" w14:textId="77777777" w:rsidR="00FB0990" w:rsidRDefault="00FB0990" w:rsidP="00ED3F8B">
      <w:pPr>
        <w:spacing w:after="0" w:line="240" w:lineRule="auto"/>
        <w:ind w:left="450"/>
        <w:rPr>
          <w:rFonts w:ascii="Times New Roman" w:eastAsia="Times New Roman" w:hAnsi="Times New Roman" w:cs="Times New Roman"/>
          <w:sz w:val="24"/>
          <w:szCs w:val="24"/>
          <w:lang w:eastAsia="fr-FR"/>
        </w:rPr>
      </w:pPr>
    </w:p>
    <w:p w14:paraId="4DC4D1AB" w14:textId="77777777" w:rsidR="003D645A" w:rsidRPr="00970505" w:rsidRDefault="003D645A" w:rsidP="00ED3F8B">
      <w:pPr>
        <w:spacing w:after="0" w:line="240" w:lineRule="auto"/>
        <w:ind w:left="450"/>
        <w:rPr>
          <w:rFonts w:ascii="Times New Roman" w:eastAsia="Times New Roman" w:hAnsi="Times New Roman" w:cs="Times New Roman"/>
          <w:sz w:val="24"/>
          <w:szCs w:val="24"/>
          <w:lang w:eastAsia="fr-FR"/>
        </w:rPr>
      </w:pPr>
    </w:p>
    <w:p w14:paraId="12AC6AEF"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Velikost písma známky od jedné do 10 musí být přinejmenším shodná s velikostí písma u číslic ceny v daném oddělení. Jakékoli úpravy velikosti tohoto označení je nutno provádět stejnoměrně.</w:t>
      </w:r>
    </w:p>
    <w:p w14:paraId="7B8F162E" w14:textId="77777777" w:rsidR="004C4E44"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V případě, kdy se index také umisťuje přímo na každou jednotku modelu nebo na obal pomocí štítku nebo značky, musí mít grafické ztvárnění takovou velikost, aby bylo viditelné a čitelné.</w:t>
      </w:r>
    </w:p>
    <w:p w14:paraId="3B52EE3A" w14:textId="77777777"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14:paraId="778A094C" w14:textId="77777777" w:rsidR="004C4E44" w:rsidRPr="00970505" w:rsidRDefault="004C4E44" w:rsidP="00A74E8F">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sz w:val="24"/>
        </w:rPr>
        <w:t>Článek 4</w:t>
      </w:r>
    </w:p>
    <w:p w14:paraId="0593ADD6" w14:textId="77777777" w:rsidR="00FB0990" w:rsidRDefault="00FB0990" w:rsidP="00A74E8F">
      <w:pPr>
        <w:keepNext/>
        <w:spacing w:after="0" w:line="240" w:lineRule="auto"/>
        <w:ind w:left="450"/>
        <w:rPr>
          <w:rFonts w:ascii="Times New Roman" w:eastAsia="Times New Roman" w:hAnsi="Times New Roman" w:cs="Times New Roman"/>
          <w:sz w:val="24"/>
          <w:szCs w:val="24"/>
          <w:lang w:eastAsia="fr-FR"/>
        </w:rPr>
      </w:pPr>
    </w:p>
    <w:p w14:paraId="0D809CB9" w14:textId="77777777" w:rsidR="00ED3F8B" w:rsidRPr="00970505" w:rsidRDefault="00ED3F8B" w:rsidP="00A74E8F">
      <w:pPr>
        <w:keepNext/>
        <w:spacing w:after="0" w:line="240" w:lineRule="auto"/>
        <w:ind w:left="450"/>
        <w:rPr>
          <w:rFonts w:ascii="Times New Roman" w:eastAsia="Times New Roman" w:hAnsi="Times New Roman" w:cs="Times New Roman"/>
          <w:sz w:val="24"/>
          <w:szCs w:val="24"/>
          <w:lang w:eastAsia="fr-FR"/>
        </w:rPr>
      </w:pPr>
    </w:p>
    <w:p w14:paraId="1A091E9B"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Každé dílčí kritérium indexu představuje známku od nuly do deseti a obsahuje koeficient, podle něhož lze stanovit známku od nuly do 20 za každé kritérium, jak je uvedeno v následující tabulce. Součet známek za jednotlivá kritéria, která mají stejnou váhu, znamená součet na stupnici do sta, z něhož se pak vypočítá index od nuly do deseti.</w:t>
      </w:r>
    </w:p>
    <w:p w14:paraId="6AE7D907" w14:textId="77777777" w:rsidR="004C4E44"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Oznámení a zpřístupnění parametrů, podle nichž se stanoví index opravitelnosti u každého zařízení, se provádí v souladu s následující tabulkou v neměnném číselném formátu o rozměrech 21 × 29,7 cm.</w:t>
      </w:r>
    </w:p>
    <w:p w14:paraId="5B7DCEA3"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05"/>
        <w:gridCol w:w="2102"/>
        <w:gridCol w:w="1256"/>
        <w:gridCol w:w="1298"/>
        <w:gridCol w:w="1208"/>
        <w:gridCol w:w="1087"/>
      </w:tblGrid>
      <w:tr w:rsidR="004C4E44" w:rsidRPr="00970505" w14:paraId="6F2AC6BD"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6D2F0A" w14:textId="77777777"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14:paraId="6BB254B8" w14:textId="77777777"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Kritérium</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8F8A0" w14:textId="77777777"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14:paraId="5D16ED9C" w14:textId="77777777"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Dílčí kritérium</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6718E" w14:textId="77777777"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14:paraId="335F4667" w14:textId="77777777"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Známka za dílčí kritérium</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CB3E2" w14:textId="77777777"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14:paraId="0D2DD679" w14:textId="77777777"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Koeficient dílčího kritéria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98C9E" w14:textId="77777777"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14:paraId="61E446C3" w14:textId="77777777"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Známka za kritérium</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B9DFB" w14:textId="77777777"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14:paraId="5A685251" w14:textId="77777777"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Součet známek za kritéria</w:t>
            </w:r>
          </w:p>
        </w:tc>
      </w:tr>
      <w:tr w:rsidR="004C4E44" w:rsidRPr="00970505" w14:paraId="308E5338"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172E47"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F57501B"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1. Dokumentace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8EE61"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42CDDF85"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1.1. Délka dostupnosti technické dokumentace a dokumentace pokynů k používání a údržbě</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4DAD0"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284B542D"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90A80"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4344CDA1"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18084"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05FC186E"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341EA96"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02D13FEF"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▀▀/100</w:t>
            </w:r>
          </w:p>
        </w:tc>
      </w:tr>
      <w:tr w:rsidR="004C4E44" w:rsidRPr="00970505" w14:paraId="6020F267" w14:textId="77777777" w:rsidTr="004C4E4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1B694E"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9A3BDA3"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t>2. Demontovatelnost a přístup, nářadí, spoje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EEA0F"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656251B"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t>2.1 Snadnost demontáže dílů ze seznamu 2(*)</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A469D"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3DD3CBA7"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89E9D"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74299173"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BDCD41"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01783253"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2F496E"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59AD5748" w14:textId="77777777"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003EF2"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7BA87A"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9FB0CCA"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2.2. Nezbytné nářadí (seznam 2)</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66B42"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2FEDC6ED"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546FE"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0FB15066"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660F88"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6E89E9"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0B8E7096" w14:textId="77777777"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9FA425D"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D0E87D"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973E32C"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2.3. Vlastnosti spojovacích materiálů mezi díly ze seznamu 1(**) a ze seznamu 2</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EC7B4"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46A0317C"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74DDF"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69932619"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296EDD"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8EEFB3"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453C0E34" w14:textId="77777777" w:rsidTr="004C4E4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81D3B3"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79A3767B"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3. Dostupnost náhradních dílů</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541A6"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57B4459C"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3.1 Doba dostupnosti dílů ze seznamu 2</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F5660"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48017F82"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587DF"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29BA7A90"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FCA639"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0481D697"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121854"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5CEC4BE8" w14:textId="77777777"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F9C9DE"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C20F7C"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7D8C69D"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3.2. Doba dostupnosti dílů ze seznamu 1</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84237"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7920EEE6"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9F339"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0474D3B6"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EAA64A"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FA2F11"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2FD792F4" w14:textId="77777777"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28EDFA"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3E82D5"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122E1EB1"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3.3. Dodací lhůta dílů ze seznamu 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C22C7"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7FAEE1CA"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8F6BE"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1FBEDAAD"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0,3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D7D7DD"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814241"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3A267C14" w14:textId="77777777"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2D5E39"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84AAC3"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4397F6FF"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3.4. Dodací lhůta dílů ze seznamu 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B6DBA"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5DDD5149"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439C2"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01A891F6"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0,2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F42C9C"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6036E3"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4C05FC57"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72EE65"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61307E71"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4. Cena náhradních dílů</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FA8AB"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2A66604"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4.1. Poměr ceny dílů ze seznamu 2 a ceny nového zařízení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45C47"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7074EBCE"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730C6"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6D670E58"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E2DD2"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4050A1D6"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5D72B2"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3809FCD0" w14:textId="77777777" w:rsidTr="004C4E4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AE822E"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6DC4D9C1"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5. Zvláštní kritérium</w:t>
            </w:r>
          </w:p>
          <w:p w14:paraId="33E2A00C"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(Příklad se 3 dílčími kritérii)</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2CB99"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9E95AE4"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5.1.</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09A0B"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27328132"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335E7"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4587B77C"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96DE5A"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70DCCF0D"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0013F1"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34A74345" w14:textId="77777777"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347F7E"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0BECFF"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5B8FE5F3"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5.2.</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58A06"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4A3CCD7D"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40EED"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45DD5DC2"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62B623"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F254AC"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476331D2" w14:textId="77777777"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CC806A"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672DE3"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18582CF7"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5.3.</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1CEDC"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6B297A34"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20425"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4CA5BE9B"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8E1EDF"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430D55"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72859AAE" w14:textId="77777777" w:rsidTr="004C4E44">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37B2B1E" w14:textId="77777777" w:rsidR="00FB0990" w:rsidRPr="00970505" w:rsidRDefault="00FB0990" w:rsidP="00ED3F8B">
            <w:pPr>
              <w:spacing w:after="0" w:line="240" w:lineRule="auto"/>
              <w:jc w:val="right"/>
              <w:rPr>
                <w:rFonts w:ascii="Times New Roman" w:eastAsia="Times New Roman" w:hAnsi="Times New Roman" w:cs="Times New Roman"/>
                <w:sz w:val="24"/>
                <w:szCs w:val="24"/>
                <w:lang w:eastAsia="fr-FR"/>
              </w:rPr>
            </w:pPr>
          </w:p>
          <w:p w14:paraId="6731F1F7" w14:textId="77777777" w:rsidR="004C4E44" w:rsidRPr="00970505" w:rsidRDefault="004C4E44" w:rsidP="00ED3F8B">
            <w:pPr>
              <w:spacing w:after="0" w:line="240" w:lineRule="auto"/>
              <w:jc w:val="right"/>
              <w:rPr>
                <w:rFonts w:ascii="Times New Roman" w:eastAsia="Times New Roman" w:hAnsi="Times New Roman" w:cs="Times New Roman"/>
                <w:sz w:val="24"/>
                <w:szCs w:val="24"/>
              </w:rPr>
            </w:pPr>
            <w:r>
              <w:rPr>
                <w:rFonts w:ascii="Times New Roman" w:hAnsi="Times New Roman"/>
                <w:sz w:val="24"/>
              </w:rPr>
              <w:t>Známka indexu</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C894B"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1BCBBFB1"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rPr>
              <w:t>▀▀/10</w:t>
            </w:r>
          </w:p>
        </w:tc>
      </w:tr>
      <w:tr w:rsidR="004C4E44" w:rsidRPr="00970505" w14:paraId="2F1067F9" w14:textId="77777777" w:rsidTr="004C4E44">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0A8BEA98"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4B3738E"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 Seznam 2: seznam 3 až 5 náhradních dílů (podle dotčené kategorie zařízení), jejichž rozbití nebo poruchy jsou nejčastější.</w:t>
            </w:r>
          </w:p>
          <w:p w14:paraId="6364DA1D"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 seznam 1: seznam nejvýše 10 dalších náhradních dílů (podle dotčené kategorie zařízení), jejichž dobrý stav je nezbytný pro fungování zařízení.</w:t>
            </w:r>
          </w:p>
        </w:tc>
      </w:tr>
    </w:tbl>
    <w:p w14:paraId="23718257"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54A21700"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p w14:paraId="69593B35"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U jednoho kritéria součet koeficientů pro dílčí kritéria je roven 2.</w:t>
      </w:r>
    </w:p>
    <w:p w14:paraId="1F4142C9" w14:textId="77777777" w:rsidR="004C4E44"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lastRenderedPageBreak/>
        <w:t>Podrobné rozpisy známkování pro každou konkrétní kategorii zařízení s uvedením seznamů náhradních dílů a podrobností každého dílčího kritéria jsou stanoveny vyhláškou.</w:t>
      </w:r>
    </w:p>
    <w:p w14:paraId="25ABED64" w14:textId="77777777"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14:paraId="4FBEDD09" w14:textId="77777777" w:rsidR="004C4E44" w:rsidRPr="00970505" w:rsidRDefault="004C4E44" w:rsidP="00A74E8F">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sz w:val="24"/>
        </w:rPr>
        <w:t>Článek 5</w:t>
      </w:r>
    </w:p>
    <w:p w14:paraId="68327596" w14:textId="77777777" w:rsidR="00FB0990" w:rsidRDefault="00FB0990" w:rsidP="00A74E8F">
      <w:pPr>
        <w:keepNext/>
        <w:spacing w:after="0" w:line="240" w:lineRule="auto"/>
        <w:ind w:left="446"/>
        <w:rPr>
          <w:rFonts w:ascii="Times New Roman" w:eastAsia="Times New Roman" w:hAnsi="Times New Roman" w:cs="Times New Roman"/>
          <w:sz w:val="24"/>
          <w:szCs w:val="24"/>
          <w:lang w:eastAsia="fr-FR"/>
        </w:rPr>
      </w:pPr>
    </w:p>
    <w:p w14:paraId="72D5FB18" w14:textId="77777777" w:rsidR="00ED3F8B" w:rsidRPr="00970505" w:rsidRDefault="00ED3F8B" w:rsidP="00A74E8F">
      <w:pPr>
        <w:keepNext/>
        <w:spacing w:after="0" w:line="240" w:lineRule="auto"/>
        <w:ind w:left="446"/>
        <w:rPr>
          <w:rFonts w:ascii="Times New Roman" w:eastAsia="Times New Roman" w:hAnsi="Times New Roman" w:cs="Times New Roman"/>
          <w:sz w:val="24"/>
          <w:szCs w:val="24"/>
          <w:lang w:eastAsia="fr-FR"/>
        </w:rPr>
      </w:pPr>
    </w:p>
    <w:p w14:paraId="160EAE60"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Kritérium č. 1 - Dokumentace:</w:t>
      </w:r>
    </w:p>
    <w:p w14:paraId="4C4446A8"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Dílčí kritérium 1.1 Délka dostupnosti technické dokumentace a dokumentace pokynů k používání a údržbě:</w:t>
      </w:r>
    </w:p>
    <w:p w14:paraId="72577431"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Stanoví se závazkem výrobce bezplatně poskytovat autorizovaným a nezávislým opravnám a spotřebitelům technické dokumenty a dokumenty týkající se pokynů k používání a údržbě pro spotřebitele, vyjadřuje se číselně jako počet let od uvedení poslední jednotky na trh.</w:t>
      </w:r>
    </w:p>
    <w:p w14:paraId="201181DA"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Kritérium č. 2 – Demontovatelnost a přístup, nářadí, spojovací materiály:</w:t>
      </w:r>
    </w:p>
    <w:p w14:paraId="5AAF3A05"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Dílčí kritérium 2.1. - Snadnost demontáže dílů ze seznamu 2:</w:t>
      </w:r>
    </w:p>
    <w:p w14:paraId="0F51CA01"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Stanoví se počtem kroků demontáže, které umožní samostatný přístup ke každému dílu ze seznamu 2, jeho odpojení od zařízení pro účely jeho výměny. Mezi známkou tohoto dílčího kritéria a známkou dílčího kritéria 3.1 je vazba v případě, kdy nějaký díl nelze demontovat: známka nula se tedy přenáší z jednoho dílčího kritéria na druhé.</w:t>
      </w:r>
    </w:p>
    <w:p w14:paraId="4FBF4953"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Dílčí kritérium 2.2. - Nezbytné nářadí:</w:t>
      </w:r>
    </w:p>
    <w:p w14:paraId="786CE17F"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Stanoví se typem nezbytného nářadí pro demontáž každého dílu ze seznamu 2, podle typologie, která odlišuje „běžné“, „zvláštní“ nebo „chráněné“ nářadí.</w:t>
      </w:r>
    </w:p>
    <w:p w14:paraId="0413B801"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Dílčí kritérium 2.3. Vlastnosti spojovacích materiálů:</w:t>
      </w:r>
    </w:p>
    <w:p w14:paraId="0386C360"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Stanoví se u každého dílu na seznamech 1 a 2 podle typu spojovacích materiálů, které zaručují jejich montáž k jiným dílům zařízení podle typologie, která rozlišuje „odnímatelné a opakovaně použitelné“ spojovací materiály, „odnímatelné a jednorázové“ spojovací materiály nebo „neodnímatelné a jednorázové“ spojovací materiály.</w:t>
      </w:r>
    </w:p>
    <w:p w14:paraId="6401F883"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Kritérium č. 3 – Dostupnost náhradních dílů:</w:t>
      </w:r>
    </w:p>
    <w:p w14:paraId="3AA7B419"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Dílčí kritérium 3.1 - Doba dostupnosti dílů ze seznamu 2:</w:t>
      </w:r>
    </w:p>
    <w:p w14:paraId="4EB4FC3F"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Stanoví se závazkem výrobce poskytovat díly ze seznamu 2 pro autorizované a nezávislé opravny a spotřebitele, vyjadřuje se číselně jako počet let od uvedení poslední jednotky na trh.</w:t>
      </w:r>
    </w:p>
    <w:p w14:paraId="103DDC93"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Dílčí kritérium 3.2. - Doba dostupnosti dílů ze seznamu 1:</w:t>
      </w:r>
    </w:p>
    <w:p w14:paraId="3043A528"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Stanoví se závazkem výrobce poskytovat díly ze seznamu 1 pro distributory náhradních dílů, autorizované a nezávislé opravny a spotřebitele, vyjadřuje se číselně jako počet let od uvedení poslední jednotky na trh.</w:t>
      </w:r>
    </w:p>
    <w:p w14:paraId="2E23BA63"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Dílčí kritérium 3.3. - Dodací lhůta dílů ze seznamu 2:</w:t>
      </w:r>
    </w:p>
    <w:p w14:paraId="2BB22D0D"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Stanoví se závazkem výrobce dodržet dodací lhůtu v počtu pracovních dní od data objednávky a týká se dílů ze seznamu 2 objednaných distributory náhradních dílů, autorizovanými a nezávislými opravnami a spotřebiteli.</w:t>
      </w:r>
    </w:p>
    <w:p w14:paraId="6D771154"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Dílčí kritérium 3.4. - Dodací lhůta dílů ze seznamu 1:</w:t>
      </w:r>
    </w:p>
    <w:p w14:paraId="0BE0B9E8"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Stanoví se závazkem výrobce dodržet dodací lhůtu v počtu pracovních dní od data objednávky a týká se dílů ze seznamu 1 objednaných distributory náhradních dílů, autorizovanými a nezávislými opravnami a spotřebiteli.</w:t>
      </w:r>
    </w:p>
    <w:p w14:paraId="4748AC75"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Kritérium č. 4 – Cena náhradních dílů:</w:t>
      </w:r>
    </w:p>
    <w:p w14:paraId="4A0CE0AA"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 xml:space="preserve">Dílčí kritérium 4.1. - Poměr mezi prodejní cenou náhradních dílů od výrobce nebo dovozce a cenou zařízení od výrobce nebo dovozce: </w:t>
      </w:r>
    </w:p>
    <w:p w14:paraId="6B13C3A1"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Toto kritérium je stanoveno pomocí poměru:</w:t>
      </w:r>
    </w:p>
    <w:p w14:paraId="7044EA93"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mezi</w:t>
      </w:r>
    </w:p>
    <w:p w14:paraId="1EE8099B"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lastRenderedPageBreak/>
        <w:t>cenou bez daně nejdražšího dílu ze seznamu 2 + (průměr cen bez daně jiných dílů ze seznamu 2)/2</w:t>
      </w:r>
    </w:p>
    <w:p w14:paraId="46C5510E"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a</w:t>
      </w:r>
    </w:p>
    <w:p w14:paraId="1AC36672"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cenou bez daně dotčeného modelu zařízení</w:t>
      </w:r>
    </w:p>
    <w:p w14:paraId="553DED84"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přičemž, v případě každé ceny jde o cenu bez daně podle ceníku platného v době výpočtu indexu, která je uvedena ve všeobecných obchodních podmínkách výrobce nebo dovozce nebo případně v jakémkoli příslušném smluvním dokumentu.</w:t>
      </w:r>
    </w:p>
    <w:p w14:paraId="43CDD372"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Pokud má výrobce nebo dovozce v případě dílů nebo příslušných zařízení různé ceníky podle různých kategorií zákazníků z řad distributorů nebo prodejců, jsou cenami, které se použijí při výpočtu indexu ceny z toho ceníku, který představuje nejvyšší část obratu výrobce nebo dovozce pro daný typ dílu nebo zařízení za poslední uzavřené účetní období. U zařízení a dílů nově uvedených na trh se v případě existence několika ceníků použijí ceny z toho ceníku, který obsahuje nejnižší ceny.</w:t>
      </w:r>
    </w:p>
    <w:p w14:paraId="4A3584DF"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V případě, že některé z těchto dílů nelze rozdělit nebo pokud je daný díl součástí modulu, který je jediný dostupný, je posuzovanou cenou souhrnná cena dílů nebo cena modulu.</w:t>
      </w:r>
    </w:p>
    <w:p w14:paraId="02372B4B"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Kritérium č. 5 – Zvláštní kritérium pro dotčenou kategorii zařízení:</w:t>
      </w:r>
    </w:p>
    <w:p w14:paraId="19848C47" w14:textId="77777777" w:rsidR="004C4E44"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Toto kritérium se skládá z jednoho nebo více dílčích kritérií, která jsou specifická pro dotčenou kategorii zařízení. Pokud je to vhodné pro dotčenou kategorii zařízení, zahrnuje kritérium 5, které je specifické pro danou kategorii, ještě jedno dílčí kritérium vztahující se k přítomnosti počítadla opotřebení, k němuž má spotřebitel přístup, jehož koeficient pak má hodnotu alespoň 1.</w:t>
      </w:r>
    </w:p>
    <w:p w14:paraId="0D0643D5" w14:textId="77777777" w:rsidR="00ED3F8B" w:rsidRPr="00970505" w:rsidRDefault="00ED3F8B" w:rsidP="00ED3F8B">
      <w:pPr>
        <w:spacing w:after="0" w:line="240" w:lineRule="auto"/>
        <w:ind w:left="446"/>
        <w:rPr>
          <w:rFonts w:ascii="Times New Roman" w:eastAsia="Times New Roman" w:hAnsi="Times New Roman" w:cs="Times New Roman"/>
          <w:sz w:val="24"/>
          <w:szCs w:val="24"/>
          <w:lang w:eastAsia="fr-FR"/>
        </w:rPr>
      </w:pPr>
    </w:p>
    <w:p w14:paraId="44650A29" w14:textId="77777777" w:rsidR="004C4E44" w:rsidRDefault="004C4E44" w:rsidP="00A74E8F">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sz w:val="24"/>
        </w:rPr>
        <w:t>Článek 6</w:t>
      </w:r>
    </w:p>
    <w:p w14:paraId="7343A12E" w14:textId="77777777" w:rsidR="00234310" w:rsidRDefault="00234310" w:rsidP="00A74E8F">
      <w:pPr>
        <w:keepNext/>
        <w:spacing w:after="0" w:line="240" w:lineRule="auto"/>
        <w:ind w:left="446"/>
        <w:outlineLvl w:val="3"/>
        <w:rPr>
          <w:rFonts w:ascii="Times New Roman" w:eastAsia="Times New Roman" w:hAnsi="Times New Roman" w:cs="Times New Roman"/>
          <w:b/>
          <w:bCs/>
          <w:sz w:val="24"/>
          <w:szCs w:val="24"/>
          <w:lang w:eastAsia="fr-FR"/>
        </w:rPr>
      </w:pPr>
    </w:p>
    <w:p w14:paraId="048B5D32" w14:textId="77777777" w:rsidR="00ED3F8B" w:rsidRPr="00970505" w:rsidRDefault="00ED3F8B" w:rsidP="00A74E8F">
      <w:pPr>
        <w:keepNext/>
        <w:spacing w:after="0" w:line="240" w:lineRule="auto"/>
        <w:ind w:left="446"/>
        <w:outlineLvl w:val="3"/>
        <w:rPr>
          <w:rFonts w:ascii="Times New Roman" w:eastAsia="Times New Roman" w:hAnsi="Times New Roman" w:cs="Times New Roman"/>
          <w:b/>
          <w:bCs/>
          <w:sz w:val="24"/>
          <w:szCs w:val="24"/>
          <w:lang w:eastAsia="fr-FR"/>
        </w:rPr>
      </w:pPr>
    </w:p>
    <w:p w14:paraId="718307D3"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rPr>
        <w:t>I. - Seznam dílů</w:t>
      </w:r>
    </w:p>
    <w:p w14:paraId="4AD0207D" w14:textId="77777777" w:rsidR="004C4E44" w:rsidRPr="00970505" w:rsidRDefault="004C4E44" w:rsidP="00A74E8F">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Pro každou kategorii zařízení jsou stanoveny dva seznamy dílů:</w:t>
      </w:r>
    </w:p>
    <w:p w14:paraId="2D7B388C" w14:textId="77777777" w:rsidR="00FB0990" w:rsidRDefault="00FB0990" w:rsidP="00A74E8F">
      <w:pPr>
        <w:keepNext/>
        <w:spacing w:after="0" w:line="240" w:lineRule="auto"/>
        <w:ind w:left="450"/>
        <w:rPr>
          <w:rFonts w:ascii="Times New Roman" w:eastAsia="Times New Roman" w:hAnsi="Times New Roman" w:cs="Times New Roman"/>
          <w:sz w:val="24"/>
          <w:szCs w:val="24"/>
          <w:lang w:eastAsia="fr-FR"/>
        </w:rPr>
      </w:pPr>
    </w:p>
    <w:p w14:paraId="6B35243B" w14:textId="77777777" w:rsidR="00ED3F8B" w:rsidRPr="00970505" w:rsidRDefault="00ED3F8B" w:rsidP="00A74E8F">
      <w:pPr>
        <w:keepNext/>
        <w:spacing w:after="0" w:line="240" w:lineRule="auto"/>
        <w:ind w:left="450"/>
        <w:rPr>
          <w:rFonts w:ascii="Times New Roman" w:eastAsia="Times New Roman" w:hAnsi="Times New Roman" w:cs="Times New Roman"/>
          <w:sz w:val="24"/>
          <w:szCs w:val="24"/>
          <w:lang w:eastAsia="fr-FR"/>
        </w:rPr>
      </w:pPr>
    </w:p>
    <w:p w14:paraId="70BBCF4F"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 seznam 2: seznam tří až pěti náhradních dílů (podle dotčené kategorie zařízení), jejichž rozbití nebo poruchy jsou nejčastější;</w:t>
      </w:r>
    </w:p>
    <w:p w14:paraId="700D0ED8" w14:textId="77777777" w:rsidR="004C4E44"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 seznam 1: seznam nejvýše deseti dalších náhradních dílů (podle dotčené kategorie zařízení), jejichž dobrý stav je nezbytný pro fungování zařízení.</w:t>
      </w:r>
    </w:p>
    <w:p w14:paraId="3FFF6C21"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Tyto seznamy nemusejí nezbytně pokrývat všechny díly, z nichž se zařízení skládá.</w:t>
      </w:r>
    </w:p>
    <w:p w14:paraId="44E40AF9" w14:textId="77777777" w:rsidR="00FB0990" w:rsidRPr="00970505" w:rsidRDefault="004C4E44" w:rsidP="00A74E8F">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II. - Pojem „krok“</w:t>
      </w:r>
    </w:p>
    <w:p w14:paraId="7B85DC41"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Krok je operace, po jejímž provedení dojde k demontáži součástky nebo dílu nebo k výměně nástroje. Součástka může obsahovat jeden nebo více dílů.</w:t>
      </w:r>
    </w:p>
    <w:p w14:paraId="595F95BC"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Tato obecná definice může mít výjimky odůvodněné praktickými nebo bezpečnostními skutečnostmi. Tyto výjimky upřesňuje pro každou kategorii zařízení vyhláška ministra, do jehož působnosti spadá životní prostředí, a ministra, do jehož působnosti spadají hospodářství a finance.</w:t>
      </w:r>
    </w:p>
    <w:p w14:paraId="43002B55"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Spojovacími materiály nebo spojovacími prvky se rozumí montážní a spojovací technologie nebo technologie zapečetění. Fixační nebo spojovací prvky se nepovažují za díly.</w:t>
      </w:r>
    </w:p>
    <w:p w14:paraId="788B3424" w14:textId="77777777" w:rsidR="00FB0990" w:rsidRPr="00970505" w:rsidRDefault="004C4E44" w:rsidP="00A74E8F">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III. - Druhy spojovacích materiálů</w:t>
      </w:r>
    </w:p>
    <w:p w14:paraId="0F5C483C"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Odnímatelné a opakovaně použitelné: původní systém spojovacích materiálů, který lze zcela demontovat, aniž by došlo k poškození zařízení a k zanechání zbytků, a který lze opakovaně použít.</w:t>
      </w:r>
    </w:p>
    <w:p w14:paraId="624BE2B6"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lastRenderedPageBreak/>
        <w:t>Odnímatelné a jednorázové: původní systém spojovacích materiálů, který lze zcela demontovat, aniž by došlo k poškození zařízení a k zanechání zbytků, který však nelze opakovaně použít.</w:t>
      </w:r>
    </w:p>
    <w:p w14:paraId="144553CF"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Neodnímatelné a jednorázové: původní systém spojovacích materiálů, který nelze zcela demontovat, aniž by došlo k poškození zařízení a k zanechání zbytků, a který nelze opakovaně použít.</w:t>
      </w:r>
    </w:p>
    <w:p w14:paraId="42ACF10F" w14:textId="77777777" w:rsidR="00FB0990" w:rsidRPr="00970505" w:rsidRDefault="004C4E44" w:rsidP="00A74E8F">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IV. - Druhy nářadí</w:t>
      </w:r>
    </w:p>
    <w:p w14:paraId="7FA8A383" w14:textId="77777777" w:rsidR="004C4E44" w:rsidRPr="00970505" w:rsidRDefault="004C4E44" w:rsidP="00A74E8F">
      <w:pPr>
        <w:keepNext/>
        <w:spacing w:after="0" w:line="240" w:lineRule="auto"/>
        <w:ind w:left="450"/>
        <w:rPr>
          <w:rFonts w:ascii="Times New Roman" w:eastAsia="Times New Roman" w:hAnsi="Times New Roman" w:cs="Times New Roman"/>
          <w:sz w:val="24"/>
          <w:szCs w:val="24"/>
        </w:rPr>
      </w:pPr>
      <w:r>
        <w:rPr>
          <w:rFonts w:ascii="Times New Roman" w:hAnsi="Times New Roman"/>
          <w:sz w:val="24"/>
        </w:rPr>
        <w:t>Seznam běžného nářadí tvoří následující seznam a odpovídá referenčním normám:</w:t>
      </w:r>
    </w:p>
    <w:p w14:paraId="0395DB58" w14:textId="77777777" w:rsidR="004C4E44" w:rsidRDefault="004C4E44" w:rsidP="00A74E8F">
      <w:pPr>
        <w:keepNext/>
        <w:spacing w:after="0" w:line="240" w:lineRule="auto"/>
        <w:rPr>
          <w:rFonts w:ascii="Times New Roman" w:eastAsia="Times New Roman" w:hAnsi="Times New Roman" w:cs="Times New Roman"/>
          <w:sz w:val="24"/>
          <w:szCs w:val="24"/>
          <w:lang w:eastAsia="fr-FR"/>
        </w:rPr>
      </w:pPr>
    </w:p>
    <w:p w14:paraId="270C7119" w14:textId="77777777" w:rsidR="00ED3F8B" w:rsidRPr="00970505" w:rsidRDefault="00ED3F8B" w:rsidP="00A74E8F">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48"/>
        <w:gridCol w:w="3008"/>
      </w:tblGrid>
      <w:tr w:rsidR="004C4E44" w:rsidRPr="00970505" w14:paraId="4C38EC3A"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5B936A" w14:textId="77777777"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14:paraId="0B33205A" w14:textId="77777777"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Běžná nářadí</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CE42D" w14:textId="77777777"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14:paraId="437A7720" w14:textId="77777777"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Reference</w:t>
            </w:r>
          </w:p>
        </w:tc>
      </w:tr>
      <w:tr w:rsidR="004C4E44" w:rsidRPr="00970505" w14:paraId="61742F7B"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CB5299"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192C9625"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Plochý šroubovák, křížový šroubovák a šroubovák pro šrouby Torx.</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8C5C2"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401785C8"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ISO 2380, ISO 8764, ISO 10664</w:t>
            </w:r>
          </w:p>
        </w:tc>
      </w:tr>
      <w:tr w:rsidR="004C4E44" w:rsidRPr="00970505" w14:paraId="7F2DE69B"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4E7C1E"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7AFC5D17"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Klíč pro šestihranné šrouby</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C4586"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653FD6C"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ISO 2936</w:t>
            </w:r>
          </w:p>
        </w:tc>
      </w:tr>
      <w:tr w:rsidR="004C4E44" w:rsidRPr="00970505" w14:paraId="72C3581C"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F4C85D"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FB75B99"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Smíšený klíč</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1BED2"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7D4247A4"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ISO 7738</w:t>
            </w:r>
          </w:p>
        </w:tc>
      </w:tr>
      <w:tr w:rsidR="004C4E44" w:rsidRPr="00970505" w14:paraId="2ECC103F"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181BFD"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76F68F73"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Univerzální kleště</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A271C"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10EB5296"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ISO 5746</w:t>
            </w:r>
          </w:p>
        </w:tc>
      </w:tr>
      <w:tr w:rsidR="004C4E44" w:rsidRPr="00970505" w14:paraId="1E47534A"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980CDD"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15325B2C"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Zahnuté kleště</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05524"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42F1BBA"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ISO 5745</w:t>
            </w:r>
          </w:p>
        </w:tc>
      </w:tr>
      <w:tr w:rsidR="004C4E44" w:rsidRPr="00970505" w14:paraId="4AE90D8B"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52F182"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5607E7D6"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Štípací kleště</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5CDE5"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5EC872CD"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ISO 5749</w:t>
            </w:r>
          </w:p>
        </w:tc>
      </w:tr>
      <w:tr w:rsidR="004C4E44" w:rsidRPr="00970505" w14:paraId="2A9867A0"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B97CFD"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BFCDA8B"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Kleště Siko</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8B7CC"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C8FFAE1"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ISO 8976</w:t>
            </w:r>
          </w:p>
        </w:tc>
      </w:tr>
      <w:tr w:rsidR="004C4E44" w:rsidRPr="00970505" w14:paraId="3DBAF20B"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CC2F74"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B45562C"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Samosvorné kleště</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7B870"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93B9474"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w:t>
            </w:r>
          </w:p>
        </w:tc>
      </w:tr>
      <w:tr w:rsidR="004C4E44" w:rsidRPr="00970505" w14:paraId="74C4A7DA"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E469E9"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0BFE849"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Univerzální kleště pro odizolování a lisování svorek</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F0DC9"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7700CCFB"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w:t>
            </w:r>
          </w:p>
        </w:tc>
      </w:tr>
      <w:tr w:rsidR="004C4E44" w:rsidRPr="00970505" w14:paraId="705E491E"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683AFA"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4AB4823"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Páka</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B2CD9"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3F45B46"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w:t>
            </w:r>
          </w:p>
        </w:tc>
      </w:tr>
      <w:tr w:rsidR="004C4E44" w:rsidRPr="00970505" w14:paraId="2DF05E5F"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28090B"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56EFE2A8"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Pinzeta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72404"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178D9741"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w:t>
            </w:r>
          </w:p>
        </w:tc>
      </w:tr>
      <w:tr w:rsidR="004C4E44" w:rsidRPr="00970505" w14:paraId="5B13795C"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614078"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2F33342"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Kladivo (kovová hlava)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22199"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57CFD461"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ISO 15601</w:t>
            </w:r>
          </w:p>
        </w:tc>
      </w:tr>
      <w:tr w:rsidR="004C4E44" w:rsidRPr="00970505" w14:paraId="1314D7B2"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239C63"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12332CE7"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Univerzální nůž (cutter) se zasouvacím ostřím</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E5077"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6771C80F"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w:t>
            </w:r>
          </w:p>
        </w:tc>
      </w:tr>
      <w:tr w:rsidR="004C4E44" w:rsidRPr="00970505" w14:paraId="7F416389"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A37EE3"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18479F49"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Multimetr</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67EAD"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A266D72"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w:t>
            </w:r>
          </w:p>
        </w:tc>
      </w:tr>
      <w:tr w:rsidR="004C4E44" w:rsidRPr="00970505" w14:paraId="568E84C4"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9476A9"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7C98D67B"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Voltmetr (zkoušečka napětí)</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92984"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736A781A"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w:t>
            </w:r>
          </w:p>
        </w:tc>
      </w:tr>
      <w:tr w:rsidR="004C4E44" w:rsidRPr="00970505" w14:paraId="1B94B289"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882ED7"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6779CD90"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Svářečka</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FF6E3"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33F39AF"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w:t>
            </w:r>
          </w:p>
        </w:tc>
      </w:tr>
      <w:tr w:rsidR="004C4E44" w:rsidRPr="00970505" w14:paraId="36AF0675"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9201F2"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6616207"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Lepicí pistole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A7A78"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438EB7E"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w:t>
            </w:r>
          </w:p>
        </w:tc>
      </w:tr>
      <w:tr w:rsidR="004C4E44" w:rsidRPr="00970505" w14:paraId="305BE1C3"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9798FF"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19D552BE"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Lupa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41047"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D8131B0"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w:t>
            </w:r>
          </w:p>
        </w:tc>
      </w:tr>
    </w:tbl>
    <w:p w14:paraId="4FF0D1DA"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64AF7421"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p w14:paraId="3A071152"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Zvláštní nářadí je takové, které není uvedeno na seznamu běžného nářadí, aniž by šlo o vlastní nářadí výrobce.</w:t>
      </w:r>
    </w:p>
    <w:p w14:paraId="3C304FE1"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Vlastní nářadí výrobce je takové, k němuž drží duševní vlastnictví výrobce nebo zvláštní subjekt.</w:t>
      </w:r>
    </w:p>
    <w:p w14:paraId="24754375"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V. - Počítadlo opotřebení</w:t>
      </w:r>
    </w:p>
    <w:p w14:paraId="41A99561" w14:textId="77777777" w:rsidR="004C4E44"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rPr>
        <w:t>Zařízení, které kumulativně zaznamenává opotřebení zařízení v počtu jednotek. Počítadlo opotřebení může být přímo přístupné pro spotřebitele při každém zapnutí zařízení nebo může vyžadovat úmyslnou činnost ze strany uživatele za účelem zjištění hodnoty zobrazované počítadlem opotřebení.</w:t>
      </w:r>
    </w:p>
    <w:p w14:paraId="21D474B8" w14:textId="77777777" w:rsidR="00ED3F8B" w:rsidRPr="00970505" w:rsidRDefault="00ED3F8B" w:rsidP="00ED3F8B">
      <w:pPr>
        <w:spacing w:after="0" w:line="240" w:lineRule="auto"/>
        <w:ind w:left="446"/>
        <w:rPr>
          <w:rFonts w:ascii="Times New Roman" w:eastAsia="Times New Roman" w:hAnsi="Times New Roman" w:cs="Times New Roman"/>
          <w:sz w:val="24"/>
          <w:szCs w:val="24"/>
          <w:lang w:eastAsia="fr-FR"/>
        </w:rPr>
      </w:pPr>
    </w:p>
    <w:p w14:paraId="6E8E7F72" w14:textId="77777777" w:rsidR="004C4E44" w:rsidRDefault="004C4E44" w:rsidP="00A74E8F">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sz w:val="24"/>
        </w:rPr>
        <w:t>Článek 7</w:t>
      </w:r>
    </w:p>
    <w:p w14:paraId="6BBC38FD" w14:textId="77777777" w:rsidR="00ED3F8B" w:rsidRPr="00970505" w:rsidRDefault="00ED3F8B" w:rsidP="00A74E8F">
      <w:pPr>
        <w:keepNext/>
        <w:spacing w:after="0" w:line="240" w:lineRule="auto"/>
        <w:ind w:left="446"/>
        <w:outlineLvl w:val="3"/>
        <w:rPr>
          <w:rFonts w:ascii="Times New Roman" w:eastAsia="Times New Roman" w:hAnsi="Times New Roman" w:cs="Times New Roman"/>
          <w:b/>
          <w:bCs/>
          <w:sz w:val="24"/>
          <w:szCs w:val="24"/>
          <w:lang w:eastAsia="fr-FR"/>
        </w:rPr>
      </w:pPr>
    </w:p>
    <w:p w14:paraId="2EE3366D" w14:textId="77777777" w:rsidR="00FB0990" w:rsidRPr="00970505" w:rsidRDefault="00FB0990" w:rsidP="00A74E8F">
      <w:pPr>
        <w:keepNext/>
        <w:spacing w:after="0" w:line="240" w:lineRule="auto"/>
        <w:ind w:left="450"/>
        <w:rPr>
          <w:rFonts w:ascii="Times New Roman" w:eastAsia="Times New Roman" w:hAnsi="Times New Roman" w:cs="Times New Roman"/>
          <w:sz w:val="24"/>
          <w:szCs w:val="24"/>
          <w:lang w:eastAsia="fr-FR"/>
        </w:rPr>
      </w:pPr>
    </w:p>
    <w:p w14:paraId="5DABB875" w14:textId="77777777" w:rsidR="004C4E44"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Ustanovení této vyhlášky nabývají účinnosti dne 1. ledna 2021.</w:t>
      </w:r>
    </w:p>
    <w:p w14:paraId="1FD03793" w14:textId="77777777"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14:paraId="11F0B86E" w14:textId="77777777" w:rsidR="004C4E44" w:rsidRPr="00970505" w:rsidRDefault="004C4E44" w:rsidP="00A74E8F">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sz w:val="24"/>
        </w:rPr>
        <w:t>Článek 8</w:t>
      </w:r>
    </w:p>
    <w:p w14:paraId="5AE00603" w14:textId="77777777" w:rsidR="00FB0990" w:rsidRDefault="00FB0990" w:rsidP="00A74E8F">
      <w:pPr>
        <w:keepNext/>
        <w:spacing w:after="0" w:line="240" w:lineRule="auto"/>
        <w:ind w:left="450"/>
        <w:rPr>
          <w:rFonts w:ascii="Times New Roman" w:eastAsia="Times New Roman" w:hAnsi="Times New Roman" w:cs="Times New Roman"/>
          <w:sz w:val="24"/>
          <w:szCs w:val="24"/>
          <w:lang w:eastAsia="fr-FR"/>
        </w:rPr>
      </w:pPr>
    </w:p>
    <w:p w14:paraId="5F5387D1" w14:textId="77777777" w:rsidR="00ED3F8B" w:rsidRPr="00970505" w:rsidRDefault="00ED3F8B" w:rsidP="00A74E8F">
      <w:pPr>
        <w:keepNext/>
        <w:spacing w:after="0" w:line="240" w:lineRule="auto"/>
        <w:ind w:left="450"/>
        <w:rPr>
          <w:rFonts w:ascii="Times New Roman" w:eastAsia="Times New Roman" w:hAnsi="Times New Roman" w:cs="Times New Roman"/>
          <w:sz w:val="24"/>
          <w:szCs w:val="24"/>
          <w:lang w:eastAsia="fr-FR"/>
        </w:rPr>
      </w:pPr>
    </w:p>
    <w:p w14:paraId="228E37E4" w14:textId="77777777" w:rsidR="004C4E44"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rPr>
        <w:t>Tato vyhláška bude vyhlášena v Úředním věstníku Francouzské republiky.</w:t>
      </w:r>
    </w:p>
    <w:p w14:paraId="4502ECEF" w14:textId="77777777" w:rsidR="00FB0990" w:rsidRDefault="00FB0990" w:rsidP="00ED3F8B">
      <w:pPr>
        <w:spacing w:after="0" w:line="240" w:lineRule="auto"/>
        <w:rPr>
          <w:rFonts w:ascii="Times New Roman" w:eastAsia="Times New Roman" w:hAnsi="Times New Roman" w:cs="Times New Roman"/>
          <w:sz w:val="24"/>
          <w:szCs w:val="24"/>
          <w:lang w:eastAsia="fr-FR"/>
        </w:rPr>
      </w:pPr>
    </w:p>
    <w:p w14:paraId="1C487520" w14:textId="77777777" w:rsidR="00F23DB7" w:rsidRPr="00970505" w:rsidRDefault="00F23DB7" w:rsidP="00ED3F8B">
      <w:pPr>
        <w:spacing w:after="0" w:line="240" w:lineRule="auto"/>
        <w:rPr>
          <w:rFonts w:ascii="Times New Roman" w:eastAsia="Times New Roman" w:hAnsi="Times New Roman" w:cs="Times New Roman"/>
          <w:sz w:val="24"/>
          <w:szCs w:val="24"/>
          <w:lang w:eastAsia="fr-FR"/>
        </w:rPr>
      </w:pPr>
    </w:p>
    <w:p w14:paraId="22C22079"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Dne 29. prosince 2020.</w:t>
      </w:r>
    </w:p>
    <w:p w14:paraId="0C647F40"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672840F"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Ministryně pro ekologický přechod,</w:t>
      </w:r>
    </w:p>
    <w:p w14:paraId="7240E3B3"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Za ministryni a na základě pověření:</w:t>
      </w:r>
    </w:p>
    <w:p w14:paraId="3E6C4955"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Generální komisař pro udržitelný rozvoj,</w:t>
      </w:r>
    </w:p>
    <w:p w14:paraId="5B460CBB"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T. Lesueur</w:t>
      </w:r>
    </w:p>
    <w:p w14:paraId="29634D62" w14:textId="77777777" w:rsidR="00FB0990" w:rsidRDefault="00FB0990" w:rsidP="00ED3F8B">
      <w:pPr>
        <w:spacing w:after="0" w:line="240" w:lineRule="auto"/>
        <w:rPr>
          <w:rFonts w:ascii="Times New Roman" w:eastAsia="Times New Roman" w:hAnsi="Times New Roman" w:cs="Times New Roman"/>
          <w:sz w:val="24"/>
          <w:szCs w:val="24"/>
          <w:lang w:eastAsia="fr-FR"/>
        </w:rPr>
      </w:pPr>
    </w:p>
    <w:p w14:paraId="619C6E35" w14:textId="77777777" w:rsidR="00ED3F8B" w:rsidRPr="00970505" w:rsidRDefault="00ED3F8B" w:rsidP="00ED3F8B">
      <w:pPr>
        <w:spacing w:after="0" w:line="240" w:lineRule="auto"/>
        <w:rPr>
          <w:rFonts w:ascii="Times New Roman" w:eastAsia="Times New Roman" w:hAnsi="Times New Roman" w:cs="Times New Roman"/>
          <w:sz w:val="24"/>
          <w:szCs w:val="24"/>
          <w:lang w:eastAsia="fr-FR"/>
        </w:rPr>
      </w:pPr>
    </w:p>
    <w:p w14:paraId="493CDDA4"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Ministr hospodářství, financí a oživení,</w:t>
      </w:r>
    </w:p>
    <w:p w14:paraId="3F0FB61E"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Za ministra a na základě pověření:</w:t>
      </w:r>
    </w:p>
    <w:p w14:paraId="58CA790F"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Generální ředitelka pro hospodářskou soutěž, spotřebu a stíhání podvodů,</w:t>
      </w:r>
    </w:p>
    <w:p w14:paraId="6A931E52"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rPr>
        <w:t>V. Beaumeunier</w:t>
      </w:r>
    </w:p>
    <w:sectPr w:rsidR="004C4E44" w:rsidRPr="009705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73B4E" w14:textId="77777777" w:rsidR="00CF6397" w:rsidRDefault="00CF6397" w:rsidP="00573A33">
      <w:pPr>
        <w:spacing w:after="0" w:line="240" w:lineRule="auto"/>
      </w:pPr>
      <w:r>
        <w:separator/>
      </w:r>
    </w:p>
  </w:endnote>
  <w:endnote w:type="continuationSeparator" w:id="0">
    <w:p w14:paraId="04A50C44" w14:textId="77777777" w:rsidR="00CF6397" w:rsidRDefault="00CF6397" w:rsidP="00573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E28F7" w14:textId="77777777" w:rsidR="00CF6397" w:rsidRDefault="00CF6397" w:rsidP="00573A33">
      <w:pPr>
        <w:spacing w:after="0" w:line="240" w:lineRule="auto"/>
      </w:pPr>
      <w:r>
        <w:separator/>
      </w:r>
    </w:p>
  </w:footnote>
  <w:footnote w:type="continuationSeparator" w:id="0">
    <w:p w14:paraId="319A0141" w14:textId="77777777" w:rsidR="00CF6397" w:rsidRDefault="00CF6397" w:rsidP="00573A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44"/>
    <w:rsid w:val="00000018"/>
    <w:rsid w:val="000B7DA7"/>
    <w:rsid w:val="000F132F"/>
    <w:rsid w:val="00192BA8"/>
    <w:rsid w:val="00234310"/>
    <w:rsid w:val="003D645A"/>
    <w:rsid w:val="004C4E44"/>
    <w:rsid w:val="004D0FF9"/>
    <w:rsid w:val="00573A33"/>
    <w:rsid w:val="0081055E"/>
    <w:rsid w:val="009318CB"/>
    <w:rsid w:val="00970505"/>
    <w:rsid w:val="00A74E8F"/>
    <w:rsid w:val="00AD2395"/>
    <w:rsid w:val="00CF6397"/>
    <w:rsid w:val="00E53DB4"/>
    <w:rsid w:val="00ED3F8B"/>
    <w:rsid w:val="00F23DB7"/>
    <w:rsid w:val="00FB099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23BF1"/>
  <w15:chartTrackingRefBased/>
  <w15:docId w15:val="{AA3F75DC-D5BD-40CC-AF8C-05B6F9D8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73A33"/>
    <w:pPr>
      <w:tabs>
        <w:tab w:val="center" w:pos="4320"/>
        <w:tab w:val="right" w:pos="8640"/>
      </w:tabs>
      <w:spacing w:after="0" w:line="240" w:lineRule="auto"/>
    </w:pPr>
  </w:style>
  <w:style w:type="character" w:customStyle="1" w:styleId="ZhlavChar">
    <w:name w:val="Záhlaví Char"/>
    <w:basedOn w:val="Standardnpsmoodstavce"/>
    <w:link w:val="Zhlav"/>
    <w:uiPriority w:val="99"/>
    <w:rsid w:val="00573A33"/>
  </w:style>
  <w:style w:type="paragraph" w:styleId="Zpat">
    <w:name w:val="footer"/>
    <w:basedOn w:val="Normln"/>
    <w:link w:val="ZpatChar"/>
    <w:uiPriority w:val="99"/>
    <w:unhideWhenUsed/>
    <w:rsid w:val="00573A33"/>
    <w:pPr>
      <w:tabs>
        <w:tab w:val="center" w:pos="4320"/>
        <w:tab w:val="right" w:pos="8640"/>
      </w:tabs>
      <w:spacing w:after="0" w:line="240" w:lineRule="auto"/>
    </w:pPr>
  </w:style>
  <w:style w:type="character" w:customStyle="1" w:styleId="ZpatChar">
    <w:name w:val="Zápatí Char"/>
    <w:basedOn w:val="Standardnpsmoodstavce"/>
    <w:link w:val="Zpat"/>
    <w:uiPriority w:val="99"/>
    <w:rsid w:val="00573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181901">
      <w:bodyDiv w:val="1"/>
      <w:marLeft w:val="0"/>
      <w:marRight w:val="0"/>
      <w:marTop w:val="0"/>
      <w:marBottom w:val="0"/>
      <w:divBdr>
        <w:top w:val="none" w:sz="0" w:space="0" w:color="auto"/>
        <w:left w:val="none" w:sz="0" w:space="0" w:color="auto"/>
        <w:bottom w:val="none" w:sz="0" w:space="0" w:color="auto"/>
        <w:right w:val="none" w:sz="0" w:space="0" w:color="auto"/>
      </w:divBdr>
    </w:div>
    <w:div w:id="1511601776">
      <w:bodyDiv w:val="1"/>
      <w:marLeft w:val="0"/>
      <w:marRight w:val="0"/>
      <w:marTop w:val="0"/>
      <w:marBottom w:val="0"/>
      <w:divBdr>
        <w:top w:val="none" w:sz="0" w:space="0" w:color="auto"/>
        <w:left w:val="none" w:sz="0" w:space="0" w:color="auto"/>
        <w:bottom w:val="none" w:sz="0" w:space="0" w:color="auto"/>
        <w:right w:val="none" w:sz="0" w:space="0" w:color="auto"/>
      </w:divBdr>
      <w:divsChild>
        <w:div w:id="451559851">
          <w:marLeft w:val="0"/>
          <w:marRight w:val="0"/>
          <w:marTop w:val="0"/>
          <w:marBottom w:val="0"/>
          <w:divBdr>
            <w:top w:val="none" w:sz="0" w:space="0" w:color="auto"/>
            <w:left w:val="none" w:sz="0" w:space="0" w:color="auto"/>
            <w:bottom w:val="none" w:sz="0" w:space="0" w:color="auto"/>
            <w:right w:val="none" w:sz="0" w:space="0" w:color="auto"/>
          </w:divBdr>
          <w:divsChild>
            <w:div w:id="1274484901">
              <w:marLeft w:val="0"/>
              <w:marRight w:val="0"/>
              <w:marTop w:val="0"/>
              <w:marBottom w:val="0"/>
              <w:divBdr>
                <w:top w:val="none" w:sz="0" w:space="0" w:color="auto"/>
                <w:left w:val="none" w:sz="0" w:space="0" w:color="auto"/>
                <w:bottom w:val="none" w:sz="0" w:space="0" w:color="auto"/>
                <w:right w:val="none" w:sz="0" w:space="0" w:color="auto"/>
              </w:divBdr>
            </w:div>
            <w:div w:id="50020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163B9-A96E-47B1-A99C-A07EEA6B7E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F48440-920E-419E-BB95-26E6CD8A2035}">
  <ds:schemaRefs>
    <ds:schemaRef ds:uri="http://schemas.microsoft.com/sharepoint/v3/contenttype/forms"/>
  </ds:schemaRefs>
</ds:datastoreItem>
</file>

<file path=customXml/itemProps3.xml><?xml version="1.0" encoding="utf-8"?>
<ds:datastoreItem xmlns:ds="http://schemas.openxmlformats.org/officeDocument/2006/customXml" ds:itemID="{38D68643-B4E1-4B98-94AC-E3F669A95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1873</Words>
  <Characters>11056</Characters>
  <Application>Microsoft Office Word</Application>
  <DocSecurity>0</DocSecurity>
  <Lines>92</Lines>
  <Paragraphs>25</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Petr</cp:lastModifiedBy>
  <cp:revision>11</cp:revision>
  <dcterms:created xsi:type="dcterms:W3CDTF">2021-01-04T15:30:00Z</dcterms:created>
  <dcterms:modified xsi:type="dcterms:W3CDTF">2021-02-13T10:03:00Z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