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471E09" w:rsidRDefault="00FE5842" w:rsidP="00471E09">
      <w:pPr>
        <w:spacing w:after="0" w:line="240" w:lineRule="auto"/>
        <w:rPr>
          <w:sz w:val="20"/>
          <w:szCs w:val="20"/>
          <w:rFonts w:ascii="Courier New" w:hAnsi="Courier New" w:cs="Courier New"/>
        </w:rPr>
      </w:pPr>
      <w:bookmarkStart w:id="0" w:name="_Hlk46997595"/>
      <w:r>
        <w:rPr>
          <w:sz w:val="20"/>
          <w:szCs w:val="20"/>
          <w:rFonts w:ascii="Courier New" w:hAnsi="Courier New"/>
        </w:rPr>
        <w:t xml:space="preserve">1.</w:t>
      </w:r>
      <w:r>
        <w:rPr>
          <w:sz w:val="20"/>
          <w:szCs w:val="20"/>
          <w:rFonts w:ascii="Courier New" w:hAnsi="Courier New"/>
        </w:rPr>
        <w:t xml:space="preserve"> </w:t>
      </w:r>
      <w:r>
        <w:rPr>
          <w:sz w:val="20"/>
          <w:szCs w:val="20"/>
          <w:rFonts w:ascii="Courier New" w:hAnsi="Courier New"/>
        </w:rPr>
        <w:t xml:space="preserve">------IND- 2020 0485 L-- SV- ------ 20200812 --- --- PROJET</w:t>
      </w:r>
    </w:p>
    <w:bookmarkEnd w:id="0"/>
    <w:p w14:paraId="064DCE1A" w14:textId="2EE2449E" w:rsidR="000147DB" w:rsidRPr="003E7524" w:rsidRDefault="000147DB" w:rsidP="002F5A31">
      <w:pPr>
        <w:keepNext/>
        <w:keepLines/>
        <w:spacing w:after="200" w:line="276" w:lineRule="auto"/>
        <w:jc w:val="center"/>
        <w:rPr>
          <w:b/>
          <w:sz w:val="24"/>
          <w:szCs w:val="24"/>
          <w:rFonts w:ascii="Times New Roman" w:eastAsia="Times New Roman" w:hAnsi="Times New Roman" w:cs="Times New Roman"/>
        </w:rPr>
      </w:pPr>
      <w:r>
        <w:rPr>
          <w:b/>
          <w:sz w:val="24"/>
          <w:szCs w:val="24"/>
          <w:rFonts w:ascii="Times New Roman" w:hAnsi="Times New Roman"/>
        </w:rPr>
        <w:t xml:space="preserve">Lag av den 21 mars 2017 om förpackningar och förpackningsavfall</w:t>
      </w:r>
    </w:p>
    <w:p w14:paraId="71E8730A" w14:textId="77777777" w:rsidR="000147DB" w:rsidRPr="003E7524" w:rsidRDefault="000147DB" w:rsidP="002F5A31">
      <w:pPr>
        <w:keepNext/>
        <w:keepLines/>
        <w:autoSpaceDE w:val="0"/>
        <w:autoSpaceDN w:val="0"/>
        <w:adjustRightInd w:val="0"/>
        <w:spacing w:after="120" w:line="276" w:lineRule="auto"/>
        <w:jc w:val="center"/>
        <w:rPr>
          <w:b/>
          <w:sz w:val="24"/>
          <w:szCs w:val="24"/>
          <w:rFonts w:cs="Times New Roman"/>
        </w:rPr>
      </w:pPr>
      <w:r>
        <w:rPr>
          <w:b/>
          <w:sz w:val="24"/>
          <w:szCs w:val="24"/>
        </w:rPr>
        <w:t xml:space="preserve">Samordnad text</w:t>
      </w:r>
    </w:p>
    <w:p w14:paraId="7D923E4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lang w:val="fr-LU"/>
        </w:rPr>
      </w:pPr>
    </w:p>
    <w:p w14:paraId="6E6CA03B" w14:textId="77777777" w:rsidR="000147DB" w:rsidRPr="003E7524" w:rsidRDefault="000147DB" w:rsidP="002F5A31">
      <w:pPr>
        <w:keepNext/>
        <w:keepLines/>
        <w:spacing w:after="0" w:line="240" w:lineRule="auto"/>
        <w:jc w:val="both"/>
        <w:rPr>
          <w:rFonts w:eastAsia="Times New Roman" w:cs="Arial"/>
          <w:b/>
          <w:lang w:val="fr-FR" w:eastAsia="fr-FR"/>
        </w:rPr>
      </w:pPr>
    </w:p>
    <w:p w14:paraId="584BE14E" w14:textId="77777777" w:rsidR="000147DB" w:rsidRPr="003E7524" w:rsidRDefault="000147DB" w:rsidP="002F5A31">
      <w:pPr>
        <w:keepNext/>
        <w:keepLines/>
        <w:spacing w:after="0" w:line="240" w:lineRule="auto"/>
        <w:jc w:val="both"/>
        <w:rPr>
          <w:rFonts w:eastAsia="Times New Roman" w:cs="Arial"/>
          <w:b/>
          <w:lang w:val="fr-FR" w:eastAsia="fr-FR"/>
        </w:rPr>
      </w:pPr>
    </w:p>
    <w:p w14:paraId="720F607F"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52F5EF4E"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3FEA7740" w14:textId="31B3FC85" w:rsidR="000147DB" w:rsidRPr="003E7524" w:rsidRDefault="000147DB" w:rsidP="002F5A31">
      <w:pPr>
        <w:keepNext/>
        <w:keepLines/>
        <w:spacing w:beforeLines="100" w:before="240" w:after="240" w:line="240" w:lineRule="auto"/>
        <w:jc w:val="both"/>
        <w:rPr>
          <w:color w:val="FF0000"/>
          <w:sz w:val="24"/>
          <w:szCs w:val="24"/>
          <w:rFonts w:eastAsia="Calibri" w:cs="TimesLTStd-Roman"/>
        </w:rPr>
      </w:pPr>
      <w:r>
        <w:rPr>
          <w:color w:val="FF0000"/>
          <w:sz w:val="24"/>
          <w:szCs w:val="24"/>
          <w:u w:val="single"/>
        </w:rPr>
        <w:t xml:space="preserve">Artikel 1</w:t>
      </w:r>
      <w:r>
        <w:rPr>
          <w:color w:val="FF0000"/>
          <w:sz w:val="24"/>
          <w:szCs w:val="24"/>
          <w:u w:val="single"/>
        </w:rPr>
        <w:t xml:space="preserve"> </w:t>
      </w:r>
      <w:r>
        <w:rPr>
          <w:color w:val="FF0000"/>
          <w:sz w:val="24"/>
          <w:szCs w:val="24"/>
          <w:u w:val="single"/>
        </w:rPr>
        <w:t xml:space="preserve">Syfte</w:t>
      </w:r>
    </w:p>
    <w:p w14:paraId="20EDAC04" w14:textId="77777777" w:rsidR="000147DB" w:rsidRPr="003E7524" w:rsidRDefault="000147DB" w:rsidP="000147DB">
      <w:pPr>
        <w:spacing w:beforeLines="100" w:before="240" w:after="240" w:line="240" w:lineRule="auto"/>
        <w:jc w:val="both"/>
        <w:rPr>
          <w:color w:val="FF0000"/>
          <w:sz w:val="24"/>
          <w:szCs w:val="24"/>
          <w:rFonts w:eastAsia="Calibri" w:cs="TimesLTStd-Roman"/>
        </w:rPr>
      </w:pPr>
      <w:r>
        <w:rPr>
          <w:color w:val="FF0000"/>
          <w:sz w:val="24"/>
          <w:szCs w:val="24"/>
        </w:rPr>
        <w:t xml:space="preserve"> </w:t>
      </w:r>
      <w:r>
        <w:rPr>
          <w:color w:val="FF0000"/>
          <w:sz w:val="24"/>
          <w:szCs w:val="24"/>
        </w:rPr>
        <w:t xml:space="preserve">I denna lag föreskrivs åtgärder som i första hand syftar till att motverka uppkomsten av förpackningsavfall och, såsom ytterligare grundläggande principer, till återanvändning och förberedelse för återanvändning av förpackningar, materialåtervinning och andra former av återvinning av förpackningsavfall och således till att minska bortskaffandet av sådant avfall för att bidra till övergången till en cirkulär ekonomi.</w:t>
      </w:r>
    </w:p>
    <w:p w14:paraId="58ECE028" w14:textId="77777777" w:rsidR="000147DB" w:rsidRPr="003E7524" w:rsidRDefault="000147DB" w:rsidP="000147DB">
      <w:pPr>
        <w:spacing w:after="0" w:line="240" w:lineRule="auto"/>
        <w:jc w:val="both"/>
        <w:rPr>
          <w:rFonts w:eastAsia="Times New Roman" w:cs="Arial"/>
          <w:lang w:val="fr-FR" w:eastAsia="fr-FR"/>
        </w:rPr>
      </w:pPr>
    </w:p>
    <w:p w14:paraId="12603C0B" w14:textId="77777777" w:rsidR="000147DB" w:rsidRPr="003E7524" w:rsidRDefault="000147DB" w:rsidP="002F5A31">
      <w:pPr>
        <w:keepNext/>
        <w:keepLines/>
        <w:spacing w:after="0" w:line="240" w:lineRule="auto"/>
        <w:jc w:val="both"/>
        <w:rPr>
          <w:rFonts w:eastAsia="Times New Roman" w:cs="Arial"/>
        </w:rPr>
      </w:pPr>
      <w:r>
        <w:rPr>
          <w:b/>
          <w:bCs/>
        </w:rPr>
        <w:t xml:space="preserve">Artikel 2</w:t>
      </w:r>
      <w:r>
        <w:rPr>
          <w:b/>
          <w:bCs/>
        </w:rPr>
        <w:t xml:space="preserve"> </w:t>
      </w:r>
      <w:r>
        <w:rPr>
          <w:b/>
          <w:bCs/>
          <w:iCs/>
        </w:rPr>
        <w:t xml:space="preserve">Tillämpningsområde</w:t>
      </w:r>
    </w:p>
    <w:p w14:paraId="10EC3FDA" w14:textId="77777777" w:rsidR="000147DB" w:rsidRPr="003E7524" w:rsidRDefault="000147DB" w:rsidP="000147DB">
      <w:pPr>
        <w:spacing w:after="0" w:line="240" w:lineRule="auto"/>
        <w:jc w:val="both"/>
        <w:rPr>
          <w:rFonts w:eastAsia="Times New Roman" w:cs="Arial"/>
        </w:rPr>
      </w:pPr>
      <w:r>
        <w:t xml:space="preserve">Denna lag gäller alla förpackningar som släpps ut på marknaden i Luxemburg och allt förpackningsavfall, vare sig de används eller kastas inom industri, handel, kontor, verkstäder, tjänstesektorn, hushåll eller annat, och vilket material de än består av.</w:t>
      </w:r>
    </w:p>
    <w:p w14:paraId="525A371B" w14:textId="77777777" w:rsidR="000147DB" w:rsidRPr="003E7524" w:rsidRDefault="000147DB" w:rsidP="000147DB">
      <w:pPr>
        <w:spacing w:after="0" w:line="240" w:lineRule="auto"/>
        <w:jc w:val="both"/>
        <w:rPr>
          <w:rFonts w:eastAsia="Times New Roman" w:cs="Arial"/>
          <w:lang w:val="fr-FR" w:eastAsia="fr-FR"/>
        </w:rPr>
      </w:pPr>
    </w:p>
    <w:p w14:paraId="6A00E764" w14:textId="77777777" w:rsidR="000147DB" w:rsidRPr="003E7524" w:rsidRDefault="000147DB" w:rsidP="000147DB">
      <w:pPr>
        <w:spacing w:after="0" w:line="240" w:lineRule="auto"/>
        <w:jc w:val="center"/>
        <w:rPr>
          <w:rFonts w:eastAsia="Calibri" w:cs="Arial"/>
          <w:color w:val="FF0000"/>
          <w:lang w:val="fr-FR"/>
        </w:rPr>
      </w:pPr>
    </w:p>
    <w:p w14:paraId="3FB9C656" w14:textId="3BDDB8AC" w:rsidR="000147DB" w:rsidRPr="003E7524" w:rsidRDefault="000147DB" w:rsidP="002F5A31">
      <w:pPr>
        <w:keepNext/>
        <w:keepLines/>
        <w:autoSpaceDE w:val="0"/>
        <w:autoSpaceDN w:val="0"/>
        <w:adjustRightInd w:val="0"/>
        <w:spacing w:after="0" w:line="240" w:lineRule="auto"/>
        <w:jc w:val="both"/>
        <w:rPr>
          <w:color w:val="FF0000"/>
          <w:sz w:val="24"/>
          <w:szCs w:val="24"/>
          <w:u w:val="single"/>
          <w:rFonts w:eastAsia="Calibri" w:cs="TimesLTStd-Roman"/>
        </w:rPr>
      </w:pPr>
      <w:r>
        <w:rPr>
          <w:color w:val="FF0000"/>
          <w:sz w:val="24"/>
          <w:szCs w:val="24"/>
          <w:u w:val="single"/>
        </w:rPr>
        <w:t xml:space="preserve">Artikel 3</w:t>
      </w:r>
      <w:r>
        <w:rPr>
          <w:color w:val="FF0000"/>
          <w:sz w:val="24"/>
          <w:szCs w:val="24"/>
          <w:u w:val="single"/>
        </w:rPr>
        <w:t xml:space="preserve"> </w:t>
      </w:r>
      <w:r>
        <w:rPr>
          <w:color w:val="FF0000"/>
          <w:sz w:val="24"/>
          <w:szCs w:val="24"/>
          <w:u w:val="single"/>
        </w:rPr>
        <w:t xml:space="preserve">Definitioner</w:t>
      </w:r>
    </w:p>
    <w:p w14:paraId="54FAB75E"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lang w:val="fr-LU"/>
        </w:rPr>
      </w:pPr>
    </w:p>
    <w:p w14:paraId="31598118" w14:textId="77777777" w:rsidR="000147DB" w:rsidRPr="003E7524" w:rsidRDefault="000147DB" w:rsidP="002F5A31">
      <w:pPr>
        <w:keepNext/>
        <w:keepLines/>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I denna lag gäller följande definitioner:</w:t>
      </w:r>
    </w:p>
    <w:p w14:paraId="51BA376E"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 </w:t>
      </w:r>
      <w:r>
        <w:rPr>
          <w:color w:val="FF0000"/>
          <w:sz w:val="24"/>
          <w:szCs w:val="24"/>
          <w:i/>
          <w:iCs/>
        </w:rPr>
        <w:t xml:space="preserve">ekonomiska aktörer</w:t>
      </w:r>
      <w:r>
        <w:rPr>
          <w:color w:val="FF0000"/>
          <w:sz w:val="24"/>
          <w:szCs w:val="24"/>
        </w:rPr>
        <w:t xml:space="preserve">, i fråga om förpackningar: leverantörer av förpackningsmaterial, förpackningsproducenter och omvandlingsanläggningar för förpackningar, påfyllningsanläggningar och användare, importörer, handlare och distributörer, myndigheter och lagstadgade organisationer.</w:t>
      </w:r>
    </w:p>
    <w:p w14:paraId="6FED5C43"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 </w:t>
      </w:r>
      <w:r>
        <w:rPr>
          <w:color w:val="FF0000"/>
          <w:sz w:val="24"/>
          <w:szCs w:val="24"/>
          <w:i/>
          <w:iCs/>
        </w:rPr>
        <w:t xml:space="preserve">miljöavtal</w:t>
      </w:r>
      <w:r>
        <w:rPr>
          <w:color w:val="FF0000"/>
          <w:sz w:val="24"/>
          <w:szCs w:val="24"/>
        </w:rPr>
        <w:t xml:space="preserve">: ett formellt avtal som ingås mellan ministern med ansvar för miljön, nedan kallad </w:t>
      </w:r>
      <w:r>
        <w:rPr>
          <w:color w:val="FF0000"/>
          <w:sz w:val="24"/>
          <w:szCs w:val="24"/>
          <w:i/>
          <w:iCs/>
        </w:rPr>
        <w:t xml:space="preserve">ministern</w:t>
      </w:r>
      <w:r>
        <w:rPr>
          <w:color w:val="FF0000"/>
          <w:sz w:val="24"/>
          <w:szCs w:val="24"/>
        </w:rPr>
        <w:t xml:space="preserve">, och förpackningsansvariga eller godkända organ. Ett sådant avtal ska vara öppet för alla ekonomiska aktörer som vill uppfylla villkoren i avtalet i syfte att arbeta för de mål som anges i artikel 1.</w:t>
      </w:r>
    </w:p>
    <w:p w14:paraId="7FF9665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3. </w:t>
      </w:r>
      <w:r>
        <w:rPr>
          <w:color w:val="FF0000"/>
          <w:sz w:val="24"/>
          <w:szCs w:val="24"/>
          <w:i/>
          <w:iCs/>
        </w:rPr>
        <w:t xml:space="preserve">förpackning</w:t>
      </w:r>
      <w:r>
        <w:rPr>
          <w:color w:val="FF0000"/>
          <w:sz w:val="24"/>
          <w:szCs w:val="24"/>
        </w:rPr>
        <w:t xml:space="preserve">: dels placering av livsmedel i en förpackning eller behållare i direkt kontakt med livsmedlet i fråga, dels själva förpackningen eller behållaren.</w:t>
      </w:r>
    </w:p>
    <w:p w14:paraId="1DD8A02E" w14:textId="77777777" w:rsidR="000147DB" w:rsidRPr="00471E09"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4. </w:t>
      </w:r>
      <w:r>
        <w:rPr>
          <w:color w:val="FF0000"/>
          <w:sz w:val="24"/>
          <w:szCs w:val="24"/>
          <w:i/>
          <w:iCs/>
        </w:rPr>
        <w:t xml:space="preserve">förpackningsavfall</w:t>
      </w:r>
      <w:r>
        <w:rPr>
          <w:color w:val="FF0000"/>
          <w:sz w:val="24"/>
          <w:szCs w:val="24"/>
        </w:rPr>
        <w:t xml:space="preserve">: varje förpackning och allt förpackningsmaterial som omfattas av definitionen av avfall i lagen av den 21 mars 2012 om avfall och resurser, i dess ändrade lydelse, utom restprodukter från produktionen.</w:t>
      </w:r>
    </w:p>
    <w:p w14:paraId="1A85C693" w14:textId="77777777" w:rsidR="000147DB" w:rsidRPr="003E7524" w:rsidRDefault="000147DB" w:rsidP="000147DB">
      <w:pPr>
        <w:autoSpaceDE w:val="0"/>
        <w:autoSpaceDN w:val="0"/>
        <w:adjustRightInd w:val="0"/>
        <w:spacing w:after="0" w:line="240" w:lineRule="auto"/>
        <w:jc w:val="both"/>
        <w:rPr>
          <w:b/>
          <w:color w:val="FF0000"/>
          <w:sz w:val="24"/>
          <w:szCs w:val="24"/>
          <w:rFonts w:cs="TimesLTStd-Roman"/>
        </w:rPr>
      </w:pPr>
      <w:r>
        <w:rPr>
          <w:color w:val="FF0000"/>
          <w:sz w:val="24"/>
          <w:szCs w:val="24"/>
        </w:rPr>
        <w:t xml:space="preserve">5. </w:t>
      </w:r>
      <w:r>
        <w:rPr>
          <w:color w:val="FF0000"/>
          <w:sz w:val="24"/>
          <w:szCs w:val="24"/>
          <w:i/>
          <w:iCs/>
        </w:rPr>
        <w:t xml:space="preserve">förpackningsavfall från hushåll:</w:t>
      </w:r>
      <w:r>
        <w:rPr>
          <w:color w:val="FF0000"/>
          <w:sz w:val="24"/>
          <w:szCs w:val="24"/>
        </w:rPr>
        <w:t xml:space="preserve"> förpackningsavfall som utgör kommunalt hushållsavfall i den mening som avses i lagen av den 21 mars 2012.</w:t>
      </w:r>
    </w:p>
    <w:p w14:paraId="191FC248"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6. </w:t>
      </w:r>
      <w:r>
        <w:rPr>
          <w:color w:val="FF0000"/>
          <w:sz w:val="24"/>
          <w:szCs w:val="24"/>
          <w:i/>
          <w:iCs/>
        </w:rPr>
        <w:t xml:space="preserve">förpackningsavfall från andra källor än hushållen:</w:t>
      </w:r>
      <w:r>
        <w:rPr>
          <w:color w:val="FF0000"/>
          <w:sz w:val="24"/>
          <w:szCs w:val="24"/>
        </w:rPr>
        <w:t xml:space="preserve"> förpackningsavfall som utgör ett kommunalt avfall som inte är hushållsavfall i den mening som avses i lagen av den 21 mars 2012.</w:t>
      </w:r>
    </w:p>
    <w:p w14:paraId="726D0591"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7. </w:t>
      </w:r>
      <w:r>
        <w:rPr>
          <w:color w:val="FF0000"/>
          <w:sz w:val="24"/>
          <w:szCs w:val="24"/>
          <w:i/>
          <w:iCs/>
        </w:rPr>
        <w:t xml:space="preserve">förpackning</w:t>
      </w:r>
      <w:r>
        <w:rPr>
          <w:color w:val="FF0000"/>
          <w:sz w:val="24"/>
          <w:szCs w:val="24"/>
        </w:rPr>
        <w:t xml:space="preserve">: alla produkter som framställs av material av något slag och som används för att innehålla, skydda, hantera, leverera och presentera varor, från råmaterial till slutlig produkt och från producent till användare och konsument.</w:t>
      </w:r>
    </w:p>
    <w:p w14:paraId="5B7B7B7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B3C84BC"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Även engångsartiklar som används i samma syfte ska betraktas som förpackningar.</w:t>
      </w:r>
    </w:p>
    <w:p w14:paraId="4BBCE7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9092297" w14:textId="77777777" w:rsidR="000147DB" w:rsidRPr="003E7524" w:rsidRDefault="000147DB" w:rsidP="002F5A31">
      <w:pPr>
        <w:keepNext/>
        <w:keepLines/>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Förpackningar omfattar endast</w:t>
      </w:r>
    </w:p>
    <w:p w14:paraId="5E80CA94"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szCs w:val="24"/>
        </w:rPr>
        <w:t xml:space="preserve">a) konsumentförpackningar eller primära förpackningar, dvs. förpackningar som är utformade på ett sådant sätt att de på försäljningsstället utgör en säljenhet för den slutliga användaren eller konsumenten,</w:t>
      </w:r>
    </w:p>
    <w:p w14:paraId="0DE873CC"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szCs w:val="24"/>
        </w:rPr>
        <w:t xml:space="preserve">b) gruppförpackningar eller sekundära förpackningar, dvs. förpackningar som är utformade på ett sådant sätt att de på försäljningsstället omfattar en grupp av ett visst antal säljenheter, oavsett om dessa säljs som en sådan grupp till den slutliga användaren eller konsumenten eller om de endast används som komplement till hyllorna på försäljningsstället; de kan tas bort från produkten utan att detta påverkar produktens egenskaper,</w:t>
      </w:r>
    </w:p>
    <w:p w14:paraId="29AF1F65"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szCs w:val="24"/>
        </w:rPr>
        <w:t xml:space="preserve">c) transportförpackningar eller tertiära förpackningar, dvs. förpackningar som är utformade på ett sådant sätt att de underlättar hantering och transport av ett antal säljenheter eller gruppförpackningar för att förhindra skador vid fysisk hantering eller transportskador.</w:t>
      </w:r>
      <w:r>
        <w:rPr>
          <w:color w:val="FF0000"/>
          <w:sz w:val="24"/>
          <w:szCs w:val="24"/>
        </w:rPr>
        <w:t xml:space="preserve"> </w:t>
      </w:r>
      <w:r>
        <w:rPr>
          <w:color w:val="FF0000"/>
          <w:sz w:val="24"/>
          <w:szCs w:val="24"/>
        </w:rPr>
        <w:t xml:space="preserve">Transportförpackningar omfattar inte väg-, järnvägs-, fartygs- och flygfraktcontainrar.</w:t>
      </w:r>
    </w:p>
    <w:p w14:paraId="3E5427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3D83FF34" w14:textId="77777777" w:rsidR="000147DB" w:rsidRPr="003E7524" w:rsidRDefault="000147DB" w:rsidP="002F5A31">
      <w:pPr>
        <w:keepNext/>
        <w:keepLines/>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Definitionen av förpackningar ska även grundas på nedanstående kriterier:</w:t>
      </w:r>
    </w:p>
    <w:p w14:paraId="0BE24D6D"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szCs w:val="24"/>
        </w:rPr>
        <w:t xml:space="preserve">i.</w:t>
      </w:r>
      <w:r>
        <w:rPr>
          <w:color w:val="FF0000"/>
          <w:sz w:val="24"/>
          <w:szCs w:val="24"/>
        </w:rPr>
        <w:t xml:space="preserve"> </w:t>
      </w:r>
      <w:r>
        <w:rPr>
          <w:color w:val="FF0000"/>
          <w:sz w:val="24"/>
          <w:szCs w:val="24"/>
        </w:rPr>
        <w:t xml:space="preserve">En artikel ska räknas som förpackning om den uppfyller den ovannämnda definitionen, oberoende av övriga funktioner som förpackningen eventuellt har, såvida inte artikeln är en fast del av en produkt och den behövs för att omfatta, stödja eller bevara produkten under hela dess livslängd och alla delar är avsedda att användas, konsumeras eller bortskaffas tillsammans.</w:t>
      </w:r>
    </w:p>
    <w:p w14:paraId="03C118C8"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szCs w:val="24"/>
        </w:rPr>
        <w:t xml:space="preserve">ii.</w:t>
      </w:r>
      <w:r>
        <w:rPr>
          <w:color w:val="FF0000"/>
          <w:sz w:val="24"/>
          <w:szCs w:val="24"/>
        </w:rPr>
        <w:t xml:space="preserve"> </w:t>
      </w:r>
      <w:r>
        <w:rPr>
          <w:color w:val="FF0000"/>
          <w:sz w:val="24"/>
          <w:szCs w:val="24"/>
        </w:rPr>
        <w:t xml:space="preserve">En artikel som är konstruerad och avsedd att fyllas vid försäljningsstället och engångsartiklar som säljs, är fyllda eller är konstruerade och avsedda att fyllas vid försäljningsstället ska räknas som förpackningar, förutsatt att de fyller en förpackningsfunktion och utgör tjänsteförpackningar.</w:t>
      </w:r>
    </w:p>
    <w:p w14:paraId="21E05D64"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szCs w:val="24"/>
        </w:rPr>
        <w:t xml:space="preserve">iii.</w:t>
      </w:r>
      <w:r>
        <w:rPr>
          <w:color w:val="FF0000"/>
          <w:sz w:val="24"/>
          <w:szCs w:val="24"/>
        </w:rPr>
        <w:t xml:space="preserve"> </w:t>
      </w:r>
      <w:r>
        <w:rPr>
          <w:color w:val="FF0000"/>
          <w:sz w:val="24"/>
          <w:szCs w:val="24"/>
        </w:rPr>
        <w:t xml:space="preserve">Förpackningskomponenter och underordnade element som är integrerade i förpackningar ska räknas som en del av den förpackning i vilken de är integrerade.</w:t>
      </w:r>
      <w:r>
        <w:rPr>
          <w:color w:val="FF0000"/>
          <w:sz w:val="24"/>
          <w:szCs w:val="24"/>
        </w:rPr>
        <w:t xml:space="preserve"> </w:t>
      </w:r>
      <w:r>
        <w:rPr>
          <w:color w:val="FF0000"/>
          <w:sz w:val="24"/>
          <w:szCs w:val="24"/>
        </w:rPr>
        <w:t xml:space="preserve">Underordnade element som är hängda på eller fästade vid en produkt och som fyller en förpackningsfunktion ska räknas som förpackningar, såvida inte dessa är en fast del av denna produkt och alla delar är avsedda att konsumeras eller bortskaffas tillsammans.</w:t>
      </w:r>
    </w:p>
    <w:p w14:paraId="376B89A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FR"/>
        </w:rPr>
      </w:pPr>
    </w:p>
    <w:p w14:paraId="338D0B69"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De artiklar som anges i bilaga I till Europaparlamentets och rådets direktiv 94/62/EG av den 20 december 1994 om förpackningar och förpackningsavfall, i dess lydelse efter ändring genom kommissionens delegerade akter i enlighet med artikel 19.2 och artikel 21a i direktivet, är belysande exempel på tillämpningen av dessa kriterier.</w:t>
      </w:r>
    </w:p>
    <w:p w14:paraId="44FB8E04"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8. </w:t>
      </w:r>
      <w:r>
        <w:rPr>
          <w:color w:val="FF0000"/>
          <w:sz w:val="24"/>
          <w:szCs w:val="24"/>
          <w:i/>
          <w:iCs/>
        </w:rPr>
        <w:t xml:space="preserve">återanvändbar förpackning</w:t>
      </w:r>
      <w:r>
        <w:rPr>
          <w:color w:val="FF0000"/>
          <w:sz w:val="24"/>
          <w:szCs w:val="24"/>
        </w:rPr>
        <w:t xml:space="preserve">: förpackning som har utformats, konstruerats och släppts ut på marknaden för att under sin livscykel återanvändas flera gånger genom att återfyllas eller återanvändas för samma ändamål som den utformades för.</w:t>
      </w:r>
    </w:p>
    <w:p w14:paraId="01840540"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9. </w:t>
      </w:r>
      <w:r>
        <w:rPr>
          <w:color w:val="FF0000"/>
          <w:sz w:val="24"/>
          <w:szCs w:val="24"/>
          <w:i/>
          <w:iCs/>
        </w:rPr>
        <w:t xml:space="preserve">kompositförpackning</w:t>
      </w:r>
      <w:r>
        <w:rPr>
          <w:color w:val="FF0000"/>
          <w:sz w:val="24"/>
          <w:szCs w:val="24"/>
        </w:rPr>
        <w:t xml:space="preserve">: förpackning med två eller flera skikt av olika material som inte kan separeras för hand och som utgör en integrerad enhet, bestående av en inre behållare och ett yttre hölje, som fylls, lagras, transporteras och töms som sådan.</w:t>
      </w:r>
    </w:p>
    <w:p w14:paraId="40CA1AE7" w14:textId="77777777" w:rsidR="000147DB" w:rsidRPr="003E7524" w:rsidRDefault="000147DB" w:rsidP="000147DB">
      <w:pPr>
        <w:autoSpaceDE w:val="0"/>
        <w:autoSpaceDN w:val="0"/>
        <w:adjustRightInd w:val="0"/>
        <w:spacing w:after="0" w:line="240" w:lineRule="auto"/>
        <w:jc w:val="both"/>
        <w:rPr>
          <w:color w:val="FF0000"/>
          <w:sz w:val="24"/>
          <w:szCs w:val="24"/>
          <w:rFonts w:cs="TimesNewRoman"/>
        </w:rPr>
      </w:pPr>
      <w:r>
        <w:rPr>
          <w:color w:val="FF0000"/>
          <w:sz w:val="24"/>
          <w:szCs w:val="24"/>
        </w:rPr>
        <w:t xml:space="preserve">10. </w:t>
      </w:r>
      <w:r>
        <w:rPr>
          <w:color w:val="FF0000"/>
          <w:sz w:val="24"/>
          <w:szCs w:val="24"/>
          <w:i/>
          <w:iCs/>
        </w:rPr>
        <w:t xml:space="preserve">centraliserad förvaltning</w:t>
      </w:r>
      <w:r>
        <w:rPr>
          <w:color w:val="FF0000"/>
          <w:sz w:val="24"/>
          <w:szCs w:val="24"/>
        </w:rPr>
        <w:t xml:space="preserve">: system som består i att ett godkänt organ i återvinningssyfte tar ansvaret för förpackningsavfall som frivilligt lämnas till en insamlingspunkt.</w:t>
      </w:r>
    </w:p>
    <w:p w14:paraId="2476E1A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11. </w:t>
      </w:r>
      <w:r>
        <w:rPr>
          <w:color w:val="FF0000"/>
          <w:sz w:val="24"/>
          <w:szCs w:val="24"/>
          <w:i/>
          <w:iCs/>
        </w:rPr>
        <w:t xml:space="preserve">hantering av förpackningsavfall</w:t>
      </w:r>
      <w:r>
        <w:rPr>
          <w:color w:val="FF0000"/>
          <w:sz w:val="24"/>
          <w:szCs w:val="24"/>
        </w:rPr>
        <w:t xml:space="preserve">: avfallshantering enligt definitionen i artikel 4 i lagen av den 21 mars 2012.</w:t>
      </w:r>
    </w:p>
    <w:p w14:paraId="7FBC2293"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12. </w:t>
      </w:r>
      <w:r>
        <w:rPr>
          <w:color w:val="FF0000"/>
          <w:sz w:val="24"/>
          <w:szCs w:val="24"/>
          <w:i/>
          <w:iCs/>
        </w:rPr>
        <w:t xml:space="preserve">förpackningsmaterial</w:t>
      </w:r>
      <w:r>
        <w:rPr>
          <w:color w:val="FF0000"/>
          <w:sz w:val="24"/>
          <w:szCs w:val="24"/>
        </w:rPr>
        <w:t xml:space="preserve">: alla enkla eller sammansatta material av naturligt och artificiellt ursprung som en förpackning består av.</w:t>
      </w:r>
    </w:p>
    <w:p w14:paraId="6F877037"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13. </w:t>
      </w:r>
      <w:r>
        <w:rPr>
          <w:color w:val="FF0000"/>
          <w:sz w:val="24"/>
          <w:szCs w:val="24"/>
          <w:i/>
          <w:iCs/>
        </w:rPr>
        <w:t xml:space="preserve">tillhandahållande på marknaden</w:t>
      </w:r>
      <w:r>
        <w:rPr>
          <w:color w:val="FF0000"/>
          <w:sz w:val="24"/>
          <w:szCs w:val="24"/>
        </w:rPr>
        <w:t xml:space="preserve">: leverans av en produkt för distribution, förbrukning eller användning på marknaden i Luxemburg i samband med kommersiell verksamhet, mot betalning eller gratis.</w:t>
      </w:r>
      <w:r>
        <w:rPr>
          <w:color w:val="FF0000"/>
          <w:sz w:val="24"/>
          <w:szCs w:val="24"/>
        </w:rPr>
        <w:t xml:space="preserve"> </w:t>
      </w:r>
    </w:p>
    <w:p w14:paraId="39E8CFEA"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14. </w:t>
      </w:r>
      <w:r>
        <w:rPr>
          <w:color w:val="FF0000"/>
          <w:sz w:val="24"/>
          <w:szCs w:val="24"/>
          <w:i/>
          <w:iCs/>
        </w:rPr>
        <w:t xml:space="preserve">utsläppande på marknaden</w:t>
      </w:r>
      <w:r>
        <w:rPr>
          <w:color w:val="FF0000"/>
          <w:sz w:val="24"/>
          <w:szCs w:val="24"/>
        </w:rPr>
        <w:t xml:space="preserve">: tillhandahållande för första gången av en produkt på marknaden i Luxemburg.</w:t>
      </w:r>
    </w:p>
    <w:p w14:paraId="337D0712"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15. </w:t>
      </w:r>
      <w:r>
        <w:rPr>
          <w:color w:val="FF0000"/>
          <w:sz w:val="24"/>
          <w:szCs w:val="24"/>
          <w:i/>
          <w:iCs/>
        </w:rPr>
        <w:t xml:space="preserve">godkänt organ</w:t>
      </w:r>
      <w:r>
        <w:rPr>
          <w:color w:val="FF0000"/>
          <w:sz w:val="24"/>
          <w:szCs w:val="24"/>
        </w:rPr>
        <w:t xml:space="preserve">: juridisk person som godkänts enligt lagen av den 21 mars 2012 och som åtar sig att uppfylla de skyldigheter som härrör från systemet för utökat producentansvar.</w:t>
      </w:r>
      <w:r>
        <w:rPr>
          <w:color w:val="FF0000"/>
          <w:sz w:val="24"/>
          <w:szCs w:val="24"/>
        </w:rPr>
        <w:t xml:space="preserve"> </w:t>
      </w:r>
    </w:p>
    <w:p w14:paraId="3063727E" w14:textId="5A2948D3"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16. </w:t>
      </w:r>
      <w:r>
        <w:rPr>
          <w:color w:val="FF0000"/>
          <w:sz w:val="24"/>
          <w:szCs w:val="24"/>
          <w:i/>
          <w:iCs/>
        </w:rPr>
        <w:t xml:space="preserve">plast</w:t>
      </w:r>
      <w:r>
        <w:rPr>
          <w:color w:val="FF0000"/>
          <w:sz w:val="24"/>
          <w:szCs w:val="24"/>
        </w:rPr>
        <w:t xml:space="preserve"> : en polymer i den mening som avses i artikel 3.5 i Europaparlamentets och rådets förordning (EG) nr 1907/2006 av den 18 december 2006 om registrering, utvärdering, godkännande och begränsning av kemikalier (Reach), inrättande av en europeisk kemikaliemyndighet, ändring av direktiv 1999/45/EG och upphävande av rådets förordning (EEG) nr 793/93 och kommissionens förordning (EG) nr 1488/94 samt rådets direktiv 76/769/EEG och kommissionens direktiv 91/155/EEG, 93/67/EEG, 93/105/EG och 2000/21/EG, som kan ha tillförts tillsatser eller andra ämnen och som kan fungera som strukturell huvudbeståndsdel i bärkassar.</w:t>
      </w:r>
    </w:p>
    <w:p w14:paraId="722C1B32"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17. </w:t>
      </w:r>
      <w:r>
        <w:rPr>
          <w:color w:val="FF0000"/>
          <w:sz w:val="24"/>
          <w:szCs w:val="24"/>
          <w:i/>
          <w:iCs/>
        </w:rPr>
        <w:t xml:space="preserve">organisk materialåtervinning</w:t>
      </w:r>
      <w:r>
        <w:rPr>
          <w:color w:val="FF0000"/>
          <w:sz w:val="24"/>
          <w:szCs w:val="24"/>
        </w:rPr>
        <w:t xml:space="preserve">: aerob (kompostering) eller anaerob (biogasutvinning) behandling av de biologiskt nedbrytbara delarna av förpackningsavfall, under kontrollerade förhållanden och med användning av mikroorganismer, varvid stabiliserade organiska restprodukter eller metan produceras.</w:t>
      </w:r>
      <w:r>
        <w:rPr>
          <w:color w:val="FF0000"/>
          <w:sz w:val="24"/>
          <w:szCs w:val="24"/>
        </w:rPr>
        <w:t xml:space="preserve"> </w:t>
      </w:r>
      <w:r>
        <w:rPr>
          <w:color w:val="FF0000"/>
          <w:sz w:val="24"/>
          <w:szCs w:val="24"/>
        </w:rPr>
        <w:t xml:space="preserve">Deponering av avfallet ska inte betraktas som en form av organisk materialåtervinning.</w:t>
      </w:r>
    </w:p>
    <w:p w14:paraId="211C3BAF" w14:textId="77777777" w:rsidR="000147DB" w:rsidRPr="00471E09" w:rsidRDefault="000147DB" w:rsidP="000147DB">
      <w:pPr>
        <w:autoSpaceDE w:val="0"/>
        <w:autoSpaceDN w:val="0"/>
        <w:adjustRightInd w:val="0"/>
        <w:spacing w:after="0"/>
        <w:jc w:val="both"/>
        <w:rPr>
          <w:color w:val="FF0000"/>
          <w:sz w:val="24"/>
          <w:szCs w:val="24"/>
          <w:rFonts w:eastAsia="Calibri" w:cs="TimesLTStd-Roman"/>
        </w:rPr>
      </w:pPr>
      <w:r>
        <w:rPr>
          <w:color w:val="FF0000"/>
          <w:sz w:val="24"/>
          <w:szCs w:val="24"/>
        </w:rPr>
        <w:t xml:space="preserve">18. </w:t>
      </w:r>
      <w:r>
        <w:rPr>
          <w:color w:val="FF0000"/>
          <w:sz w:val="24"/>
          <w:szCs w:val="24"/>
          <w:i/>
          <w:iCs/>
        </w:rPr>
        <w:t xml:space="preserve">förpackningsansvarig</w:t>
      </w:r>
      <w:r>
        <w:rPr>
          <w:color w:val="FF0000"/>
          <w:sz w:val="24"/>
          <w:szCs w:val="24"/>
        </w:rPr>
        <w:t xml:space="preserve">: varje fysisk eller juridisk person som yrkesmässigt släpper ut förpackade produkter på marknaden i Luxemburg, oavsett vilken försäljningsmetod som används, inklusive genom distansavtal enligt definitionen i artikel L.222-1 i konsumtionslagen.</w:t>
      </w:r>
    </w:p>
    <w:p w14:paraId="532A7F6A"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När det gäller tjänsteförpackningar anses varje person som yrkesmässigt tillverkar/importerar tjänsteförpackningar för/till marknaden i Luxemburg vara förpackningsansvarig .</w:t>
      </w:r>
    </w:p>
    <w:p w14:paraId="2066F35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19. </w:t>
      </w:r>
      <w:r>
        <w:rPr>
          <w:color w:val="FF0000"/>
          <w:sz w:val="24"/>
          <w:szCs w:val="24"/>
          <w:i/>
          <w:iCs/>
        </w:rPr>
        <w:t xml:space="preserve">plastbärkassar</w:t>
      </w:r>
      <w:r>
        <w:rPr>
          <w:color w:val="FF0000"/>
          <w:sz w:val="24"/>
          <w:szCs w:val="24"/>
        </w:rPr>
        <w:t xml:space="preserve">: bärkassar, med eller utan handtag, av plast och som tillhandahålls konsumenter på försäljningsställen för varor och produkter.</w:t>
      </w:r>
    </w:p>
    <w:p w14:paraId="2892A87A"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20. </w:t>
      </w:r>
      <w:r>
        <w:rPr>
          <w:color w:val="FF0000"/>
          <w:sz w:val="24"/>
          <w:szCs w:val="24"/>
          <w:i/>
          <w:iCs/>
        </w:rPr>
        <w:t xml:space="preserve">tunna plastbärkassar</w:t>
      </w:r>
      <w:r>
        <w:rPr>
          <w:color w:val="FF0000"/>
          <w:sz w:val="24"/>
          <w:szCs w:val="24"/>
        </w:rPr>
        <w:t xml:space="preserve">: plastbärkassar med en väggtjocklek under 50 mikrometer.</w:t>
      </w:r>
    </w:p>
    <w:p w14:paraId="1D560F90"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21. </w:t>
      </w:r>
      <w:r>
        <w:rPr>
          <w:color w:val="FF0000"/>
          <w:sz w:val="24"/>
          <w:szCs w:val="24"/>
          <w:i/>
          <w:iCs/>
        </w:rPr>
        <w:t xml:space="preserve">mycket tunna plastbärkassar</w:t>
      </w:r>
      <w:r>
        <w:rPr>
          <w:color w:val="FF0000"/>
          <w:sz w:val="24"/>
          <w:szCs w:val="24"/>
        </w:rPr>
        <w:t xml:space="preserve">: plastbärkassar med en väggtjocklek under 15 mikrometer</w:t>
      </w:r>
    </w:p>
    <w:p w14:paraId="099FC67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som behövs av hygienskäl eller som tillhandahålls som primära förpackningar för livsmedel som säljs i lösvikt, när detta förhindrar matsvinn.</w:t>
      </w:r>
    </w:p>
    <w:p w14:paraId="518E14E1"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22. </w:t>
      </w:r>
      <w:r>
        <w:rPr>
          <w:color w:val="FF0000"/>
          <w:sz w:val="24"/>
          <w:szCs w:val="24"/>
          <w:i/>
          <w:iCs/>
        </w:rPr>
        <w:t xml:space="preserve">plastbärkassar som är nedbrytbara genom oxidation</w:t>
      </w:r>
      <w:r>
        <w:rPr>
          <w:color w:val="FF0000"/>
          <w:sz w:val="24"/>
          <w:szCs w:val="24"/>
        </w:rPr>
        <w:t xml:space="preserve">: plastbärkassar av plastmaterial som innehåller tillsatsämnen som fungerar som katalysatorer för fragmentering av plast till mikrofragment.</w:t>
      </w:r>
    </w:p>
    <w:p w14:paraId="3F38912D" w14:textId="7CDBAB0E"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23. </w:t>
      </w:r>
      <w:r>
        <w:rPr>
          <w:color w:val="FF0000"/>
          <w:sz w:val="24"/>
          <w:szCs w:val="24"/>
          <w:i/>
          <w:iCs/>
        </w:rPr>
        <w:t xml:space="preserve">pantsystem</w:t>
      </w:r>
      <w:r>
        <w:rPr>
          <w:color w:val="FF0000"/>
          <w:sz w:val="24"/>
          <w:szCs w:val="24"/>
        </w:rPr>
        <w:t xml:space="preserve">: retursystem genom vilket köparen betalar ett belopp som återbetalas när den förbrukade förpackningen lämnas tillbaka.</w:t>
      </w:r>
    </w:p>
    <w:p w14:paraId="7826512C"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24. </w:t>
      </w:r>
      <w:r>
        <w:rPr>
          <w:color w:val="FF0000"/>
          <w:sz w:val="24"/>
          <w:szCs w:val="24"/>
          <w:i/>
          <w:iCs/>
        </w:rPr>
        <w:t xml:space="preserve">marknadsandel</w:t>
      </w:r>
      <w:r>
        <w:rPr>
          <w:color w:val="FF0000"/>
          <w:sz w:val="24"/>
          <w:szCs w:val="24"/>
        </w:rPr>
        <w:t xml:space="preserve">: procentandel för förpackningar för drycker och flytande livsmedel under en given tidsperiod, som uttrycks genom ett bråk där täljaren består av volymen drycker och flytande livsmedel som släppts ut på marknaden i återanvändbara förpackningar och förbrukats på det nationella territoriet och nämnaren består av den totala volymen drycker och flytande livsmedel som släppts ut på marknaden och förbrukats på det nationella territoriet.</w:t>
      </w:r>
    </w:p>
    <w:p w14:paraId="7104FF6A"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25. </w:t>
      </w:r>
      <w:r>
        <w:rPr>
          <w:color w:val="FF0000"/>
          <w:sz w:val="24"/>
          <w:szCs w:val="24"/>
          <w:i/>
          <w:iCs/>
        </w:rPr>
        <w:t xml:space="preserve">materialåtervinningskvot</w:t>
      </w:r>
      <w:r>
        <w:rPr>
          <w:color w:val="FF0000"/>
          <w:sz w:val="24"/>
          <w:szCs w:val="24"/>
        </w:rPr>
        <w:t xml:space="preserve">: procentandel för förpackningsavfall under en given tidsperiod, uttryckt som ett bråk där täljaren består av vikten av det förpackningsavfall som faktiskt materialåtervunnits och nämnaren består av den totala vikten av de återvinningsbara förpackningar som en förpackningsansvarig släppt ut på marknaden och som förbrukats på det nationella territoriet.</w:t>
      </w:r>
    </w:p>
    <w:p w14:paraId="67C77E37"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Denna definition omfattar inte förpackningar som återanvänds i den mening som avses i denna lag.</w:t>
      </w:r>
    </w:p>
    <w:p w14:paraId="6B41F5C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26. </w:t>
      </w:r>
      <w:r>
        <w:rPr>
          <w:color w:val="FF0000"/>
          <w:sz w:val="24"/>
          <w:szCs w:val="24"/>
          <w:i/>
          <w:iCs/>
        </w:rPr>
        <w:t xml:space="preserve">återvinningskvot</w:t>
      </w:r>
      <w:r>
        <w:rPr>
          <w:color w:val="FF0000"/>
          <w:sz w:val="24"/>
          <w:szCs w:val="24"/>
        </w:rPr>
        <w:t xml:space="preserve">: procentandel för förpackningsavfall under en given tidsperiod, uttryckt som ett bråk där täljaren består av vikten av det förpackningsavfall som faktiskt materialåtervunnits och nämnaren består av den totala vikten av de återvinningsbara förpackningar som en förpackningsansvarig släppt ut på marknaden och som förbrukats på det nationella territoriet.</w:t>
      </w:r>
    </w:p>
    <w:p w14:paraId="5C7F6993"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Denna definition omfattar inte förpackningar som återanvänds i den mening som avses i denna lag.</w:t>
      </w:r>
    </w:p>
    <w:p w14:paraId="1F021DEC"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27. </w:t>
      </w:r>
      <w:r>
        <w:rPr>
          <w:color w:val="FF0000"/>
          <w:sz w:val="24"/>
          <w:szCs w:val="24"/>
          <w:i/>
          <w:iCs/>
        </w:rPr>
        <w:t xml:space="preserve">energiutvinning</w:t>
      </w:r>
      <w:r>
        <w:rPr>
          <w:color w:val="FF0000"/>
          <w:sz w:val="24"/>
          <w:szCs w:val="24"/>
        </w:rPr>
        <w:t xml:space="preserve">: användningen av brännbart förpackningsavfall som ett sätt att generera energi genom direkt förbränning, med eller utan annat avfall men med utnyttjande av värmen.</w:t>
      </w:r>
    </w:p>
    <w:p w14:paraId="2F42A154"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Denna definition omfattar inte förpackningar som återanvänds i den mening som avses i denna lag.</w:t>
      </w:r>
    </w:p>
    <w:p w14:paraId="2A33EF01"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De definitioner för begreppen avfall, kommunalt avfall, kommunalt hushållsavfall, kommunalt avfall från andra källor än hushållet, avfallshantering, insamling, separat insamling, förebyggande, återanvändning, förberedelse för återanvändning, behandling, återvinning, materialåtervinning, högkvalitativ materialåtervinning, bortskaffande, resurscentrum och system för utökat producentansvar som anges i artikel 4 i lagen av den 21 mars 2012 ska tillämpas.</w:t>
      </w:r>
    </w:p>
    <w:p w14:paraId="2564CAE3" w14:textId="77777777" w:rsidR="000147DB" w:rsidRPr="003E7524" w:rsidRDefault="000147DB" w:rsidP="000147DB">
      <w:pPr>
        <w:spacing w:after="0" w:line="240" w:lineRule="auto"/>
        <w:jc w:val="both"/>
        <w:rPr>
          <w:rFonts w:eastAsia="Times New Roman" w:cs="Arial"/>
          <w:lang w:val="fr-LU" w:eastAsia="fr-FR"/>
        </w:rPr>
      </w:pPr>
    </w:p>
    <w:p w14:paraId="26C831EB" w14:textId="77777777" w:rsidR="000147DB" w:rsidRPr="003E7524" w:rsidRDefault="000147DB" w:rsidP="000147DB">
      <w:pPr>
        <w:spacing w:after="0" w:line="240" w:lineRule="auto"/>
        <w:jc w:val="both"/>
        <w:rPr>
          <w:rFonts w:eastAsia="Times New Roman" w:cs="Arial"/>
          <w:lang w:val="fr-FR" w:eastAsia="fr-FR"/>
        </w:rPr>
      </w:pPr>
    </w:p>
    <w:p w14:paraId="692FDAD6" w14:textId="77777777" w:rsidR="000147DB" w:rsidRPr="003E7524" w:rsidRDefault="000147DB" w:rsidP="002F5A31">
      <w:pPr>
        <w:keepNext/>
        <w:keepLines/>
        <w:spacing w:after="0" w:line="240" w:lineRule="auto"/>
        <w:jc w:val="both"/>
        <w:rPr>
          <w:b/>
          <w:iCs/>
          <w:rFonts w:eastAsia="Times New Roman" w:cs="Arial"/>
        </w:rPr>
      </w:pPr>
      <w:r>
        <w:rPr>
          <w:b/>
          <w:iCs/>
          <w:b/>
          <w:bCs/>
        </w:rPr>
        <w:t xml:space="preserve">Artikel 4</w:t>
      </w:r>
      <w:r>
        <w:rPr>
          <w:b/>
          <w:iCs/>
        </w:rPr>
        <w:t xml:space="preserve"> </w:t>
      </w:r>
      <w:r>
        <w:rPr>
          <w:b/>
          <w:iCs/>
        </w:rPr>
        <w:t xml:space="preserve">Förebyggande och återanvändning och miljöavtal</w:t>
      </w:r>
    </w:p>
    <w:p w14:paraId="6BEB351B" w14:textId="77777777" w:rsidR="000147DB" w:rsidRPr="003E7524" w:rsidRDefault="000147DB" w:rsidP="002F5A31">
      <w:pPr>
        <w:keepNext/>
        <w:keepLines/>
        <w:spacing w:after="0" w:line="240" w:lineRule="auto"/>
        <w:jc w:val="both"/>
        <w:rPr>
          <w:rFonts w:eastAsia="Times New Roman" w:cs="Arial"/>
          <w:b/>
          <w:iCs/>
          <w:lang w:val="fr-FR" w:eastAsia="fr-FR"/>
        </w:rPr>
      </w:pPr>
    </w:p>
    <w:p w14:paraId="39614631" w14:textId="77777777" w:rsidR="000147DB" w:rsidRPr="003E7524" w:rsidRDefault="000147DB" w:rsidP="002F5A31">
      <w:pPr>
        <w:keepNext/>
        <w:keepLines/>
        <w:spacing w:after="0" w:line="240" w:lineRule="auto"/>
        <w:jc w:val="both"/>
        <w:rPr>
          <w:rFonts w:eastAsia="Times New Roman" w:cs="Arial"/>
          <w:color w:val="FF0000"/>
          <w:lang w:val="fr-FR" w:eastAsia="fr-FR"/>
        </w:rPr>
      </w:pPr>
    </w:p>
    <w:p w14:paraId="63CEA987"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Förutom de åtgärder som är avsedda att förebygga uppkomsten av förpackningsavfall, antagna i enlighet med artikel 9 och utan att påverka tillämpningen av punkt 2, kan ministern ingå miljöavtal där de ändamål som anges i artikel 1 och som huvudsakligen syftar till att minska förpackningarnas miljöpåverkan och förhindra genereringen av förpackningsavfall tas i beaktande.</w:t>
      </w:r>
      <w:r>
        <w:rPr>
          <w:color w:val="FF0000"/>
          <w:sz w:val="24"/>
          <w:szCs w:val="24"/>
        </w:rPr>
        <w:t xml:space="preserve"> </w:t>
      </w:r>
      <w:r>
        <w:rPr>
          <w:color w:val="FF0000"/>
          <w:sz w:val="24"/>
          <w:szCs w:val="24"/>
        </w:rPr>
        <w:t xml:space="preserve">Dessa avtal kan föreskriva kampanjer för att öka allmänhetens kunskapsnivå och medvetenhet.</w:t>
      </w:r>
    </w:p>
    <w:p w14:paraId="0A4A972F" w14:textId="77777777" w:rsidR="000147DB" w:rsidRPr="003E7524" w:rsidRDefault="000147DB" w:rsidP="000147DB">
      <w:pPr>
        <w:spacing w:after="0" w:line="240" w:lineRule="auto"/>
        <w:jc w:val="both"/>
        <w:rPr>
          <w:rFonts w:eastAsia="Times New Roman" w:cs="Arial"/>
          <w:color w:val="FF0000"/>
          <w:lang w:val="fr-FR" w:eastAsia="fr-FR"/>
        </w:rPr>
      </w:pPr>
    </w:p>
    <w:p w14:paraId="6A969234" w14:textId="77777777" w:rsidR="000147DB" w:rsidRPr="003E7524" w:rsidRDefault="000147DB" w:rsidP="000147DB">
      <w:pPr>
        <w:spacing w:after="0" w:line="240" w:lineRule="auto"/>
        <w:jc w:val="both"/>
        <w:rPr>
          <w:rFonts w:eastAsia="Times New Roman" w:cs="Arial"/>
          <w:lang w:val="fr-FR" w:eastAsia="fr-FR"/>
        </w:rPr>
      </w:pPr>
    </w:p>
    <w:p w14:paraId="2D73D492" w14:textId="77777777" w:rsidR="000147DB" w:rsidRPr="003E7524" w:rsidRDefault="000147DB" w:rsidP="000147DB">
      <w:pPr>
        <w:spacing w:after="0" w:line="240" w:lineRule="auto"/>
        <w:jc w:val="both"/>
        <w:rPr>
          <w:rFonts w:eastAsia="Times New Roman" w:cs="Arial"/>
        </w:rPr>
      </w:pPr>
      <w:r>
        <w:t xml:space="preserve">När det gäller produktion av förpackningar och andra produkter kan man genom miljöavtalen främja användningen av material som härrör från återvunnet förpackningsavfall och på så sätt förbättra marknadsvillkoren för dessa material.</w:t>
      </w:r>
    </w:p>
    <w:p w14:paraId="4FAEAC4C" w14:textId="77777777" w:rsidR="000147DB" w:rsidRPr="003E7524" w:rsidRDefault="000147DB" w:rsidP="000147DB">
      <w:pPr>
        <w:spacing w:after="0" w:line="240" w:lineRule="auto"/>
        <w:jc w:val="both"/>
        <w:rPr>
          <w:rFonts w:eastAsia="Times New Roman" w:cs="Arial"/>
        </w:rPr>
      </w:pPr>
      <w:r>
        <w:t xml:space="preserve">När det gäller förpackningar för drycker och flytande livsmedel kan man genom miljöavtalen fastställa villkor och metoder för främjande av tillverkning och utsläppande av återanvändbara förpackningar på marknaden samt sätta upp mål avseende marknadsandelar.</w:t>
      </w:r>
      <w:r>
        <w:t xml:space="preserve"> </w:t>
      </w:r>
      <w:r>
        <w:t xml:space="preserve">Denna lag utgör inget hinder mot upprätthållande eller inrättande av system som garanterar återanvändning av förpackningar i form av ett pantsystem eller annan lämplig form som överensstämmer med de ändamål som anges i punkt 1.</w:t>
      </w:r>
    </w:p>
    <w:p w14:paraId="7B14AF7B" w14:textId="77777777" w:rsidR="000147DB" w:rsidRPr="003E7524" w:rsidRDefault="000147DB" w:rsidP="000147DB">
      <w:pPr>
        <w:spacing w:after="0" w:line="240" w:lineRule="auto"/>
        <w:jc w:val="both"/>
        <w:rPr>
          <w:rFonts w:eastAsia="Times New Roman" w:cs="Arial"/>
        </w:rPr>
      </w:pPr>
      <w:r>
        <w:t xml:space="preserve">2. Andra förebyggande åtgärder, inklusive studier och pilotprojekt, kan fastställas genom den nationella avfallhanteringsplanen och, i förekommande fall, genom en särskild plan för genomförande av lagen av den 21 mars 2012.</w:t>
      </w:r>
    </w:p>
    <w:p w14:paraId="639CF3A6" w14:textId="77777777" w:rsidR="000147DB" w:rsidRPr="003E7524" w:rsidRDefault="000147DB" w:rsidP="000147DB">
      <w:pPr>
        <w:spacing w:after="0" w:line="240" w:lineRule="auto"/>
        <w:jc w:val="both"/>
        <w:rPr>
          <w:rFonts w:eastAsia="Times New Roman" w:cs="Arial"/>
          <w:lang w:val="fr-FR" w:eastAsia="fr-FR"/>
        </w:rPr>
      </w:pPr>
    </w:p>
    <w:p w14:paraId="173C0BC9" w14:textId="77777777" w:rsidR="000147DB" w:rsidRPr="003E7524" w:rsidRDefault="000147DB" w:rsidP="000147DB">
      <w:pPr>
        <w:spacing w:after="0" w:line="240" w:lineRule="auto"/>
        <w:jc w:val="both"/>
        <w:rPr>
          <w:rFonts w:eastAsia="Times New Roman" w:cs="Arial"/>
          <w:lang w:val="fr-FR" w:eastAsia="fr-FR"/>
        </w:rPr>
      </w:pPr>
    </w:p>
    <w:p w14:paraId="759CE7BF" w14:textId="77777777" w:rsidR="000147DB" w:rsidRPr="003E7524" w:rsidRDefault="000147DB" w:rsidP="000147DB">
      <w:pPr>
        <w:spacing w:after="0" w:line="240" w:lineRule="auto"/>
        <w:jc w:val="both"/>
        <w:rPr>
          <w:rFonts w:eastAsia="Times New Roman" w:cs="Arial"/>
          <w:strike/>
          <w:lang w:val="fr-FR" w:eastAsia="fr-FR"/>
        </w:rPr>
      </w:pPr>
    </w:p>
    <w:p w14:paraId="1F738067" w14:textId="77777777" w:rsidR="000147DB" w:rsidRPr="00471E09" w:rsidRDefault="000147DB" w:rsidP="002F5A31">
      <w:pPr>
        <w:keepNext/>
        <w:keepLines/>
        <w:spacing w:beforeLines="100" w:before="240" w:after="240" w:line="240" w:lineRule="auto"/>
        <w:jc w:val="both"/>
        <w:rPr>
          <w:b/>
          <w:color w:val="FF0000"/>
          <w:sz w:val="24"/>
          <w:szCs w:val="24"/>
          <w:u w:val="single"/>
          <w:rFonts w:eastAsia="Calibri" w:cs="TimesNewRoman"/>
        </w:rPr>
      </w:pPr>
      <w:r>
        <w:rPr>
          <w:b/>
          <w:color w:val="FF0000"/>
          <w:sz w:val="24"/>
          <w:szCs w:val="24"/>
          <w:u w:val="single"/>
        </w:rPr>
        <w:t xml:space="preserve">Artikel 5</w:t>
      </w:r>
      <w:r>
        <w:rPr>
          <w:b/>
          <w:color w:val="FF0000"/>
          <w:sz w:val="24"/>
          <w:szCs w:val="24"/>
          <w:u w:val="single"/>
        </w:rPr>
        <w:t xml:space="preserve"> </w:t>
      </w:r>
      <w:r>
        <w:rPr>
          <w:b/>
          <w:color w:val="FF0000"/>
          <w:sz w:val="24"/>
          <w:szCs w:val="24"/>
          <w:u w:val="single"/>
        </w:rPr>
        <w:t xml:space="preserve">Minskning av mängden förpackningar</w:t>
      </w:r>
      <w:r>
        <w:rPr>
          <w:b/>
          <w:color w:val="FF0000"/>
          <w:sz w:val="24"/>
          <w:szCs w:val="24"/>
          <w:u w:val="single"/>
        </w:rPr>
        <w:t xml:space="preserve"> </w:t>
      </w:r>
    </w:p>
    <w:p w14:paraId="2D11A631" w14:textId="77777777" w:rsidR="000147DB" w:rsidRPr="003E7524" w:rsidRDefault="000147DB" w:rsidP="002F5A31">
      <w:pPr>
        <w:keepNext/>
        <w:keepLines/>
        <w:spacing w:beforeLines="100" w:before="240" w:after="240" w:line="240" w:lineRule="auto"/>
        <w:jc w:val="both"/>
        <w:rPr>
          <w:color w:val="FF0000"/>
          <w:sz w:val="24"/>
          <w:szCs w:val="24"/>
          <w:rFonts w:eastAsia="Calibri" w:cs="TimesNewRoman"/>
        </w:rPr>
      </w:pPr>
      <w:r>
        <w:rPr>
          <w:color w:val="FF0000"/>
          <w:sz w:val="24"/>
          <w:szCs w:val="24"/>
        </w:rPr>
        <w:t xml:space="preserve">I syfte att på ett hållbart sätt minska förbrukningen av förpackningar i Luxemburg föreskrivs följande:</w:t>
      </w:r>
    </w:p>
    <w:p w14:paraId="1921772D" w14:textId="2F6CC734" w:rsidR="000147DB" w:rsidRPr="00471E09" w:rsidRDefault="000147DB" w:rsidP="000147DB">
      <w:pPr>
        <w:pStyle w:val="Liste10"/>
        <w:spacing w:before="240"/>
        <w:ind w:left="360" w:hanging="427"/>
        <w:rPr>
          <w:color w:val="FF0000"/>
          <w:sz w:val="24"/>
          <w:szCs w:val="24"/>
          <w:rFonts w:cs="TimesNewRoman"/>
        </w:rPr>
      </w:pPr>
      <w:r>
        <w:rPr>
          <w:color w:val="FF0000"/>
          <w:sz w:val="24"/>
          <w:szCs w:val="24"/>
        </w:rPr>
        <w:t xml:space="preserve">1.</w:t>
      </w:r>
      <w:r>
        <w:rPr>
          <w:color w:val="FF0000"/>
          <w:sz w:val="24"/>
          <w:szCs w:val="24"/>
        </w:rPr>
        <w:tab/>
      </w:r>
      <w:r>
        <w:rPr>
          <w:color w:val="FF0000"/>
          <w:sz w:val="24"/>
          <w:szCs w:val="24"/>
        </w:rPr>
        <w:t xml:space="preserve">i) Alla detaljhandelsföretag som ställer ut de färska frukter och grönsaker som anges i bilaga III, inklusive skalade eller skurna sådana, ska från och med den 1 januari 2022 ställa ut i dem i förpackningar som inte innehåller något plastmaterial.</w:t>
      </w:r>
      <w:r>
        <w:rPr>
          <w:color w:val="FF0000"/>
          <w:sz w:val="24"/>
          <w:szCs w:val="24"/>
        </w:rPr>
        <w:t xml:space="preserve"> </w:t>
      </w:r>
      <w:r>
        <w:rPr>
          <w:color w:val="FF0000"/>
          <w:sz w:val="24"/>
          <w:szCs w:val="24"/>
        </w:rPr>
        <w:t xml:space="preserve">Denna skyldighet gäller inte för frukt och grönsaker som förpackats i partier på 1,5 kg eller mer.</w:t>
      </w:r>
      <w:r>
        <w:rPr>
          <w:color w:val="FF0000"/>
          <w:sz w:val="24"/>
          <w:szCs w:val="24"/>
        </w:rPr>
        <w:t xml:space="preserve"> </w:t>
      </w:r>
    </w:p>
    <w:p w14:paraId="33E5B6DD" w14:textId="77777777" w:rsidR="000147DB" w:rsidRPr="003E7524" w:rsidRDefault="000147DB" w:rsidP="000147DB">
      <w:pPr>
        <w:pStyle w:val="Liste10"/>
        <w:spacing w:before="240"/>
        <w:ind w:left="360"/>
        <w:rPr>
          <w:rFonts w:cs="TimesNewRoman"/>
          <w:b/>
          <w:sz w:val="24"/>
          <w:szCs w:val="24"/>
          <w:lang w:val="fr-LU" w:eastAsia="fr-BE"/>
        </w:rPr>
      </w:pPr>
    </w:p>
    <w:p w14:paraId="0EA51AFF" w14:textId="633BD9CF" w:rsidR="000147DB" w:rsidRPr="003E7524" w:rsidRDefault="000147DB" w:rsidP="002F5A31">
      <w:pPr>
        <w:tabs>
          <w:tab w:val="left" w:pos="284"/>
        </w:tabs>
        <w:spacing w:beforeLines="100" w:before="240" w:after="240" w:line="240" w:lineRule="auto"/>
        <w:jc w:val="both"/>
        <w:rPr>
          <w:color w:val="FF0000"/>
          <w:sz w:val="24"/>
          <w:szCs w:val="24"/>
          <w:rFonts w:eastAsia="Calibri" w:cs="TimesNewRoman"/>
        </w:rPr>
      </w:pPr>
      <w:r>
        <w:rPr>
          <w:color w:val="FF0000"/>
          <w:sz w:val="24"/>
          <w:szCs w:val="24"/>
        </w:rPr>
        <w:t xml:space="preserve">2. Den årliga förbrukningen av tunna plastbärkassar ska fram till den 31 december 2019 vara högst nittio enheter per person och minska till fyrtio enheter per person fram till den 31 december 2025.</w:t>
      </w:r>
      <w:r>
        <w:rPr>
          <w:color w:val="FF0000"/>
          <w:sz w:val="24"/>
          <w:szCs w:val="24"/>
        </w:rPr>
        <w:t xml:space="preserve"> </w:t>
      </w:r>
      <w:r>
        <w:rPr>
          <w:color w:val="FF0000"/>
          <w:sz w:val="24"/>
          <w:szCs w:val="24"/>
        </w:rPr>
        <w:t xml:space="preserve">Mycket tunna plastbärkassar enligt artikel 3.5 undantas från detta.</w:t>
      </w:r>
    </w:p>
    <w:p w14:paraId="6F0972E3"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3. Plastbärkassar får inte tillhandahållas kostnadsfritt på försäljningsställen för varor och produkter.</w:t>
      </w:r>
      <w:r>
        <w:rPr>
          <w:color w:val="FF0000"/>
          <w:sz w:val="24"/>
          <w:szCs w:val="24"/>
        </w:rPr>
        <w:t xml:space="preserve"> </w:t>
      </w:r>
      <w:r>
        <w:rPr>
          <w:color w:val="FF0000"/>
          <w:sz w:val="24"/>
          <w:szCs w:val="24"/>
        </w:rPr>
        <w:t xml:space="preserve">Mycket tunna plastbärkassar enligt artikel 3.5 undantas från detta.</w:t>
      </w:r>
    </w:p>
    <w:p w14:paraId="58896EE4" w14:textId="77777777" w:rsidR="000147DB" w:rsidRPr="003E7524" w:rsidRDefault="000147DB" w:rsidP="002F5A31">
      <w:pPr>
        <w:keepNext/>
        <w:keepLines/>
        <w:spacing w:beforeLines="100" w:before="240" w:after="240" w:line="240" w:lineRule="auto"/>
        <w:jc w:val="both"/>
        <w:rPr>
          <w:color w:val="FF0000"/>
          <w:sz w:val="24"/>
          <w:szCs w:val="24"/>
          <w:rFonts w:cs="TimesNewRoman"/>
        </w:rPr>
      </w:pPr>
      <w:r>
        <w:rPr>
          <w:color w:val="FF0000"/>
          <w:sz w:val="24"/>
          <w:szCs w:val="24"/>
        </w:rPr>
        <w:t xml:space="preserve">4. Kostnadsfritt tillhandahållande av tjänsteförpackningar på försäljningsställen för varor och produkter ska upphöra enligt följande tidsplan:</w:t>
      </w:r>
      <w:r>
        <w:rPr>
          <w:color w:val="FF0000"/>
          <w:sz w:val="24"/>
          <w:szCs w:val="24"/>
        </w:rPr>
        <w:t xml:space="preserve"> </w:t>
      </w:r>
    </w:p>
    <w:p w14:paraId="2B70078E" w14:textId="77777777" w:rsidR="000147DB" w:rsidRPr="003E7524" w:rsidRDefault="000147DB" w:rsidP="000147DB">
      <w:pPr>
        <w:spacing w:beforeLines="100" w:before="240" w:after="240" w:line="240" w:lineRule="auto"/>
        <w:jc w:val="both"/>
        <w:rPr>
          <w:color w:val="FF0000"/>
          <w:sz w:val="24"/>
          <w:szCs w:val="24"/>
          <w:rFonts w:cs="TimesNewRoman"/>
        </w:rPr>
      </w:pPr>
      <w:r>
        <w:rPr>
          <w:color w:val="FF0000"/>
          <w:sz w:val="24"/>
          <w:szCs w:val="24"/>
        </w:rPr>
        <w:t xml:space="preserve">Från och med den 1 januari 2023 för bärkassar, oavsett materialsammansättning.</w:t>
      </w:r>
    </w:p>
    <w:p w14:paraId="03DEAD8E" w14:textId="77777777" w:rsidR="000147DB" w:rsidRPr="00471E09"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Från och med den 1 januari 2024 för tjänsteförpackningar (oavsett materialsammansättning) som utgör produkter för engångsbruk enligt bilaga A till lagen av den ... om bedömning av vissa plastprodukters miljöpåverkan.</w:t>
      </w:r>
    </w:p>
    <w:p w14:paraId="10B4C155" w14:textId="77777777" w:rsidR="000147DB" w:rsidRPr="003E7524" w:rsidRDefault="000147DB" w:rsidP="000147DB">
      <w:pPr>
        <w:spacing w:beforeLines="100" w:before="240" w:after="240" w:line="240" w:lineRule="auto"/>
        <w:jc w:val="both"/>
        <w:rPr>
          <w:color w:val="FF0000"/>
          <w:sz w:val="24"/>
          <w:szCs w:val="24"/>
          <w:rFonts w:cs="TimesNewRoman"/>
        </w:rPr>
      </w:pPr>
      <w:r>
        <w:rPr>
          <w:color w:val="FF0000"/>
          <w:sz w:val="24"/>
          <w:szCs w:val="24"/>
        </w:rPr>
        <w:t xml:space="preserve">Från och med den 1 januari 2025 för samtliga tjänsteförpackningar.</w:t>
      </w:r>
    </w:p>
    <w:p w14:paraId="01699BD2" w14:textId="77777777" w:rsidR="000147DB" w:rsidRPr="00471E09" w:rsidRDefault="000147DB" w:rsidP="000147DB">
      <w:pPr>
        <w:spacing w:beforeLines="100" w:before="240" w:after="240" w:line="240" w:lineRule="auto"/>
        <w:jc w:val="both"/>
        <w:rPr>
          <w:bCs/>
          <w:color w:val="FF0000"/>
          <w:sz w:val="24"/>
          <w:szCs w:val="24"/>
          <w:rFonts w:eastAsia="Calibri" w:cstheme="minorHAnsi"/>
        </w:rPr>
      </w:pPr>
      <w:r>
        <w:rPr>
          <w:color w:val="FF0000"/>
          <w:sz w:val="24"/>
          <w:szCs w:val="24"/>
        </w:rPr>
        <w:t xml:space="preserve">2. De produkter som avses i 1.3 och 1.4 ska ha ett avskräckande prissättning, som ska visas separat och på ett synligt sätt vid försäljningsstället och på fakturan.</w:t>
      </w:r>
      <w:r>
        <w:rPr>
          <w:color w:val="FF0000"/>
          <w:sz w:val="24"/>
          <w:szCs w:val="24"/>
          <w:bCs/>
        </w:rPr>
        <w:t xml:space="preserve"> </w:t>
      </w:r>
      <w:r>
        <w:rPr>
          <w:color w:val="FF0000"/>
          <w:sz w:val="24"/>
          <w:szCs w:val="24"/>
          <w:bCs/>
        </w:rPr>
        <w:t xml:space="preserve">Det minimala priset kan fastställas genom miljöavtal.</w:t>
      </w:r>
    </w:p>
    <w:p w14:paraId="4B8B74C5" w14:textId="77777777" w:rsidR="000147DB" w:rsidRPr="003E7524" w:rsidRDefault="000147DB" w:rsidP="000147DB">
      <w:pPr>
        <w:spacing w:after="0" w:line="240" w:lineRule="auto"/>
        <w:jc w:val="both"/>
        <w:rPr>
          <w:rFonts w:eastAsia="Times New Roman" w:cs="Arial"/>
          <w:color w:val="FF0000"/>
          <w:lang w:val="fr-FR" w:eastAsia="fr-FR"/>
        </w:rPr>
      </w:pPr>
    </w:p>
    <w:p w14:paraId="400B8D39" w14:textId="77777777" w:rsidR="000147DB" w:rsidRPr="003E7524" w:rsidRDefault="000147DB" w:rsidP="002F5A31">
      <w:pPr>
        <w:keepNext/>
        <w:keepLines/>
        <w:spacing w:beforeLines="100" w:before="240" w:after="240" w:line="240" w:lineRule="auto"/>
        <w:jc w:val="both"/>
        <w:rPr>
          <w:color w:val="FF0000"/>
          <w:sz w:val="24"/>
          <w:szCs w:val="24"/>
          <w:u w:val="single"/>
          <w:rFonts w:eastAsia="Calibri" w:cs="TimesNewRoman"/>
        </w:rPr>
      </w:pPr>
      <w:r>
        <w:rPr>
          <w:color w:val="FF0000"/>
          <w:sz w:val="24"/>
          <w:szCs w:val="24"/>
          <w:u w:val="single"/>
        </w:rPr>
        <w:t xml:space="preserve">Artikel 5</w:t>
      </w:r>
      <w:r>
        <w:rPr>
          <w:color w:val="FF0000"/>
          <w:sz w:val="24"/>
          <w:szCs w:val="24"/>
          <w:u w:val="single"/>
          <w:i/>
          <w:iCs/>
        </w:rPr>
        <w:t xml:space="preserve">a</w:t>
      </w:r>
      <w:r>
        <w:rPr>
          <w:color w:val="FF0000"/>
          <w:sz w:val="24"/>
          <w:szCs w:val="24"/>
          <w:u w:val="single"/>
        </w:rPr>
        <w:t xml:space="preserve">.</w:t>
      </w:r>
      <w:r>
        <w:rPr>
          <w:color w:val="FF0000"/>
          <w:sz w:val="24"/>
          <w:szCs w:val="24"/>
          <w:u w:val="single"/>
        </w:rPr>
        <w:t xml:space="preserve"> </w:t>
      </w:r>
      <w:r>
        <w:rPr>
          <w:color w:val="FF0000"/>
          <w:sz w:val="24"/>
          <w:szCs w:val="24"/>
          <w:u w:val="single"/>
        </w:rPr>
        <w:t xml:space="preserve">Återanvändning</w:t>
      </w:r>
      <w:r>
        <w:rPr>
          <w:color w:val="FF0000"/>
          <w:sz w:val="24"/>
          <w:szCs w:val="24"/>
          <w:u w:val="single"/>
        </w:rPr>
        <w:t xml:space="preserve"> </w:t>
      </w:r>
    </w:p>
    <w:p w14:paraId="163598FA" w14:textId="77777777" w:rsidR="000147DB" w:rsidRPr="003E7524" w:rsidRDefault="000147DB" w:rsidP="000147DB">
      <w:pPr>
        <w:jc w:val="both"/>
        <w:rPr>
          <w:color w:val="FF0000"/>
          <w:sz w:val="24"/>
        </w:rPr>
      </w:pPr>
      <w:r>
        <w:rPr>
          <w:color w:val="FF0000"/>
          <w:sz w:val="24"/>
        </w:rPr>
        <w:t xml:space="preserve">Ministern kan, i enlighet med den avfallshierarki som fastställts i artikel 9 i lagen av den 21 mars 2012, ingå miljöavtal i syfte att främja en ökning av andelen återanvändbara förpackningar som släpps ut på marknaden och de miljövänliga systemen för återanvändning av förpackningar.</w:t>
      </w:r>
    </w:p>
    <w:p w14:paraId="213A7D6C" w14:textId="77777777" w:rsidR="000147DB" w:rsidRPr="003E7524" w:rsidRDefault="000147DB" w:rsidP="002F5A31">
      <w:pPr>
        <w:keepNext/>
        <w:keepLines/>
        <w:jc w:val="both"/>
        <w:rPr>
          <w:color w:val="FF0000"/>
          <w:sz w:val="24"/>
        </w:rPr>
      </w:pPr>
      <w:r>
        <w:rPr>
          <w:color w:val="FF0000"/>
          <w:sz w:val="24"/>
        </w:rPr>
        <w:t xml:space="preserve">Dessa avtal kan bland annat omfatta följande:</w:t>
      </w:r>
      <w:r>
        <w:rPr>
          <w:color w:val="FF0000"/>
          <w:sz w:val="24"/>
        </w:rPr>
        <w:t xml:space="preserve"> </w:t>
      </w:r>
    </w:p>
    <w:p w14:paraId="5BEA6077" w14:textId="77777777" w:rsidR="000147DB" w:rsidRPr="003E7524" w:rsidRDefault="000147DB" w:rsidP="000147DB">
      <w:pPr>
        <w:jc w:val="both"/>
        <w:rPr>
          <w:color w:val="FF0000"/>
          <w:sz w:val="24"/>
        </w:rPr>
      </w:pPr>
      <w:r>
        <w:rPr>
          <w:color w:val="FF0000"/>
          <w:sz w:val="24"/>
        </w:rPr>
        <w:t xml:space="preserve">1. Användningen av pantsystem.</w:t>
      </w:r>
    </w:p>
    <w:p w14:paraId="498392F7" w14:textId="77777777" w:rsidR="000147DB" w:rsidRPr="003E7524" w:rsidRDefault="000147DB" w:rsidP="000147DB">
      <w:pPr>
        <w:jc w:val="both"/>
        <w:rPr>
          <w:color w:val="FF0000"/>
          <w:sz w:val="24"/>
        </w:rPr>
      </w:pPr>
      <w:r>
        <w:rPr>
          <w:color w:val="FF0000"/>
          <w:sz w:val="24"/>
        </w:rPr>
        <w:t xml:space="preserve">2. Fastställandet av kvalitativa och kvantitativa mål.</w:t>
      </w:r>
    </w:p>
    <w:p w14:paraId="57A9F07C" w14:textId="77777777" w:rsidR="000147DB" w:rsidRPr="003E7524" w:rsidRDefault="000147DB" w:rsidP="000147DB">
      <w:pPr>
        <w:jc w:val="both"/>
        <w:rPr>
          <w:color w:val="FF0000"/>
          <w:sz w:val="24"/>
        </w:rPr>
      </w:pPr>
      <w:r>
        <w:rPr>
          <w:color w:val="FF0000"/>
          <w:sz w:val="24"/>
        </w:rPr>
        <w:t xml:space="preserve">3. Användningen av ekonomiska incitament.</w:t>
      </w:r>
    </w:p>
    <w:p w14:paraId="2D7BAE53" w14:textId="77777777" w:rsidR="000147DB" w:rsidRPr="003E7524" w:rsidRDefault="000147DB" w:rsidP="000147DB">
      <w:pPr>
        <w:jc w:val="both"/>
        <w:rPr>
          <w:color w:val="FF0000"/>
          <w:sz w:val="24"/>
        </w:rPr>
      </w:pPr>
      <w:r>
        <w:rPr>
          <w:color w:val="FF0000"/>
          <w:sz w:val="24"/>
        </w:rPr>
        <w:t xml:space="preserve">4. Fastställandet för varje flöde av förpackningar av en minsta procentandel av återanvändbara förpackningar som årligen ska släppas ut på marknaden.</w:t>
      </w:r>
    </w:p>
    <w:p w14:paraId="7CDB617E" w14:textId="77777777" w:rsidR="000147DB" w:rsidRPr="003E7524" w:rsidRDefault="000147DB" w:rsidP="000147DB">
      <w:pPr>
        <w:spacing w:after="0" w:line="240" w:lineRule="auto"/>
        <w:jc w:val="both"/>
        <w:rPr>
          <w:rFonts w:eastAsia="Times New Roman" w:cs="Arial"/>
          <w:lang w:val="fr-LU" w:eastAsia="fr-FR"/>
        </w:rPr>
      </w:pPr>
    </w:p>
    <w:p w14:paraId="07381996" w14:textId="77777777" w:rsidR="000147DB" w:rsidRPr="003E7524" w:rsidRDefault="000147DB" w:rsidP="000147DB">
      <w:pPr>
        <w:spacing w:after="0" w:line="240" w:lineRule="auto"/>
        <w:jc w:val="both"/>
        <w:rPr>
          <w:rFonts w:eastAsia="Times New Roman" w:cs="Arial"/>
          <w:lang w:val="fr-FR" w:eastAsia="fr-FR"/>
        </w:rPr>
      </w:pPr>
    </w:p>
    <w:p w14:paraId="0E3A37E2" w14:textId="77777777" w:rsidR="000147DB" w:rsidRPr="003E7524" w:rsidRDefault="000147DB" w:rsidP="002F5A31">
      <w:pPr>
        <w:pStyle w:val="Liste10"/>
        <w:keepNext/>
        <w:keepLines/>
        <w:spacing w:before="240"/>
        <w:rPr>
          <w:b/>
          <w:color w:val="FF0000"/>
          <w:sz w:val="24"/>
          <w:szCs w:val="24"/>
          <w:rFonts w:cs="TimesNewRoman"/>
        </w:rPr>
      </w:pPr>
      <w:r>
        <w:rPr>
          <w:color w:val="FF0000"/>
          <w:sz w:val="24"/>
          <w:szCs w:val="24"/>
          <w:u w:val="single"/>
        </w:rPr>
        <w:t xml:space="preserve">Artikel 6</w:t>
      </w:r>
      <w:r>
        <w:rPr>
          <w:color w:val="FF0000"/>
          <w:sz w:val="24"/>
          <w:szCs w:val="24"/>
          <w:u w:val="single"/>
        </w:rPr>
        <w:t xml:space="preserve"> </w:t>
      </w:r>
      <w:r>
        <w:rPr>
          <w:color w:val="FF0000"/>
          <w:sz w:val="24"/>
          <w:szCs w:val="24"/>
          <w:u w:val="single"/>
        </w:rPr>
        <w:t xml:space="preserve">Återvinning och materialutnyttjande</w:t>
      </w:r>
    </w:p>
    <w:p w14:paraId="6A7E88E7" w14:textId="77777777" w:rsidR="000147DB" w:rsidRPr="003E7524" w:rsidRDefault="000147DB" w:rsidP="002F5A31">
      <w:pPr>
        <w:pStyle w:val="Liste10"/>
        <w:keepNext/>
        <w:keepLines/>
        <w:spacing w:before="240"/>
        <w:rPr>
          <w:b/>
          <w:color w:val="FF0000"/>
          <w:sz w:val="24"/>
          <w:szCs w:val="24"/>
          <w:rFonts w:cs="TimesNewRoman"/>
        </w:rPr>
      </w:pPr>
      <w:r>
        <w:rPr>
          <w:color w:val="FF0000"/>
          <w:sz w:val="24"/>
          <w:szCs w:val="24"/>
        </w:rPr>
        <w:t xml:space="preserve">Förpackningsansvariga är skyldiga att uppnå följande minimimål:</w:t>
      </w:r>
      <w:r>
        <w:rPr>
          <w:color w:val="FF0000"/>
          <w:sz w:val="24"/>
          <w:szCs w:val="24"/>
        </w:rPr>
        <w:t xml:space="preserve"> </w:t>
      </w:r>
    </w:p>
    <w:p w14:paraId="135701C7" w14:textId="77777777" w:rsidR="000147DB" w:rsidRPr="003E7524" w:rsidRDefault="000147DB" w:rsidP="000147DB">
      <w:pPr>
        <w:pStyle w:val="Liste10"/>
        <w:spacing w:before="240"/>
        <w:rPr>
          <w:b/>
          <w:color w:val="FF0000"/>
          <w:sz w:val="24"/>
          <w:szCs w:val="24"/>
          <w:rFonts w:cs="TimesNewRoman"/>
        </w:rPr>
      </w:pPr>
      <w:r>
        <w:rPr>
          <w:color w:val="FF0000"/>
          <w:sz w:val="24"/>
          <w:szCs w:val="24"/>
        </w:rPr>
        <w:t xml:space="preserve">1. 65 viktprocent av förpackningsavfallet ska återvinnas eller förbrännas i anläggningar för förbränning av avfall med energiutvinning.</w:t>
      </w:r>
    </w:p>
    <w:p w14:paraId="0BEBEC70" w14:textId="77777777" w:rsidR="000147DB" w:rsidRPr="003E7524" w:rsidRDefault="000147DB" w:rsidP="000147DB">
      <w:pPr>
        <w:pStyle w:val="Liste10"/>
        <w:spacing w:before="240"/>
        <w:rPr>
          <w:b/>
          <w:color w:val="FF0000"/>
          <w:sz w:val="24"/>
          <w:szCs w:val="24"/>
          <w:rFonts w:cs="TimesNewRoman"/>
        </w:rPr>
      </w:pPr>
      <w:r>
        <w:rPr>
          <w:color w:val="FF0000"/>
          <w:sz w:val="24"/>
          <w:szCs w:val="24"/>
        </w:rPr>
        <w:t xml:space="preserve">2. 60 viktprocent av förpackningsavfallet ska materialåtervinnas med följande minimimål när det gäller specifika material som ingår i förpackningsavfallet:</w:t>
      </w:r>
      <w:r>
        <w:rPr>
          <w:color w:val="FF0000"/>
          <w:sz w:val="24"/>
          <w:szCs w:val="24"/>
        </w:rPr>
        <w:t xml:space="preserve"> </w:t>
      </w:r>
      <w:r>
        <w:rPr>
          <w:color w:val="FF0000"/>
          <w:sz w:val="24"/>
          <w:szCs w:val="24"/>
        </w:rPr>
        <w:t xml:space="preserve">60 viktprocent för glas, 60 viktprocent för papper och kartong, 50 viktprocent för metaller, 22,5 viktprocent för plast, där endast material som återvinns som plast tas i beräkningen, och 15 viktprocent för trä.</w:t>
      </w:r>
    </w:p>
    <w:p w14:paraId="74DA408D" w14:textId="77777777" w:rsidR="000147DB" w:rsidRPr="003E7524" w:rsidRDefault="000147DB" w:rsidP="000147DB">
      <w:pPr>
        <w:pStyle w:val="Liste10"/>
        <w:spacing w:before="240"/>
        <w:rPr>
          <w:b/>
          <w:color w:val="FF0000"/>
          <w:sz w:val="24"/>
          <w:szCs w:val="24"/>
          <w:rFonts w:cs="TimesNewRoman"/>
        </w:rPr>
      </w:pPr>
      <w:r>
        <w:rPr>
          <w:color w:val="FF0000"/>
          <w:sz w:val="24"/>
          <w:szCs w:val="24"/>
        </w:rPr>
        <w:t xml:space="preserve">3. Senast den 31 december 2025 ska minst 65 viktprocent av allt förpackningsavfall materialåtervinnas.</w:t>
      </w:r>
    </w:p>
    <w:p w14:paraId="73EB6671" w14:textId="77777777" w:rsidR="000147DB" w:rsidRPr="003E7524" w:rsidRDefault="000147DB" w:rsidP="002F5A31">
      <w:pPr>
        <w:pStyle w:val="Liste10"/>
        <w:keepNext/>
        <w:keepLines/>
        <w:spacing w:before="240"/>
        <w:rPr>
          <w:b/>
          <w:color w:val="FF0000"/>
          <w:sz w:val="24"/>
          <w:szCs w:val="24"/>
          <w:rFonts w:cs="TimesNewRoman"/>
        </w:rPr>
      </w:pPr>
      <w:r>
        <w:rPr>
          <w:color w:val="FF0000"/>
          <w:sz w:val="24"/>
          <w:szCs w:val="24"/>
        </w:rPr>
        <w:t xml:space="preserve">4. Senast den 31 december 2025 ska följande minimimål för materialåtervinning uppnås för följande specifika material som ingår i förpackningsavfallet:</w:t>
      </w:r>
    </w:p>
    <w:p w14:paraId="28C5FBC2"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a) 50 viktprocent för plast.</w:t>
      </w:r>
    </w:p>
    <w:p w14:paraId="4E57FAF2"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b) 25 viktprocent för trä.</w:t>
      </w:r>
    </w:p>
    <w:p w14:paraId="2042FBF8"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c) 70 viktprocent för järnmetall.</w:t>
      </w:r>
    </w:p>
    <w:p w14:paraId="44C91BB4"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d) 50 viktprocent för aluminium.</w:t>
      </w:r>
    </w:p>
    <w:p w14:paraId="7238B496"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e) 70 viktprocent för glas.</w:t>
      </w:r>
    </w:p>
    <w:p w14:paraId="0474C36D"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f) 75 viktprocent för papper och kartong.</w:t>
      </w:r>
    </w:p>
    <w:p w14:paraId="0E79D37D" w14:textId="77777777" w:rsidR="000147DB" w:rsidRPr="00471E09" w:rsidRDefault="000147DB" w:rsidP="000147DB">
      <w:pPr>
        <w:pStyle w:val="Liste10"/>
        <w:spacing w:before="240"/>
        <w:rPr>
          <w:color w:val="FF0000"/>
          <w:sz w:val="24"/>
          <w:szCs w:val="24"/>
          <w:rFonts w:cs="TimesNewRoman"/>
        </w:rPr>
      </w:pPr>
      <w:r>
        <w:rPr>
          <w:color w:val="FF0000"/>
          <w:sz w:val="24"/>
          <w:szCs w:val="24"/>
        </w:rPr>
        <w:t xml:space="preserve">5. Senast den 31 december 2030 ska minst 70 viktprocent av allt förpackningsavfall materialåtervinnas.</w:t>
      </w:r>
    </w:p>
    <w:p w14:paraId="72B3204C" w14:textId="77777777" w:rsidR="000147DB" w:rsidRPr="00471E09" w:rsidRDefault="000147DB" w:rsidP="002F5A31">
      <w:pPr>
        <w:pStyle w:val="Liste10"/>
        <w:keepNext/>
        <w:keepLines/>
        <w:spacing w:before="240"/>
        <w:rPr>
          <w:color w:val="FF0000"/>
          <w:sz w:val="24"/>
          <w:szCs w:val="24"/>
          <w:rFonts w:cs="TimesNewRoman"/>
        </w:rPr>
      </w:pPr>
      <w:r>
        <w:rPr>
          <w:color w:val="FF0000"/>
          <w:sz w:val="24"/>
          <w:szCs w:val="24"/>
        </w:rPr>
        <w:t xml:space="preserve">6. Senast den 31 december 2030 ska följande minimimål för materialåtervinning uppnås för följande specifika material som ingår i förpackningsavfallet:</w:t>
      </w:r>
    </w:p>
    <w:p w14:paraId="5CEB0529"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a) 55 viktprocent för plast.</w:t>
      </w:r>
    </w:p>
    <w:p w14:paraId="3F31D1FB"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b) 30 viktprocent för trä.</w:t>
      </w:r>
    </w:p>
    <w:p w14:paraId="75516D16"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c) 80 viktprocent för järnmetall.</w:t>
      </w:r>
    </w:p>
    <w:p w14:paraId="4FD2DC34"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d) 60 viktprocent för aluminium.</w:t>
      </w:r>
    </w:p>
    <w:p w14:paraId="6756906E"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e) 75 viktprocent för glas.</w:t>
      </w:r>
    </w:p>
    <w:p w14:paraId="7EEFA81F"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f) 85 viktprocent för papper och kartong.</w:t>
      </w:r>
    </w:p>
    <w:p w14:paraId="4B119723" w14:textId="77777777" w:rsidR="000147DB" w:rsidRPr="00471E09" w:rsidRDefault="000147DB" w:rsidP="000147DB">
      <w:pPr>
        <w:pStyle w:val="Liste10"/>
        <w:spacing w:before="240"/>
        <w:rPr>
          <w:color w:val="FF0000"/>
          <w:sz w:val="24"/>
          <w:szCs w:val="24"/>
          <w:rFonts w:cs="TimesNewRoman"/>
        </w:rPr>
      </w:pPr>
      <w:r>
        <w:rPr>
          <w:color w:val="FF0000"/>
          <w:sz w:val="24"/>
          <w:szCs w:val="24"/>
        </w:rPr>
        <w:t xml:space="preserve">Miljöskyddsmyndigheten ska se till att dessa skyldigheter och mål blir föremål för en informationskampanj riktad till allmänheten och de ekonomiska aktörerna</w:t>
      </w:r>
      <w:r>
        <w:rPr>
          <w:color w:val="FF0000"/>
          <w:sz w:val="24"/>
          <w:szCs w:val="24"/>
        </w:rPr>
        <w:t xml:space="preserve">, utan att det ska påverka tillämpningen av artikel 14.</w:t>
      </w:r>
    </w:p>
    <w:p w14:paraId="7CDFE683" w14:textId="77777777" w:rsidR="000147DB" w:rsidRPr="003E7524" w:rsidRDefault="000147DB" w:rsidP="000147DB">
      <w:pPr>
        <w:spacing w:after="0" w:line="240" w:lineRule="auto"/>
        <w:jc w:val="both"/>
        <w:rPr>
          <w:rFonts w:eastAsia="Times New Roman" w:cs="Arial"/>
          <w:color w:val="FF0000"/>
          <w:lang w:val="fr-LU" w:eastAsia="fr-FR"/>
        </w:rPr>
      </w:pPr>
    </w:p>
    <w:p w14:paraId="349B36C3" w14:textId="77777777" w:rsidR="000147DB" w:rsidRPr="003E7524" w:rsidRDefault="000147DB" w:rsidP="002F5A31">
      <w:pPr>
        <w:keepNext/>
        <w:keepLines/>
        <w:spacing w:beforeLines="100" w:before="240" w:after="240" w:line="240" w:lineRule="auto"/>
        <w:jc w:val="both"/>
        <w:rPr>
          <w:color w:val="FF0000"/>
          <w:sz w:val="24"/>
          <w:szCs w:val="24"/>
          <w:rFonts w:eastAsia="Calibri" w:cs="TimesNewRoman"/>
        </w:rPr>
      </w:pPr>
      <w:r>
        <w:rPr>
          <w:color w:val="FF0000"/>
          <w:sz w:val="24"/>
          <w:szCs w:val="24"/>
          <w:u w:val="single"/>
        </w:rPr>
        <w:t xml:space="preserve">Artikel 6</w:t>
      </w:r>
      <w:r>
        <w:rPr>
          <w:color w:val="FF0000"/>
          <w:sz w:val="24"/>
          <w:szCs w:val="24"/>
          <w:u w:val="single"/>
          <w:i/>
          <w:iCs/>
        </w:rPr>
        <w:t xml:space="preserve">a</w:t>
      </w:r>
      <w:r>
        <w:rPr>
          <w:color w:val="FF0000"/>
          <w:sz w:val="24"/>
          <w:szCs w:val="24"/>
          <w:u w:val="single"/>
        </w:rPr>
        <w:t xml:space="preserve"> </w:t>
      </w:r>
      <w:r>
        <w:rPr>
          <w:color w:val="FF0000"/>
          <w:sz w:val="24"/>
          <w:szCs w:val="24"/>
          <w:u w:val="single"/>
        </w:rPr>
        <w:t xml:space="preserve">Regler för beräkning av uppnåendet av målen</w:t>
      </w:r>
    </w:p>
    <w:p w14:paraId="4190A464" w14:textId="77777777" w:rsidR="000147DB" w:rsidRPr="003E7524" w:rsidRDefault="000147DB" w:rsidP="002F5A31">
      <w:pPr>
        <w:keepNext/>
        <w:keepLines/>
        <w:spacing w:beforeLines="100" w:before="240" w:after="240" w:line="240" w:lineRule="auto"/>
        <w:jc w:val="both"/>
        <w:rPr>
          <w:color w:val="FF0000"/>
          <w:sz w:val="24"/>
          <w:szCs w:val="24"/>
          <w:rFonts w:eastAsia="Calibri" w:cs="TimesNewRoman"/>
        </w:rPr>
      </w:pPr>
      <w:r>
        <w:rPr>
          <w:color w:val="FF0000"/>
          <w:sz w:val="24"/>
          <w:szCs w:val="24"/>
        </w:rPr>
        <w:t xml:space="preserve">1) Vid beräkningen av om målen i artikel 6.1.3–6.1.6 har uppnåtts gäller följande:</w:t>
      </w:r>
    </w:p>
    <w:p w14:paraId="64FF6A17" w14:textId="77777777" w:rsidR="000147DB" w:rsidRPr="003E7524" w:rsidRDefault="000147DB" w:rsidP="000147DB">
      <w:pPr>
        <w:spacing w:beforeLines="100" w:before="240" w:after="240" w:line="240" w:lineRule="auto"/>
        <w:ind w:left="720"/>
        <w:jc w:val="both"/>
        <w:rPr>
          <w:color w:val="FF0000"/>
          <w:sz w:val="24"/>
          <w:szCs w:val="24"/>
          <w:rFonts w:eastAsia="Calibri" w:cs="TimesNewRoman"/>
        </w:rPr>
      </w:pPr>
      <w:r>
        <w:rPr>
          <w:color w:val="FF0000"/>
          <w:sz w:val="24"/>
          <w:szCs w:val="24"/>
        </w:rPr>
        <w:t xml:space="preserve">1. Vikten av det förpackningsavfall som genererats och materialåtervunnits ska beräknas för ett helt givet kalenderår.</w:t>
      </w:r>
      <w:r>
        <w:rPr>
          <w:color w:val="FF0000"/>
          <w:sz w:val="24"/>
          <w:szCs w:val="24"/>
        </w:rPr>
        <w:t xml:space="preserve"> </w:t>
      </w:r>
      <w:r>
        <w:rPr>
          <w:color w:val="FF0000"/>
          <w:sz w:val="24"/>
          <w:szCs w:val="24"/>
        </w:rPr>
        <w:t xml:space="preserve">Mängden förpackningsavfall som genererats under ett år kan anses vara lika med mängden förpackningar som släppts ut på marknaden under samma år.</w:t>
      </w:r>
    </w:p>
    <w:p w14:paraId="3595E56C" w14:textId="77777777" w:rsidR="000147DB" w:rsidRPr="003E7524" w:rsidRDefault="000147DB" w:rsidP="000147DB">
      <w:pPr>
        <w:spacing w:beforeLines="100" w:before="240" w:after="240" w:line="240" w:lineRule="auto"/>
        <w:ind w:left="720"/>
        <w:jc w:val="both"/>
        <w:rPr>
          <w:color w:val="FF0000"/>
          <w:sz w:val="24"/>
          <w:szCs w:val="24"/>
          <w:rFonts w:eastAsia="Calibri" w:cs="TimesNewRoman"/>
        </w:rPr>
      </w:pPr>
      <w:r>
        <w:rPr>
          <w:color w:val="FF0000"/>
          <w:sz w:val="24"/>
          <w:szCs w:val="24"/>
        </w:rPr>
        <w:t xml:space="preserve">2. Vikten av materialåtervunnet förpackningsavfall ska beräknas som vikten av förpackningar som har blivit avfall och som, efter att ha genomgått all nödvändig kontroll, sortering och andra förberedande förfaranden för att avlägsna avfallsmaterial som inte ska ingå i den därpå följande upparbetningen och för att säkerställa materialåtervinning av hög kvalitet, går in i det materialåtervinningsförfarande varigenom avfallsmaterial faktiskt upparbetas till produkter, material eller ämnen.</w:t>
      </w:r>
    </w:p>
    <w:p w14:paraId="528F3DBE"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2) Vid tillämpningen av punkt 1.1 ska vikten av materialåtervunnet förpackningsavfall mätas när avfallet går in i materialåtervinningsförfarandet.</w:t>
      </w:r>
    </w:p>
    <w:p w14:paraId="5C40963C" w14:textId="77777777" w:rsidR="000147DB" w:rsidRPr="003E7524" w:rsidRDefault="000147DB" w:rsidP="002F5A31">
      <w:pPr>
        <w:keepNext/>
        <w:keepLines/>
        <w:spacing w:beforeLines="100" w:before="240" w:after="240" w:line="240" w:lineRule="auto"/>
        <w:jc w:val="both"/>
        <w:rPr>
          <w:color w:val="FF0000"/>
          <w:sz w:val="24"/>
          <w:szCs w:val="24"/>
          <w:rFonts w:eastAsia="Calibri" w:cs="TimesNewRoman"/>
        </w:rPr>
      </w:pPr>
      <w:r>
        <w:rPr>
          <w:color w:val="FF0000"/>
          <w:sz w:val="24"/>
          <w:szCs w:val="24"/>
        </w:rPr>
        <w:t xml:space="preserve">Genom undantag från första stycket får vikten av materialåtervunnet förpackningsavfall mätas i form av vikten av utgående avfall efter ett sorteringsförfarande under förutsättning att</w:t>
      </w:r>
    </w:p>
    <w:p w14:paraId="34D0716F" w14:textId="77777777" w:rsidR="000147DB" w:rsidRPr="003E7524" w:rsidRDefault="000147DB" w:rsidP="000147DB">
      <w:pPr>
        <w:spacing w:beforeLines="100" w:before="240" w:after="240" w:line="240" w:lineRule="auto"/>
        <w:ind w:left="851"/>
        <w:jc w:val="both"/>
        <w:rPr>
          <w:color w:val="FF0000"/>
          <w:sz w:val="24"/>
          <w:szCs w:val="24"/>
          <w:rFonts w:eastAsia="Calibri" w:cs="TimesNewRoman"/>
        </w:rPr>
      </w:pPr>
      <w:r>
        <w:rPr>
          <w:color w:val="FF0000"/>
          <w:sz w:val="24"/>
          <w:szCs w:val="24"/>
        </w:rPr>
        <w:t xml:space="preserve">1. sådant utgående avfall därefter materialåtervinns, och</w:t>
      </w:r>
    </w:p>
    <w:p w14:paraId="3B9C8FE8" w14:textId="77777777" w:rsidR="000147DB" w:rsidRPr="003E7524" w:rsidRDefault="000147DB" w:rsidP="000147DB">
      <w:pPr>
        <w:spacing w:beforeLines="100" w:before="240" w:after="240" w:line="240" w:lineRule="auto"/>
        <w:ind w:left="851"/>
        <w:jc w:val="both"/>
        <w:rPr>
          <w:color w:val="FF0000"/>
          <w:sz w:val="24"/>
          <w:szCs w:val="24"/>
          <w:rFonts w:eastAsia="Calibri" w:cs="TimesNewRoman"/>
        </w:rPr>
      </w:pPr>
      <w:r>
        <w:rPr>
          <w:color w:val="FF0000"/>
          <w:sz w:val="24"/>
          <w:szCs w:val="24"/>
        </w:rPr>
        <w:t xml:space="preserve">2. vikten av de material eller ämnen som avlägsnas vid ytterligare förfaranden före materialåtervinningsförfarandet och som därefter inte materialåtervinns inte medräknas i den avfallsvikt som rapporteras som materialåtervunnen.</w:t>
      </w:r>
    </w:p>
    <w:p w14:paraId="0049964B"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3) För att säkerställa att beräkningsreglerna efterlevts och att alla uppgifter har rapporterats korrekt till den behöriga myndigheten ska ett elektroniskt register inrättas i enlighet med artikel 34 i lagen av den 21 mars 2012.</w:t>
      </w:r>
      <w:r>
        <w:rPr>
          <w:color w:val="FF0000"/>
          <w:sz w:val="24"/>
          <w:szCs w:val="24"/>
        </w:rPr>
        <w:t xml:space="preserve"> </w:t>
      </w:r>
    </w:p>
    <w:p w14:paraId="22177B03"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4) Mängden förpackningsavfall som upphör att vara avfall till följd av ett förberedande förfarande innan det faktiskt upparbetas kan räknas som materialåtervunnet om det senare ska upparbetas till produkter, material eller ämnen, antingen för det ursprungliga ändamålet eller för andra ändamål.</w:t>
      </w:r>
      <w:r>
        <w:rPr>
          <w:color w:val="FF0000"/>
          <w:sz w:val="24"/>
          <w:szCs w:val="24"/>
        </w:rPr>
        <w:t xml:space="preserve"> </w:t>
      </w:r>
      <w:r>
        <w:rPr>
          <w:color w:val="FF0000"/>
          <w:sz w:val="24"/>
          <w:szCs w:val="24"/>
        </w:rPr>
        <w:t xml:space="preserve">Material som upphört att vara avfall och som ska användas som bränsle eller annan energikälla, som förbränns, används som återfyllnad eller deponeras, får dock inte tillgodoräknas när det gäller uppnåendet av materialåtervinningsmålen.</w:t>
      </w:r>
    </w:p>
    <w:p w14:paraId="79D6EBAB"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5) I syfte att beräkna huruvida de mål som fastställs i artikel 6.1.3–6.1.6 har uppnåtts får miljömyndigheten räkna in den materialåtervinning av metaller som sorterats ut efter förbränning av avfall, i förhållande till andelen förpackningsavfall som förbränts, under förutsättning att de materialåtervunna metallerna uppfyller vissa kvalitetskriterier som fastställts i den genomförandeakt som antagits enligt artikel 11a.9 i direktiv 2008/98/EG.</w:t>
      </w:r>
    </w:p>
    <w:p w14:paraId="451BF595"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6) Förpackningsavfall som skickas till en annan medlemsstat för materialåtervinning i den andra medlemsstaten får tillgodoräknas när det gäller uppnåendet av de mål som anges i artikel 6.1.3–6.1.6 endast i Luxemburg.</w:t>
      </w:r>
    </w:p>
    <w:p w14:paraId="5CA935B6"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7) Förpackningsavfall som exporteras från unionen ska tillgodoräknas när det gäller uppnåendet av de mål som fastställs i artikel 6.1 endast om kraven i punkt 3 är uppfyllda och om exportören, i enlighet med Europaparlamentets och rådets förordning (EG) nr 1013/2006 av den 14 juni 2006 om transport av avfall, kan bevisa att avfallstransporten uppfyller kraven i den förordningen och att behandlingen av förpackningsavfall utanför unionen skedde under förhållanden som i stort sett motsvarar kraven i relevant lagstiftning på miljöområdet.</w:t>
      </w:r>
    </w:p>
    <w:p w14:paraId="627E6620" w14:textId="77777777" w:rsidR="000147DB" w:rsidRPr="003E7524" w:rsidRDefault="000147DB" w:rsidP="000147DB">
      <w:pPr>
        <w:spacing w:after="0" w:line="240" w:lineRule="auto"/>
        <w:jc w:val="center"/>
        <w:rPr>
          <w:rFonts w:eastAsia="Calibri" w:cs="Arial"/>
          <w:lang w:val="fr-FR"/>
        </w:rPr>
      </w:pPr>
    </w:p>
    <w:p w14:paraId="2620BFC1" w14:textId="77777777" w:rsidR="000147DB" w:rsidRPr="003E7524" w:rsidRDefault="000147DB" w:rsidP="000147DB">
      <w:pPr>
        <w:spacing w:after="0" w:line="240" w:lineRule="auto"/>
        <w:jc w:val="both"/>
        <w:rPr>
          <w:rFonts w:eastAsia="Times New Roman" w:cs="Arial"/>
          <w:strike/>
          <w:color w:val="FF0000"/>
          <w:lang w:val="fr-FR" w:eastAsia="fr-FR"/>
        </w:rPr>
      </w:pPr>
    </w:p>
    <w:p w14:paraId="516918B1" w14:textId="77777777" w:rsidR="000147DB" w:rsidRPr="003E7524" w:rsidRDefault="000147DB" w:rsidP="000147DB">
      <w:pPr>
        <w:spacing w:after="0" w:line="240" w:lineRule="auto"/>
        <w:jc w:val="center"/>
        <w:rPr>
          <w:rFonts w:eastAsia="Calibri" w:cs="Arial"/>
          <w:color w:val="FF0000"/>
          <w:lang w:val="fr-FR"/>
        </w:rPr>
      </w:pPr>
    </w:p>
    <w:p w14:paraId="47E52660" w14:textId="77777777" w:rsidR="000147DB" w:rsidRPr="003E7524" w:rsidRDefault="000147DB" w:rsidP="002F5A31">
      <w:pPr>
        <w:keepNext/>
        <w:keepLines/>
        <w:shd w:val="clear" w:color="auto" w:fill="FFFFFF"/>
        <w:spacing w:before="142" w:after="28"/>
        <w:jc w:val="both"/>
        <w:rPr>
          <w:color w:val="FF0000"/>
          <w:sz w:val="24"/>
          <w:szCs w:val="24"/>
          <w:rFonts w:eastAsia="Calibri" w:cs="TimesNewRoman"/>
        </w:rPr>
      </w:pPr>
      <w:r>
        <w:rPr>
          <w:color w:val="FF0000"/>
          <w:sz w:val="24"/>
          <w:szCs w:val="24"/>
          <w:u w:val="single"/>
        </w:rPr>
        <w:t xml:space="preserve">Artikel 7</w:t>
      </w:r>
      <w:r>
        <w:rPr>
          <w:color w:val="FF0000"/>
          <w:sz w:val="24"/>
          <w:szCs w:val="24"/>
          <w:u w:val="single"/>
        </w:rPr>
        <w:t xml:space="preserve"> </w:t>
      </w:r>
      <w:r>
        <w:rPr>
          <w:color w:val="FF0000"/>
          <w:sz w:val="24"/>
          <w:szCs w:val="24"/>
          <w:u w:val="single"/>
        </w:rPr>
        <w:t xml:space="preserve">Retur-, insamlings- och återvinningssystem</w:t>
      </w:r>
    </w:p>
    <w:p w14:paraId="3CFE162E" w14:textId="77777777" w:rsidR="000147DB" w:rsidRPr="003E7524" w:rsidRDefault="000147DB" w:rsidP="002F5A31">
      <w:pPr>
        <w:keepNext/>
        <w:keepLines/>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1) För att uppnå de mål som avses i artikel 1 och i enlighet med punkt 2 ska förpackningsansvariga säkerställa följande, med beaktande av hygienföreskrifterna:</w:t>
      </w:r>
    </w:p>
    <w:p w14:paraId="7AA5AC5D" w14:textId="77777777" w:rsidR="000147DB" w:rsidRPr="003E7524" w:rsidRDefault="000147DB" w:rsidP="000147DB">
      <w:pPr>
        <w:shd w:val="clear" w:color="auto" w:fill="FFFFFF"/>
        <w:spacing w:before="100" w:beforeAutospacing="1" w:after="0" w:line="240" w:lineRule="auto"/>
        <w:ind w:left="720"/>
        <w:jc w:val="both"/>
        <w:rPr>
          <w:color w:val="FF0000"/>
          <w:sz w:val="24"/>
          <w:szCs w:val="24"/>
          <w:rFonts w:eastAsia="Calibri" w:cs="TimesNewRoman"/>
        </w:rPr>
      </w:pPr>
      <w:r>
        <w:rPr>
          <w:color w:val="FF0000"/>
          <w:sz w:val="24"/>
          <w:szCs w:val="24"/>
        </w:rPr>
        <w:t xml:space="preserve">1. Retur eller insamling av använda förpackningar eller förpackningsavfall från konsumenten eller andra slutanvändare eller från avfallsflödet för att kunna styra det till det lämpligaste alternativet för avfallshantering.</w:t>
      </w:r>
    </w:p>
    <w:p w14:paraId="40D25AD4" w14:textId="77777777" w:rsidR="000147DB" w:rsidRPr="003E7524" w:rsidRDefault="000147DB" w:rsidP="000147DB">
      <w:pPr>
        <w:shd w:val="clear" w:color="auto" w:fill="FFFFFF"/>
        <w:spacing w:before="100" w:beforeAutospacing="1" w:after="0" w:line="240" w:lineRule="auto"/>
        <w:ind w:left="720"/>
        <w:jc w:val="both"/>
        <w:rPr>
          <w:color w:val="FF0000"/>
          <w:sz w:val="24"/>
          <w:szCs w:val="24"/>
          <w:rFonts w:eastAsia="Calibri" w:cs="TimesNewRoman"/>
        </w:rPr>
      </w:pPr>
      <w:r>
        <w:rPr>
          <w:color w:val="FF0000"/>
          <w:sz w:val="24"/>
          <w:szCs w:val="24"/>
        </w:rPr>
        <w:t xml:space="preserve">2. Återanvändning, förberedelse för återanvändning eller återvinning, innefattande materialåtervinning, av insamlade förpackningar eller förpackningsavfall.</w:t>
      </w:r>
    </w:p>
    <w:p w14:paraId="60F35859"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Dessa system ska vara öppna för de ekonomiska aktörerna i de berörda sektorerna och för de behöriga myndigheterna.</w:t>
      </w:r>
      <w:r>
        <w:rPr>
          <w:color w:val="FF0000"/>
          <w:sz w:val="24"/>
          <w:szCs w:val="24"/>
        </w:rPr>
        <w:t xml:space="preserve"> </w:t>
      </w:r>
      <w:r>
        <w:rPr>
          <w:color w:val="FF0000"/>
          <w:sz w:val="24"/>
          <w:szCs w:val="24"/>
        </w:rPr>
        <w:t xml:space="preserve">De ska även gälla för importerade produkter på icke-diskriminerande villkor, inklusive de närmare bestämmelserna om tillgång till systemen och eventuella avgifter i samband härmed, samt vara så utformade att handelshinder eller snedvridning av konkurrensen undviks.</w:t>
      </w:r>
    </w:p>
    <w:p w14:paraId="7291264C"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2) För att minimera bortskaffandet av förpackningsavfall i form av kommunalt avfall och uppnå en hög nivå av separat insamling av förpackningsavfall ska följande bestämmelser tillämpas:</w:t>
      </w:r>
    </w:p>
    <w:p w14:paraId="457714E4" w14:textId="77777777" w:rsidR="000147DB" w:rsidRPr="003E7524" w:rsidRDefault="000147DB" w:rsidP="002F5A31">
      <w:pPr>
        <w:keepNext/>
        <w:keepLines/>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a) För förpackningsavfall från hushåll:</w:t>
      </w:r>
    </w:p>
    <w:p w14:paraId="04693C3C" w14:textId="77777777" w:rsidR="000147DB" w:rsidRPr="003E7524" w:rsidRDefault="000147DB" w:rsidP="000147DB">
      <w:pPr>
        <w:spacing w:before="200" w:after="85" w:line="240" w:lineRule="auto"/>
        <w:ind w:left="375"/>
        <w:jc w:val="both"/>
        <w:rPr>
          <w:color w:val="FF0000"/>
          <w:sz w:val="24"/>
          <w:szCs w:val="24"/>
          <w:rFonts w:eastAsia="Calibri" w:cs="TimesNewRoman"/>
        </w:rPr>
      </w:pPr>
      <w:r>
        <w:rPr>
          <w:color w:val="FF0000"/>
          <w:sz w:val="24"/>
          <w:szCs w:val="24"/>
        </w:rPr>
        <w:t xml:space="preserve">Kommunerna eller kommunsammanslutningarna ska säkerställa tillgängligheten till system för separat insamling, utan att det ska påverka deras skyldigheter avseende hantering av kommunalt hushållsavfall som anges i lagen av den 21 mars 2012.</w:t>
      </w:r>
      <w:r>
        <w:rPr>
          <w:color w:val="FF0000"/>
          <w:sz w:val="24"/>
          <w:szCs w:val="24"/>
        </w:rPr>
        <w:t xml:space="preserve"> </w:t>
      </w:r>
      <w:r>
        <w:rPr>
          <w:color w:val="FF0000"/>
          <w:sz w:val="24"/>
          <w:szCs w:val="24"/>
        </w:rPr>
        <w:t xml:space="preserve">Kommuner eller kommunsammanslutningar måste, i förekommande fall genom samarbete med de godkända organen, säkerställa tillgängligheten och åtkomsten till offentlig infrastruktur för separat insamling av förpackningsavfall från hushållet som gör det möjligt för slutanvändarna att avgiftsfritt återlämna sådant förpackningsavfall.</w:t>
      </w:r>
    </w:p>
    <w:p w14:paraId="54386F43" w14:textId="77777777" w:rsidR="000147DB" w:rsidRPr="003E7524" w:rsidRDefault="000147DB" w:rsidP="000147DB">
      <w:pPr>
        <w:spacing w:before="200" w:after="85" w:line="240" w:lineRule="auto"/>
        <w:ind w:left="375"/>
        <w:jc w:val="both"/>
        <w:rPr>
          <w:color w:val="FF0000"/>
          <w:sz w:val="24"/>
          <w:szCs w:val="24"/>
          <w:rFonts w:eastAsia="Calibri" w:cs="TimesNewRoman"/>
        </w:rPr>
      </w:pPr>
      <w:r>
        <w:rPr>
          <w:color w:val="FF0000"/>
          <w:sz w:val="24"/>
          <w:szCs w:val="24"/>
        </w:rPr>
        <w:t xml:space="preserve">De godkända organen tillåts att inrätta och driva alternativa eller kompletterande system för återlämnande av förpackningsavfall från hushållet, förutsatt att dessa står i överensstämmelse med målen med denna lag, garanterar samma geografiska täckning som de system som inrättats av kommuner och kommunsammanslutningar och gör det möjligt att avgiftsfritt återlämna förpackningsavfallet från hushåll.</w:t>
      </w:r>
    </w:p>
    <w:p w14:paraId="1411304A" w14:textId="77777777" w:rsidR="000147DB" w:rsidRPr="003E7524" w:rsidRDefault="000147DB" w:rsidP="000147DB">
      <w:pPr>
        <w:shd w:val="clear" w:color="auto" w:fill="FFFFFF"/>
        <w:spacing w:before="100" w:beforeAutospacing="1" w:after="0" w:line="240" w:lineRule="auto"/>
        <w:ind w:left="375"/>
        <w:jc w:val="both"/>
        <w:rPr>
          <w:color w:val="FF0000"/>
          <w:sz w:val="24"/>
          <w:szCs w:val="24"/>
          <w:rFonts w:eastAsia="Calibri" w:cs="TimesNewRoman"/>
        </w:rPr>
      </w:pPr>
      <w:r>
        <w:rPr>
          <w:color w:val="FF0000"/>
          <w:sz w:val="24"/>
          <w:szCs w:val="24"/>
        </w:rPr>
        <w:t xml:space="preserve">Användarna av hushållsförpackningar är skyldiga att använda sig av de system för återlämnande av förpackningsavfall från hushåll som tillhandahålls av kommunerna eller kommunsammanslutningarna eller de godkända organen.</w:t>
      </w:r>
    </w:p>
    <w:p w14:paraId="72763D47"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b) För förpackningsavfall från andra källor än hushållen:</w:t>
      </w:r>
    </w:p>
    <w:p w14:paraId="3D19C80D" w14:textId="77777777" w:rsidR="000147DB" w:rsidRPr="003E7524" w:rsidRDefault="000147DB" w:rsidP="000147DB">
      <w:pPr>
        <w:shd w:val="clear" w:color="auto" w:fill="FFFFFF"/>
        <w:spacing w:before="100" w:beforeAutospacing="1" w:after="0" w:line="240" w:lineRule="auto"/>
        <w:ind w:left="375"/>
        <w:jc w:val="both"/>
        <w:rPr>
          <w:color w:val="FF0000"/>
          <w:sz w:val="24"/>
          <w:szCs w:val="24"/>
          <w:rFonts w:eastAsia="Calibri" w:cs="TimesNewRoman"/>
        </w:rPr>
      </w:pPr>
      <w:r>
        <w:rPr>
          <w:color w:val="FF0000"/>
          <w:sz w:val="24"/>
          <w:szCs w:val="24"/>
        </w:rPr>
        <w:t xml:space="preserve">De som är ansvariga för förpackningsavfall från andra källor än hushållen ska säkerställa att detta avfall samlas in och återvinns inom ramen för ett system med utökat producentansvar enligt artikel 8 i denna lag.</w:t>
      </w:r>
    </w:p>
    <w:p w14:paraId="211C6CEC" w14:textId="165B29C7" w:rsidR="000147DB" w:rsidRPr="00471E09"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3) De anläggningar eller företag som avses i artikel 30.1 i </w:t>
      </w:r>
      <w:hyperlink r:id="rId4" w:history="1">
        <w:r>
          <w:rPr>
            <w:color w:val="FF0000"/>
            <w:sz w:val="24"/>
            <w:szCs w:val="24"/>
          </w:rPr>
          <w:t xml:space="preserve">lagen av den 21 mars 2012</w:t>
        </w:r>
      </w:hyperlink>
      <w:r>
        <w:rPr>
          <w:color w:val="FF0000"/>
          <w:sz w:val="24"/>
          <w:szCs w:val="24"/>
        </w:rPr>
        <w:t xml:space="preserve"> får endast samla in eller transportera förpackningsavfall som består av hushållsavfall om de har bemyndigats för detta av de godkända organen.</w:t>
      </w:r>
    </w:p>
    <w:p w14:paraId="5A8B572D" w14:textId="03908A6C"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 </w:t>
      </w:r>
      <w:r>
        <w:rPr>
          <w:color w:val="FF0000"/>
          <w:sz w:val="24"/>
          <w:szCs w:val="24"/>
        </w:rPr>
        <w:t xml:space="preserve">4) Förpackningar för drycker som är avsedda för human konsumtion och som släppts ut på marknaden i Luxemburg ska omfattas av ett unikt nationellt pantsystem.</w:t>
      </w:r>
      <w:r>
        <w:rPr>
          <w:color w:val="FF0000"/>
          <w:sz w:val="24"/>
          <w:szCs w:val="24"/>
        </w:rPr>
        <w:t xml:space="preserve"> </w:t>
      </w:r>
      <w:r>
        <w:rPr>
          <w:color w:val="FF0000"/>
          <w:sz w:val="24"/>
          <w:szCs w:val="24"/>
        </w:rPr>
        <w:t xml:space="preserve">Pantbeloppet ska variera mellan 10 cent och 1 euro beroende på typen av förpackning.</w:t>
      </w:r>
      <w:r>
        <w:rPr>
          <w:color w:val="FF0000"/>
          <w:sz w:val="24"/>
          <w:szCs w:val="24"/>
        </w:rPr>
        <w:t xml:space="preserve"> </w:t>
      </w:r>
      <w:r>
        <w:rPr>
          <w:color w:val="FF0000"/>
          <w:sz w:val="24"/>
          <w:szCs w:val="24"/>
        </w:rPr>
        <w:t xml:space="preserve">Datumet och villkoren för inrättande av pantsystemet ska fastställas genom storhertiglig förordning.</w:t>
      </w:r>
      <w:r>
        <w:rPr>
          <w:color w:val="FF0000"/>
          <w:sz w:val="24"/>
          <w:szCs w:val="24"/>
        </w:rPr>
        <w:t xml:space="preserve"> </w:t>
      </w:r>
    </w:p>
    <w:p w14:paraId="2E9C3117" w14:textId="77777777" w:rsidR="000147DB" w:rsidRPr="003E7524" w:rsidRDefault="000147DB" w:rsidP="000147DB">
      <w:pPr>
        <w:spacing w:after="0" w:line="240" w:lineRule="auto"/>
        <w:jc w:val="both"/>
        <w:rPr>
          <w:rFonts w:eastAsia="Times New Roman" w:cs="Arial"/>
          <w:b/>
          <w:bCs/>
          <w:lang w:val="fr-LU" w:eastAsia="fr-FR"/>
        </w:rPr>
      </w:pPr>
    </w:p>
    <w:p w14:paraId="39140DBB" w14:textId="77777777" w:rsidR="000147DB" w:rsidRPr="003E7524" w:rsidRDefault="000147DB" w:rsidP="000147DB">
      <w:pPr>
        <w:spacing w:after="0" w:line="240" w:lineRule="auto"/>
        <w:jc w:val="both"/>
        <w:rPr>
          <w:rFonts w:eastAsia="Times New Roman" w:cs="Arial"/>
          <w:b/>
          <w:bCs/>
          <w:lang w:val="fr-FR" w:eastAsia="fr-FR"/>
        </w:rPr>
      </w:pPr>
    </w:p>
    <w:p w14:paraId="515F989F" w14:textId="77777777" w:rsidR="000147DB" w:rsidRPr="003E7524" w:rsidRDefault="000147DB" w:rsidP="000147DB">
      <w:pPr>
        <w:spacing w:after="0" w:line="240" w:lineRule="auto"/>
        <w:jc w:val="both"/>
        <w:rPr>
          <w:rFonts w:eastAsia="Times New Roman" w:cs="Arial"/>
          <w:strike/>
          <w:color w:val="FF0000"/>
          <w:lang w:val="fr-FR" w:eastAsia="fr-FR"/>
        </w:rPr>
      </w:pPr>
    </w:p>
    <w:p w14:paraId="5B6EF5DC" w14:textId="77777777" w:rsidR="000147DB" w:rsidRPr="003E7524" w:rsidRDefault="000147DB" w:rsidP="002F5A31">
      <w:pPr>
        <w:keepNext/>
        <w:keepLines/>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Artikel 8</w:t>
      </w:r>
      <w:r>
        <w:rPr>
          <w:color w:val="FF0000"/>
          <w:sz w:val="24"/>
          <w:szCs w:val="24"/>
          <w:u w:val="single"/>
        </w:rPr>
        <w:t xml:space="preserve"> </w:t>
      </w:r>
      <w:r>
        <w:rPr>
          <w:color w:val="FF0000"/>
          <w:sz w:val="24"/>
          <w:szCs w:val="24"/>
          <w:u w:val="single"/>
        </w:rPr>
        <w:t xml:space="preserve">Förpackningsansvariga och godkända organ</w:t>
      </w:r>
    </w:p>
    <w:p w14:paraId="4ADADA8E"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1) För att uppfylla sina skyldigheter enligt denna lag samt de som följer av lagen om bedömning av vissa plastprodukters miljöpåverkan ska förpackningsansvariga omfattas av utökat producentansvar enligt artikel 19 i lagen av den 21 mars 2012.</w:t>
      </w:r>
      <w:r>
        <w:rPr>
          <w:color w:val="FF0000"/>
          <w:sz w:val="24"/>
          <w:szCs w:val="24"/>
        </w:rPr>
        <w:t xml:space="preserve"> </w:t>
      </w:r>
    </w:p>
    <w:p w14:paraId="48FF4710"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För återanvändbara hushållsförpackningar för vilka det finns ett retursystem kan förpackningsansvariga genom ett avtal helt eller delvis anförtro genomförandet av denna skyldighet till ett godkänt organ.</w:t>
      </w:r>
      <w:r>
        <w:rPr>
          <w:color w:val="FF0000"/>
          <w:sz w:val="24"/>
          <w:szCs w:val="24"/>
        </w:rPr>
        <w:t xml:space="preserve"> </w:t>
      </w:r>
      <w:r>
        <w:rPr>
          <w:color w:val="FF0000"/>
          <w:sz w:val="24"/>
          <w:szCs w:val="24"/>
        </w:rPr>
        <w:t xml:space="preserve">För annat hushållsavfall måste förpackningsansvariga genom ett avtal anförtro genomförandet av denna skyldighet till ett godkänt organ.</w:t>
      </w:r>
      <w:r>
        <w:rPr>
          <w:color w:val="FF0000"/>
          <w:sz w:val="24"/>
          <w:szCs w:val="24"/>
        </w:rPr>
        <w:t xml:space="preserve"> </w:t>
      </w:r>
      <w:r>
        <w:rPr>
          <w:color w:val="FF0000"/>
          <w:sz w:val="24"/>
          <w:szCs w:val="24"/>
        </w:rPr>
        <w:t xml:space="preserve">För förpackningar från andra källor än hushållen måste förpackningsansvariga genom ett avtal helt eller delvis anförtro genomförandet av denna skyldighet till ett godkänt organ.</w:t>
      </w:r>
      <w:r>
        <w:rPr>
          <w:color w:val="FF0000"/>
          <w:sz w:val="24"/>
          <w:szCs w:val="24"/>
        </w:rPr>
        <w:t xml:space="preserve"> </w:t>
      </w:r>
    </w:p>
    <w:p w14:paraId="0456039D"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2) För förpackningsavfall som omfattas av centraliserad hantering ska de godkända organen, inom sina respektive ansvarsområden, säkerställa finansieringen av avfallshanteringen från och med punkten för insamling genom frivillig medverkan, inklusive förberedelsen för återanvändning.</w:t>
      </w:r>
    </w:p>
    <w:p w14:paraId="72D5467E"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För det förpackningsavfall som inte omfattas av centraliserad hantering ska de godkända organens metoder för finansiering av den separata insamlingen av detta avfall fastställas genom en överenskommelse mellan nämnda organ och de kommuner som berörs.</w:t>
      </w:r>
      <w:r>
        <w:rPr>
          <w:color w:val="FF0000"/>
          <w:sz w:val="24"/>
          <w:szCs w:val="24"/>
        </w:rPr>
        <w:t xml:space="preserve"> </w:t>
      </w:r>
      <w:r>
        <w:rPr>
          <w:color w:val="FF0000"/>
          <w:sz w:val="24"/>
          <w:szCs w:val="24"/>
        </w:rPr>
        <w:t xml:space="preserve">Alla kostnader för avfallshanteringen inklusive förberedelsen för återanvändning ska täckas genom bidrag från förpackningsansvariga.</w:t>
      </w:r>
    </w:p>
    <w:p w14:paraId="7AFE5345" w14:textId="77777777" w:rsidR="000147DB" w:rsidRPr="003E7524" w:rsidRDefault="000147DB" w:rsidP="002F5A31">
      <w:pPr>
        <w:keepNext/>
        <w:keepLines/>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3) Dessutom har det godkända organet följande skyldigheter:</w:t>
      </w:r>
    </w:p>
    <w:p w14:paraId="09CD75E1"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1. Att beräkna de avgifter som dess entreprenörer ska betala för att finansiera kostnaderna för befintliga och framtida insamlingspunkter och för att sortera det insamlade förpackningsavfallet, förbereda för återanvändning och behandla förpackningsavfallet samt kostnaderna för att tillhandahålla information till innehavare av avfall och för att samla in och överföra information.</w:t>
      </w:r>
      <w:r>
        <w:rPr>
          <w:color w:val="FF0000"/>
          <w:sz w:val="24"/>
          <w:szCs w:val="24"/>
        </w:rPr>
        <w:t xml:space="preserve"> </w:t>
      </w:r>
      <w:r>
        <w:rPr>
          <w:color w:val="FF0000"/>
          <w:sz w:val="24"/>
          <w:szCs w:val="24"/>
        </w:rPr>
        <w:t xml:space="preserve">De kostnader som tas med i beräkningen ska inte överstiga kostnaderna för en ekonomiskt effektiv tjänst.</w:t>
      </w:r>
    </w:p>
    <w:p w14:paraId="2A2FFD4D"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2. Att ingå avtal med de kommuner eller kommunsammanslutningar som ansvarar för hantering av det kommunala hushållsavfallet, där i synnerhet de tekniska villkor och metoder för insamling av det förpackningsavfall som berörs och mottagandet av förpackningsavfallet ska fastställas.</w:t>
      </w:r>
      <w:r>
        <w:rPr>
          <w:color w:val="FF0000"/>
          <w:sz w:val="24"/>
          <w:szCs w:val="24"/>
        </w:rPr>
        <w:t xml:space="preserve"> </w:t>
      </w:r>
    </w:p>
    <w:p w14:paraId="0E152E2B"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Avtalet ska inte på något sätt undergräva behörigheterna hos kommuner eller kommunsammanslutningar med ansvar för hantering av det kommunala hushållsavfallet i fråga.</w:t>
      </w:r>
    </w:p>
    <w:p w14:paraId="5D98EE21"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3. Att årligen genom den rapport som avses i artikel 35.2 i lagen av den 21 mars 2012 underrätta ministern om de avtal som ingåtts med kommuner eller kommunsammanslutningar med ansvar för hantering av kommunalt hushållsavfall.</w:t>
      </w:r>
      <w:r>
        <w:rPr>
          <w:color w:val="FF0000"/>
          <w:sz w:val="24"/>
          <w:szCs w:val="24"/>
        </w:rPr>
        <w:t xml:space="preserve"> </w:t>
      </w:r>
    </w:p>
    <w:p w14:paraId="4EF43EE8"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4) Vid hantering av förpackningsavfall ska den avfallshierarki som avses i artikel 9 i lagen av den 21 mars 2012 beaktas.</w:t>
      </w:r>
      <w:r>
        <w:rPr>
          <w:color w:val="FF0000"/>
          <w:sz w:val="24"/>
          <w:szCs w:val="24"/>
        </w:rPr>
        <w:t xml:space="preserve"> </w:t>
      </w:r>
    </w:p>
    <w:p w14:paraId="0B1E18BC" w14:textId="77777777" w:rsidR="000147DB" w:rsidRPr="003E7524" w:rsidRDefault="000147DB" w:rsidP="000147DB">
      <w:pPr>
        <w:spacing w:after="0" w:line="240" w:lineRule="auto"/>
        <w:jc w:val="both"/>
        <w:rPr>
          <w:rFonts w:eastAsia="Times New Roman" w:cs="Arial"/>
          <w:strike/>
          <w:color w:val="FF0000"/>
          <w:lang w:val="fr-LU" w:eastAsia="fr-FR"/>
        </w:rPr>
      </w:pPr>
    </w:p>
    <w:p w14:paraId="1CA79E98" w14:textId="77777777" w:rsidR="000147DB" w:rsidRPr="003E7524" w:rsidRDefault="000147DB" w:rsidP="000147DB">
      <w:pPr>
        <w:spacing w:after="0" w:line="240" w:lineRule="auto"/>
        <w:jc w:val="both"/>
        <w:rPr>
          <w:rFonts w:eastAsia="Times New Roman" w:cs="Arial"/>
          <w:strike/>
          <w:color w:val="FF0000"/>
          <w:lang w:val="fr-FR" w:eastAsia="fr-FR"/>
        </w:rPr>
      </w:pPr>
    </w:p>
    <w:p w14:paraId="657BECD5" w14:textId="77777777" w:rsidR="000147DB" w:rsidRPr="003E7524" w:rsidRDefault="000147DB" w:rsidP="000147DB">
      <w:pPr>
        <w:spacing w:after="0" w:line="240" w:lineRule="auto"/>
        <w:jc w:val="both"/>
        <w:rPr>
          <w:rFonts w:eastAsia="Times New Roman" w:cs="Arial"/>
          <w:strike/>
          <w:color w:val="FF0000"/>
          <w:lang w:val="fr-FR" w:eastAsia="fr-FR"/>
        </w:rPr>
      </w:pPr>
    </w:p>
    <w:p w14:paraId="5E398962" w14:textId="77777777" w:rsidR="000147DB" w:rsidRPr="003E7524" w:rsidRDefault="000147DB" w:rsidP="002F5A31">
      <w:pPr>
        <w:keepNext/>
        <w:keepLines/>
        <w:spacing w:after="0" w:line="240" w:lineRule="auto"/>
        <w:jc w:val="both"/>
        <w:rPr>
          <w:rFonts w:eastAsia="Times New Roman" w:cs="Arial"/>
        </w:rPr>
      </w:pPr>
      <w:r>
        <w:rPr>
          <w:b/>
          <w:bCs/>
        </w:rPr>
        <w:t xml:space="preserve">Artikel 9</w:t>
      </w:r>
      <w:r>
        <w:rPr>
          <w:b/>
          <w:bCs/>
        </w:rPr>
        <w:t xml:space="preserve"> </w:t>
      </w:r>
      <w:r>
        <w:rPr>
          <w:b/>
          <w:bCs/>
        </w:rPr>
        <w:t xml:space="preserve">Väsentliga krav</w:t>
      </w:r>
    </w:p>
    <w:p w14:paraId="605864EB" w14:textId="77777777" w:rsidR="000147DB" w:rsidRPr="003E7524" w:rsidRDefault="000147DB" w:rsidP="000147DB">
      <w:pPr>
        <w:spacing w:after="0" w:line="240" w:lineRule="auto"/>
        <w:jc w:val="both"/>
        <w:rPr>
          <w:rFonts w:eastAsia="Times New Roman" w:cs="Arial"/>
        </w:rPr>
      </w:pPr>
      <w:r>
        <w:t xml:space="preserve">En förpackning får släppas ut på marknaden i Luxemburg endast om den uppfyller alla de väsentliga krav som anges i bilaga I.</w:t>
      </w:r>
    </w:p>
    <w:p w14:paraId="3A246FED" w14:textId="77777777" w:rsidR="000147DB" w:rsidRPr="003E7524" w:rsidRDefault="000147DB" w:rsidP="000147DB">
      <w:pPr>
        <w:spacing w:after="0" w:line="240" w:lineRule="auto"/>
        <w:jc w:val="both"/>
        <w:rPr>
          <w:rFonts w:eastAsia="Times New Roman" w:cs="Arial"/>
          <w:lang w:val="fr-FR" w:eastAsia="fr-FR"/>
        </w:rPr>
      </w:pPr>
    </w:p>
    <w:p w14:paraId="22E6A7CC" w14:textId="77777777" w:rsidR="000147DB" w:rsidRPr="003E7524" w:rsidRDefault="000147DB" w:rsidP="002F5A31">
      <w:pPr>
        <w:keepNext/>
        <w:keepLines/>
        <w:spacing w:after="0" w:line="240" w:lineRule="auto"/>
        <w:jc w:val="both"/>
        <w:rPr>
          <w:b/>
          <w:bCs/>
          <w:iCs/>
          <w:rFonts w:eastAsia="Times New Roman" w:cs="Arial"/>
        </w:rPr>
      </w:pPr>
      <w:r>
        <w:rPr>
          <w:b/>
          <w:bCs/>
        </w:rPr>
        <w:t xml:space="preserve">Artikel 10</w:t>
      </w:r>
      <w:r>
        <w:rPr>
          <w:b/>
          <w:bCs/>
        </w:rPr>
        <w:t xml:space="preserve"> </w:t>
      </w:r>
      <w:r>
        <w:rPr>
          <w:b/>
          <w:bCs/>
          <w:iCs/>
        </w:rPr>
        <w:t xml:space="preserve">Identifieringssystem</w:t>
      </w:r>
    </w:p>
    <w:p w14:paraId="05C008A4" w14:textId="77777777" w:rsidR="000147DB" w:rsidRPr="003E7524" w:rsidRDefault="000147DB" w:rsidP="002F5A31">
      <w:pPr>
        <w:keepNext/>
        <w:keepLines/>
        <w:spacing w:after="0" w:line="240" w:lineRule="auto"/>
        <w:jc w:val="both"/>
        <w:rPr>
          <w:rFonts w:eastAsia="Times New Roman" w:cs="Arial"/>
          <w:b/>
          <w:bCs/>
          <w:iCs/>
          <w:lang w:val="fr-FR" w:eastAsia="fr-FR"/>
        </w:rPr>
      </w:pPr>
    </w:p>
    <w:p w14:paraId="331832A7" w14:textId="77777777" w:rsidR="000147DB" w:rsidRPr="003E7524" w:rsidRDefault="000147DB" w:rsidP="002F5A31">
      <w:pPr>
        <w:keepNext/>
        <w:keepLines/>
        <w:spacing w:after="0" w:line="240" w:lineRule="auto"/>
        <w:jc w:val="both"/>
        <w:rPr>
          <w:rFonts w:eastAsia="Times New Roman" w:cs="Arial"/>
          <w:b/>
          <w:lang w:val="fr-FR" w:eastAsia="fr-FR"/>
        </w:rPr>
      </w:pPr>
    </w:p>
    <w:p w14:paraId="425BF78D" w14:textId="77777777" w:rsidR="000147DB" w:rsidRPr="003E7524" w:rsidRDefault="000147DB" w:rsidP="002F5A31">
      <w:pPr>
        <w:keepNext/>
        <w:keepLines/>
        <w:spacing w:after="0" w:line="240" w:lineRule="auto"/>
        <w:jc w:val="both"/>
        <w:rPr>
          <w:rFonts w:eastAsia="Times New Roman" w:cs="Arial"/>
          <w:lang w:val="fr-FR" w:eastAsia="fr-FR"/>
        </w:rPr>
      </w:pPr>
    </w:p>
    <w:p w14:paraId="5D34AF9E" w14:textId="38F1F05F"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1) I syfte att underlätta insamling, återanvändning och återvinning, inbegripet materialutnyttjande, ska förpackningar vara försedda med uppgift om vilka förpackningsmaterial som har använts, så att den berörda industrin kan identifiera och klassificera dem på grundval av kommissionens beslut 97/129/EG av den 28 januari 1997 om fastställandet av ett identifieringssystem för förpackningsmaterial i enlighet med Europaparlamentets och rådets direktiv 94/62/EG om förpackningar och förpackningsavfall.</w:t>
      </w:r>
      <w:r>
        <w:rPr>
          <w:color w:val="FF0000"/>
          <w:sz w:val="24"/>
          <w:szCs w:val="24"/>
        </w:rPr>
        <w:t xml:space="preserve"> </w:t>
      </w:r>
    </w:p>
    <w:p w14:paraId="4942209B" w14:textId="77777777" w:rsidR="000147DB" w:rsidRPr="003E7524" w:rsidRDefault="000147DB" w:rsidP="000147DB">
      <w:pPr>
        <w:spacing w:after="0" w:line="240" w:lineRule="auto"/>
        <w:jc w:val="both"/>
        <w:rPr>
          <w:rFonts w:eastAsia="Times New Roman" w:cs="Arial"/>
          <w:lang w:val="fr-FR" w:eastAsia="fr-FR"/>
        </w:rPr>
      </w:pPr>
    </w:p>
    <w:p w14:paraId="08E9BCD8" w14:textId="77777777" w:rsidR="000147DB" w:rsidRPr="003E7524" w:rsidRDefault="000147DB" w:rsidP="000147DB">
      <w:pPr>
        <w:spacing w:after="0" w:line="240" w:lineRule="auto"/>
        <w:jc w:val="both"/>
        <w:rPr>
          <w:rFonts w:eastAsia="Times New Roman" w:cs="Arial"/>
        </w:rPr>
      </w:pPr>
      <w:r>
        <w:t xml:space="preserve">2) Förpackningar ska vara försedda med lämplig märkning, antingen på själva förpackningen eller på etiketten.</w:t>
      </w:r>
      <w:r>
        <w:t xml:space="preserve"> </w:t>
      </w:r>
      <w:r>
        <w:t xml:space="preserve">Märkningen ska vara tydlig och lätt att läsa.</w:t>
      </w:r>
      <w:r>
        <w:t xml:space="preserve"> </w:t>
      </w:r>
      <w:r>
        <w:t xml:space="preserve">Märkningen ska ha en lämplig varaktighet och hållbarhet, även efter det att förpackningen har öppnats.</w:t>
      </w:r>
    </w:p>
    <w:p w14:paraId="09FE587A" w14:textId="77777777" w:rsidR="000147DB" w:rsidRPr="003E7524" w:rsidRDefault="000147DB" w:rsidP="000147DB">
      <w:pPr>
        <w:spacing w:after="0" w:line="240" w:lineRule="auto"/>
        <w:jc w:val="both"/>
        <w:rPr>
          <w:rFonts w:eastAsia="Times New Roman" w:cs="Arial"/>
          <w:lang w:val="fr-FR" w:eastAsia="fr-FR"/>
        </w:rPr>
      </w:pPr>
    </w:p>
    <w:p w14:paraId="7D950806" w14:textId="77777777" w:rsidR="000147DB" w:rsidRPr="003E7524" w:rsidRDefault="000147DB" w:rsidP="002F5A31">
      <w:pPr>
        <w:keepNext/>
        <w:keepLines/>
        <w:spacing w:after="0" w:line="240" w:lineRule="auto"/>
        <w:jc w:val="both"/>
        <w:rPr>
          <w:b/>
          <w:color w:val="000000"/>
          <w:rFonts w:eastAsia="Times New Roman" w:cs="Arial"/>
        </w:rPr>
      </w:pPr>
      <w:r>
        <w:rPr>
          <w:b/>
          <w:color w:val="000000"/>
        </w:rPr>
        <w:t xml:space="preserve">Artikel 11</w:t>
      </w:r>
      <w:r>
        <w:rPr>
          <w:b/>
          <w:color w:val="000000"/>
        </w:rPr>
        <w:t xml:space="preserve"> </w:t>
      </w:r>
      <w:r>
        <w:rPr>
          <w:b/>
          <w:color w:val="000000"/>
          <w:iCs/>
        </w:rPr>
        <w:t xml:space="preserve">Koncentrationer av tungmetaller i förpackningar</w:t>
      </w:r>
    </w:p>
    <w:p w14:paraId="5961C7DD" w14:textId="77777777" w:rsidR="000147DB" w:rsidRPr="003E7524" w:rsidRDefault="000147DB" w:rsidP="000147DB">
      <w:pPr>
        <w:spacing w:after="0" w:line="240" w:lineRule="auto"/>
        <w:jc w:val="both"/>
        <w:rPr>
          <w:color w:val="000000"/>
          <w:rFonts w:eastAsia="Times New Roman" w:cs="Arial"/>
        </w:rPr>
      </w:pPr>
      <w:r>
        <w:rPr>
          <w:color w:val="000000"/>
        </w:rPr>
        <w:t xml:space="preserve">1) Summan av koncentrationerna av bly, kadmium, kvicksilver och sexvärdigt krom i förpackningar och förpackningskomponenter får inte överstiga 100 ppm (vikt).</w:t>
      </w:r>
    </w:p>
    <w:p w14:paraId="173D4287" w14:textId="77777777" w:rsidR="000147DB" w:rsidRPr="003E7524" w:rsidRDefault="000147DB" w:rsidP="000147DB">
      <w:pPr>
        <w:spacing w:after="0" w:line="240" w:lineRule="auto"/>
        <w:jc w:val="both"/>
        <w:rPr>
          <w:color w:val="000000"/>
          <w:rFonts w:eastAsia="Times New Roman" w:cs="Arial"/>
        </w:rPr>
      </w:pPr>
      <w:r>
        <w:rPr>
          <w:color w:val="000000"/>
        </w:rPr>
        <w:t xml:space="preserve">2) De koncentrationer som avses i punkt 1 gäller inte för förpackningar som är framställda uteslutande av blykristallglas.</w:t>
      </w:r>
    </w:p>
    <w:p w14:paraId="242DF555" w14:textId="77777777" w:rsidR="000147DB" w:rsidRPr="003E7524" w:rsidRDefault="000147DB" w:rsidP="000147DB">
      <w:pPr>
        <w:spacing w:after="0" w:line="240" w:lineRule="auto"/>
        <w:jc w:val="both"/>
        <w:rPr>
          <w:rFonts w:eastAsia="Times New Roman" w:cs="Arial"/>
          <w:lang w:val="fr-FR" w:eastAsia="fr-FR"/>
        </w:rPr>
      </w:pPr>
    </w:p>
    <w:p w14:paraId="122991E0" w14:textId="77777777" w:rsidR="000147DB" w:rsidRPr="003E7524" w:rsidRDefault="000147DB" w:rsidP="002F5A31">
      <w:pPr>
        <w:keepNext/>
        <w:keepLines/>
        <w:spacing w:after="0" w:line="240" w:lineRule="auto"/>
        <w:jc w:val="both"/>
        <w:rPr>
          <w:b/>
          <w:rFonts w:eastAsia="Times New Roman" w:cs="Arial"/>
        </w:rPr>
      </w:pPr>
      <w:r>
        <w:rPr>
          <w:b/>
        </w:rPr>
        <w:t xml:space="preserve">Artikel 12</w:t>
      </w:r>
      <w:r>
        <w:rPr>
          <w:b/>
        </w:rPr>
        <w:t xml:space="preserve"> </w:t>
      </w:r>
      <w:r>
        <w:rPr>
          <w:b/>
        </w:rPr>
        <w:t xml:space="preserve">Informationssystem</w:t>
      </w:r>
    </w:p>
    <w:p w14:paraId="5FCE099A" w14:textId="77777777" w:rsidR="000147DB" w:rsidRPr="003E7524" w:rsidRDefault="000147DB" w:rsidP="000147DB">
      <w:pPr>
        <w:spacing w:after="0" w:line="240" w:lineRule="auto"/>
        <w:jc w:val="both"/>
        <w:rPr>
          <w:rFonts w:eastAsia="Times New Roman" w:cs="Arial"/>
        </w:rPr>
      </w:pPr>
      <w:r>
        <w:t xml:space="preserve">1) De databaser som avses i bilaga III till Europaparlamentets och rådets direktiv 94/62/EG av den 20 december 1994 om förpackningar och förpackningsavfall, i dess lydelse efter ändring genom kommissionens delegerade akter i enlighet med artikel 19 i direktivet, ska förvaltas av miljömyndigheten.</w:t>
      </w:r>
      <w:r>
        <w:t xml:space="preserve"> </w:t>
      </w:r>
      <w:r>
        <w:t xml:space="preserve">Databaserna ska innehålla uppgifter om omfattningen, egenskaperna och utvecklingen av flödet av förpackningar och förpackningsavfall, inbegripet information om toxiska eller farliga egenskaper hos förpackningsmaterialet eller komponenter som används vid tillverkningen.</w:t>
      </w:r>
    </w:p>
    <w:p w14:paraId="7E5340DE" w14:textId="77777777" w:rsidR="000147DB" w:rsidRPr="003E7524" w:rsidRDefault="000147DB" w:rsidP="000147DB">
      <w:pPr>
        <w:spacing w:after="0" w:line="240" w:lineRule="auto"/>
        <w:jc w:val="both"/>
        <w:rPr>
          <w:rFonts w:eastAsia="Times New Roman" w:cs="Arial"/>
        </w:rPr>
      </w:pPr>
      <w:r>
        <w:t xml:space="preserve">2) De ekonomiska aktörer som berörs ska tillhandahålla miljömyndigheten tillförlitliga uppgifter om sin sektor i enlighet med kravet i denna artikel.</w:t>
      </w:r>
      <w:r>
        <w:t xml:space="preserve"> </w:t>
      </w:r>
      <w:r>
        <w:t xml:space="preserve">Miljömyndigheten ska ta hänsyn till särskilda problem för små och medelstora företag att tillhandahålla detaljerade uppgifter.</w:t>
      </w:r>
    </w:p>
    <w:p w14:paraId="5AEC8260" w14:textId="77777777" w:rsidR="000147DB" w:rsidRPr="003E7524" w:rsidRDefault="000147DB" w:rsidP="000147DB">
      <w:pPr>
        <w:spacing w:after="0" w:line="240" w:lineRule="auto"/>
        <w:jc w:val="both"/>
        <w:rPr>
          <w:rFonts w:eastAsia="Times New Roman" w:cs="Arial"/>
          <w:lang w:val="fr-FR" w:eastAsia="fr-FR"/>
        </w:rPr>
      </w:pPr>
    </w:p>
    <w:p w14:paraId="3E529549" w14:textId="77777777" w:rsidR="000147DB" w:rsidRPr="003E7524" w:rsidRDefault="000147DB" w:rsidP="000147DB">
      <w:pPr>
        <w:spacing w:after="0" w:line="240" w:lineRule="auto"/>
        <w:jc w:val="both"/>
        <w:rPr>
          <w:rFonts w:eastAsia="Times New Roman" w:cs="Arial"/>
          <w:lang w:val="fr-FR" w:eastAsia="fr-FR"/>
        </w:rPr>
      </w:pPr>
    </w:p>
    <w:p w14:paraId="0135E764" w14:textId="77777777" w:rsidR="000147DB" w:rsidRPr="003E7524" w:rsidRDefault="000147DB" w:rsidP="002F5A31">
      <w:pPr>
        <w:keepNext/>
        <w:keepLines/>
        <w:spacing w:after="0" w:line="240" w:lineRule="auto"/>
        <w:jc w:val="both"/>
        <w:rPr>
          <w:rFonts w:eastAsia="Times New Roman" w:cs="Arial"/>
        </w:rPr>
      </w:pPr>
      <w:r>
        <w:rPr>
          <w:b/>
          <w:bCs/>
        </w:rPr>
        <w:t xml:space="preserve">Artikel 14</w:t>
      </w:r>
      <w:r>
        <w:rPr>
          <w:b/>
          <w:bCs/>
        </w:rPr>
        <w:t xml:space="preserve"> </w:t>
      </w:r>
      <w:r>
        <w:rPr>
          <w:b/>
          <w:bCs/>
          <w:iCs/>
        </w:rPr>
        <w:t xml:space="preserve">Information till användare av förpackningar</w:t>
      </w:r>
    </w:p>
    <w:p w14:paraId="0BFAA0F4" w14:textId="77777777" w:rsidR="000147DB" w:rsidRPr="003E7524" w:rsidRDefault="000147DB" w:rsidP="000147DB">
      <w:pPr>
        <w:spacing w:after="0" w:line="240" w:lineRule="auto"/>
        <w:jc w:val="both"/>
        <w:rPr>
          <w:rFonts w:eastAsia="Times New Roman" w:cs="Arial"/>
        </w:rPr>
      </w:pPr>
      <w:r>
        <w:t xml:space="preserve">1) De förpackningsansvariga eller de godkända organen ska, inom sina respektive ansvarsområden, säkerställa att användare av förpackningar, inbegripet konsumenter, får tillgång till information om</w:t>
      </w:r>
    </w:p>
    <w:p w14:paraId="28FD57E8" w14:textId="77777777" w:rsidR="000147DB" w:rsidRPr="003E7524" w:rsidRDefault="000147DB" w:rsidP="000147DB">
      <w:pPr>
        <w:spacing w:after="0" w:line="240" w:lineRule="auto"/>
        <w:jc w:val="both"/>
        <w:rPr>
          <w:rFonts w:eastAsia="Times New Roman" w:cs="Arial"/>
        </w:rPr>
      </w:pPr>
      <w:r>
        <w:t xml:space="preserve">möjligheterna att förebygga att förpackningsavfall uppkommer,</w:t>
      </w:r>
    </w:p>
    <w:p w14:paraId="1A222528" w14:textId="77777777" w:rsidR="000147DB" w:rsidRPr="003E7524" w:rsidRDefault="000147DB" w:rsidP="000147DB">
      <w:pPr>
        <w:spacing w:after="0" w:line="240" w:lineRule="auto"/>
        <w:jc w:val="both"/>
        <w:rPr>
          <w:rFonts w:eastAsia="Times New Roman" w:cs="Arial"/>
        </w:rPr>
      </w:pPr>
      <w:r>
        <w:t xml:space="preserve">de retur-, insamlings- och återvinningssystem som finns att tillgå och den roll som de själva kan spela för återanvändning, återvinning och materialutnyttjande av förpackningar och förpackningsavfall,</w:t>
      </w:r>
    </w:p>
    <w:p w14:paraId="2AF81E67" w14:textId="77777777" w:rsidR="000147DB" w:rsidRPr="003E7524" w:rsidRDefault="000147DB" w:rsidP="000147DB">
      <w:pPr>
        <w:spacing w:after="0" w:line="240" w:lineRule="auto"/>
        <w:jc w:val="both"/>
        <w:rPr>
          <w:rFonts w:eastAsia="Times New Roman" w:cs="Arial"/>
        </w:rPr>
      </w:pPr>
      <w:r>
        <w:t xml:space="preserve">den skadliga miljöpåverkan av en överdriven förbrukning av plastbärkassar,</w:t>
      </w:r>
    </w:p>
    <w:p w14:paraId="0BB30D5B" w14:textId="77777777" w:rsidR="000147DB" w:rsidRPr="003E7524" w:rsidRDefault="000147DB" w:rsidP="000147DB">
      <w:pPr>
        <w:spacing w:after="0" w:line="240" w:lineRule="auto"/>
        <w:jc w:val="both"/>
        <w:rPr>
          <w:rFonts w:eastAsia="Times New Roman" w:cs="Arial"/>
        </w:rPr>
      </w:pPr>
      <w:r>
        <w:t xml:space="preserve">de relevanta delarna i de hanteringsplaner för förpackningar och förpackningsavfall som antingen omfattas av den nationella avfallshanteringsplanen eller är föremål för en särskild plan enligt lagen av den 21 mars 2012.</w:t>
      </w:r>
    </w:p>
    <w:p w14:paraId="6F14132A" w14:textId="77777777" w:rsidR="000147DB" w:rsidRPr="003E7524" w:rsidRDefault="000147DB" w:rsidP="000147DB">
      <w:pPr>
        <w:spacing w:after="0" w:line="240" w:lineRule="auto"/>
        <w:jc w:val="both"/>
        <w:rPr>
          <w:rFonts w:eastAsia="Times New Roman" w:cs="Arial"/>
          <w:color w:val="FF0000"/>
          <w:lang w:val="fr-FR" w:eastAsia="fr-FR"/>
        </w:rPr>
      </w:pPr>
    </w:p>
    <w:p w14:paraId="7030362B" w14:textId="51AC38F2" w:rsidR="000147DB" w:rsidRPr="003E7524" w:rsidRDefault="000147DB" w:rsidP="000147DB">
      <w:pPr>
        <w:spacing w:after="0" w:line="240" w:lineRule="auto"/>
        <w:jc w:val="both"/>
        <w:rPr>
          <w:rFonts w:eastAsia="Times New Roman" w:cs="Arial"/>
        </w:rPr>
      </w:pPr>
      <w:r>
        <w:t xml:space="preserve">2) De personer som säljer förpackade produkter ska vid försäljningsställen på lämpligt sätt informera slutkonsumenten om huruvida förpackningen kan återanvändas, återvinnas eller materialåtervinnas samt om retursystemet, inbegripet förpackningsinsamlingen.</w:t>
      </w:r>
    </w:p>
    <w:p w14:paraId="049AF441"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Lämplig märkning ska anbringas, antingen på själva förpackningen eller på etiketten.</w:t>
      </w:r>
      <w:r>
        <w:rPr>
          <w:color w:val="FF0000"/>
          <w:sz w:val="24"/>
          <w:szCs w:val="24"/>
        </w:rPr>
        <w:t xml:space="preserve"> </w:t>
      </w:r>
      <w:r>
        <w:rPr>
          <w:color w:val="FF0000"/>
          <w:sz w:val="24"/>
          <w:szCs w:val="24"/>
        </w:rPr>
        <w:t xml:space="preserve">Märkningen ska vara tydlig och lätt att läsa.</w:t>
      </w:r>
      <w:r>
        <w:rPr>
          <w:color w:val="FF0000"/>
          <w:sz w:val="24"/>
          <w:szCs w:val="24"/>
        </w:rPr>
        <w:t xml:space="preserve"> </w:t>
      </w:r>
      <w:r>
        <w:rPr>
          <w:color w:val="FF0000"/>
          <w:sz w:val="24"/>
          <w:szCs w:val="24"/>
        </w:rPr>
        <w:t xml:space="preserve">Märkningen ska ha en lämplig varaktighet och hållbarhet, även efter det att förpackningen har öppnats.</w:t>
      </w:r>
      <w:r>
        <w:rPr>
          <w:color w:val="FF0000"/>
          <w:sz w:val="24"/>
          <w:szCs w:val="24"/>
        </w:rPr>
        <w:t xml:space="preserve"> </w:t>
      </w:r>
    </w:p>
    <w:p w14:paraId="479912FE" w14:textId="77777777" w:rsidR="000147DB" w:rsidRPr="003E7524" w:rsidRDefault="000147DB" w:rsidP="000147DB">
      <w:pPr>
        <w:spacing w:after="0" w:line="240" w:lineRule="auto"/>
        <w:jc w:val="both"/>
        <w:rPr>
          <w:rFonts w:eastAsia="Times New Roman" w:cs="Arial"/>
          <w:lang w:val="fr-FR" w:eastAsia="fr-FR"/>
        </w:rPr>
      </w:pPr>
    </w:p>
    <w:p w14:paraId="567A68A6" w14:textId="77777777" w:rsidR="000147DB" w:rsidRPr="003E7524" w:rsidRDefault="000147DB" w:rsidP="000147DB">
      <w:pPr>
        <w:spacing w:after="0" w:line="240" w:lineRule="auto"/>
        <w:jc w:val="both"/>
        <w:rPr>
          <w:rFonts w:eastAsia="Times New Roman" w:cs="Arial"/>
        </w:rPr>
      </w:pPr>
      <w:r>
        <w:t xml:space="preserve">3) De informationsåtgärder som avses i punkterna 1 och 2 ska, i förekommande fall, kompletteras med upplysningskampanjer som ska drivas i samarbete med miljömyndigheten.</w:t>
      </w:r>
    </w:p>
    <w:p w14:paraId="310D81FF" w14:textId="77777777" w:rsidR="000147DB" w:rsidRPr="003E7524" w:rsidRDefault="000147DB" w:rsidP="000147DB">
      <w:pPr>
        <w:spacing w:after="0" w:line="240" w:lineRule="auto"/>
        <w:jc w:val="both"/>
        <w:rPr>
          <w:rFonts w:eastAsia="Times New Roman" w:cs="Arial"/>
          <w:lang w:val="fr-FR" w:eastAsia="fr-FR"/>
        </w:rPr>
      </w:pPr>
    </w:p>
    <w:p w14:paraId="6E40D75F" w14:textId="77777777" w:rsidR="000147DB" w:rsidRPr="003E7524" w:rsidRDefault="000147DB" w:rsidP="000147DB">
      <w:pPr>
        <w:spacing w:after="0" w:line="240" w:lineRule="auto"/>
        <w:jc w:val="both"/>
        <w:rPr>
          <w:rFonts w:eastAsia="Times New Roman" w:cs="Arial"/>
          <w:lang w:val="fr-FR" w:eastAsia="fr-FR"/>
        </w:rPr>
      </w:pPr>
    </w:p>
    <w:p w14:paraId="48933925" w14:textId="77777777" w:rsidR="000147DB" w:rsidRPr="003E7524" w:rsidRDefault="000147DB" w:rsidP="000147DB">
      <w:pPr>
        <w:spacing w:after="0" w:line="240" w:lineRule="auto"/>
        <w:jc w:val="both"/>
        <w:rPr>
          <w:rFonts w:eastAsia="Times New Roman" w:cs="Arial"/>
          <w:strike/>
          <w:color w:val="FF0000"/>
          <w:lang w:val="fr-FR" w:eastAsia="fr-FR"/>
        </w:rPr>
      </w:pPr>
    </w:p>
    <w:p w14:paraId="53040DFE" w14:textId="77777777" w:rsidR="000147DB" w:rsidRPr="003E7524" w:rsidRDefault="000147DB" w:rsidP="002F5A31">
      <w:pPr>
        <w:keepNext/>
        <w:keepLines/>
        <w:autoSpaceDE w:val="0"/>
        <w:autoSpaceDN w:val="0"/>
        <w:adjustRightInd w:val="0"/>
        <w:spacing w:after="0" w:line="240" w:lineRule="auto"/>
        <w:jc w:val="both"/>
        <w:rPr>
          <w:color w:val="FF0000"/>
          <w:sz w:val="24"/>
          <w:szCs w:val="24"/>
          <w:rFonts w:eastAsia="Calibri" w:cs="TimesNewRoman"/>
        </w:rPr>
      </w:pPr>
      <w:r>
        <w:rPr>
          <w:color w:val="FF0000"/>
          <w:sz w:val="24"/>
          <w:szCs w:val="24"/>
          <w:u w:val="single"/>
        </w:rPr>
        <w:t xml:space="preserve">Artikel 15</w:t>
      </w:r>
      <w:r>
        <w:rPr>
          <w:color w:val="FF0000"/>
          <w:sz w:val="24"/>
          <w:szCs w:val="24"/>
          <w:u w:val="single"/>
        </w:rPr>
        <w:t xml:space="preserve"> </w:t>
      </w:r>
      <w:r>
        <w:rPr>
          <w:color w:val="FF0000"/>
          <w:sz w:val="24"/>
          <w:szCs w:val="24"/>
          <w:u w:val="single"/>
        </w:rPr>
        <w:t xml:space="preserve">Rapporter</w:t>
      </w:r>
    </w:p>
    <w:p w14:paraId="5D99A309"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lang w:val="fr-FR" w:eastAsia="fr-BE"/>
        </w:rPr>
      </w:pPr>
    </w:p>
    <w:p w14:paraId="6A108156"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Varje förpackningsansvarig ska deklarera den årliga kvantiteten av tunna plastbärkassar som denne har släppt ut på marknaden till det godkända organ till vilket denne är ansluten.</w:t>
      </w:r>
      <w:r>
        <w:rPr>
          <w:color w:val="FF0000"/>
          <w:sz w:val="24"/>
          <w:szCs w:val="24"/>
        </w:rPr>
        <w:t xml:space="preserve"> </w:t>
      </w:r>
    </w:p>
    <w:p w14:paraId="7B36C2F6" w14:textId="203BBF9C"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Det godkända organet ska rapportera dessa kvantiteter till den behöriga myndigheten, inom ramen för den rapport som avses i artikel 35.2 i lagen av den 21 mars 2012.</w:t>
      </w:r>
      <w:r>
        <w:rPr>
          <w:color w:val="FF0000"/>
          <w:sz w:val="24"/>
          <w:szCs w:val="24"/>
        </w:rPr>
        <w:t xml:space="preserve"> </w:t>
      </w:r>
      <w:r>
        <w:rPr>
          <w:color w:val="FF0000"/>
          <w:sz w:val="24"/>
          <w:szCs w:val="24"/>
        </w:rPr>
        <w:t xml:space="preserve">Mycket tunna plastbärkassar enligt artikel 3.17 ska undantas från detta.</w:t>
      </w:r>
      <w:r>
        <w:rPr>
          <w:color w:val="FF0000"/>
          <w:sz w:val="24"/>
          <w:szCs w:val="24"/>
        </w:rPr>
        <w:t xml:space="preserve"> </w:t>
      </w:r>
    </w:p>
    <w:p w14:paraId="7EE24D00" w14:textId="77777777" w:rsidR="000147DB" w:rsidRPr="003E7524" w:rsidRDefault="000147DB" w:rsidP="000147DB">
      <w:pPr>
        <w:spacing w:after="0" w:line="240" w:lineRule="auto"/>
        <w:jc w:val="both"/>
        <w:rPr>
          <w:rFonts w:eastAsia="Times New Roman" w:cs="Arial"/>
          <w:strike/>
          <w:color w:val="FF0000"/>
          <w:lang w:val="fr-FR" w:eastAsia="fr-FR"/>
        </w:rPr>
      </w:pPr>
    </w:p>
    <w:p w14:paraId="4AB10018" w14:textId="77777777" w:rsidR="000147DB" w:rsidRPr="00471E09" w:rsidRDefault="000147DB" w:rsidP="00B972B3">
      <w:pPr>
        <w:keepNext/>
        <w:keepLines/>
        <w:spacing w:after="0" w:line="240" w:lineRule="auto"/>
        <w:jc w:val="both"/>
        <w:rPr>
          <w:b/>
          <w:rFonts w:eastAsia="Times New Roman" w:cs="Arial"/>
        </w:rPr>
      </w:pPr>
      <w:r>
        <w:rPr>
          <w:b/>
        </w:rPr>
        <w:t xml:space="preserve">Artikel 16</w:t>
      </w:r>
      <w:r>
        <w:rPr>
          <w:b/>
        </w:rPr>
        <w:t xml:space="preserve"> </w:t>
      </w:r>
      <w:r>
        <w:rPr>
          <w:b/>
        </w:rPr>
        <w:t xml:space="preserve">Kontroller som ska utföras</w:t>
      </w:r>
      <w:r>
        <w:rPr>
          <w:b/>
        </w:rPr>
        <w:t xml:space="preserve"> </w:t>
      </w:r>
    </w:p>
    <w:p w14:paraId="035D85BE" w14:textId="77777777" w:rsidR="000147DB" w:rsidRPr="003E7524" w:rsidRDefault="000147DB" w:rsidP="000147DB">
      <w:pPr>
        <w:spacing w:after="0" w:line="240" w:lineRule="auto"/>
        <w:jc w:val="both"/>
        <w:rPr>
          <w:rFonts w:eastAsia="Times New Roman" w:cs="Arial"/>
        </w:rPr>
      </w:pPr>
      <w:r>
        <w:t xml:space="preserve">1) Kontrollen av den årliga rapporten ska utföras i enlighet med bestämmelserna i artikel 35.2 i lagen av den 21 mars 2012.</w:t>
      </w:r>
    </w:p>
    <w:p w14:paraId="35E08884" w14:textId="77777777" w:rsidR="000147DB" w:rsidRPr="003E7524" w:rsidRDefault="000147DB" w:rsidP="000147DB">
      <w:pPr>
        <w:spacing w:after="0" w:line="240" w:lineRule="auto"/>
        <w:jc w:val="both"/>
        <w:rPr>
          <w:rFonts w:eastAsia="Times New Roman" w:cs="Arial"/>
        </w:rPr>
      </w:pPr>
      <w:r>
        <w:t xml:space="preserve">Förpackningsansvariga och de godkända organen ska vid kontrollen tillhandahålla den godkända företagsrevisorn alla redovisningsdokument och andra dokument samt de beräkningselement som använts vid utarbetande av nämnda rapporter.</w:t>
      </w:r>
    </w:p>
    <w:p w14:paraId="01E1F62A" w14:textId="77777777" w:rsidR="000147DB" w:rsidRPr="003E7524" w:rsidRDefault="000147DB" w:rsidP="000147DB">
      <w:pPr>
        <w:spacing w:after="0" w:line="240" w:lineRule="auto"/>
        <w:jc w:val="both"/>
        <w:rPr>
          <w:rFonts w:eastAsia="Times New Roman" w:cs="Arial"/>
        </w:rPr>
      </w:pPr>
      <w:r>
        <w:t xml:space="preserve">Arvoden för den kontroll som utförts av företagsrevisorn ska bekostas av förpackningsansvariga eller av de godkända organen.</w:t>
      </w:r>
    </w:p>
    <w:p w14:paraId="54AD644D" w14:textId="77777777" w:rsidR="000147DB" w:rsidRPr="003E7524" w:rsidRDefault="000147DB" w:rsidP="000147DB">
      <w:pPr>
        <w:spacing w:after="0" w:line="240" w:lineRule="auto"/>
        <w:jc w:val="both"/>
        <w:rPr>
          <w:rFonts w:eastAsia="Times New Roman" w:cs="Arial"/>
        </w:rPr>
      </w:pPr>
      <w:r>
        <w:t xml:space="preserve">2) Den godkända företagsrevisorn ska utan dröjsmål skicka resultaten av den kontroll som denne utfört till miljömyndigheten.</w:t>
      </w:r>
    </w:p>
    <w:p w14:paraId="1AEDBCE9" w14:textId="77777777" w:rsidR="000147DB" w:rsidRPr="003E7524" w:rsidRDefault="000147DB" w:rsidP="000147DB">
      <w:pPr>
        <w:spacing w:after="0" w:line="240" w:lineRule="auto"/>
        <w:jc w:val="both"/>
        <w:rPr>
          <w:rFonts w:eastAsia="Times New Roman" w:cs="Arial"/>
          <w:b/>
          <w:bCs/>
          <w:lang w:val="fr-FR" w:eastAsia="fr-FR"/>
        </w:rPr>
      </w:pPr>
    </w:p>
    <w:p w14:paraId="2D750672" w14:textId="5CE5F3A0" w:rsidR="000147DB" w:rsidRPr="003E7524" w:rsidRDefault="000147DB" w:rsidP="00B972B3">
      <w:pPr>
        <w:keepNext/>
        <w:keepLines/>
        <w:autoSpaceDE w:val="0"/>
        <w:autoSpaceDN w:val="0"/>
        <w:adjustRightInd w:val="0"/>
        <w:spacing w:after="0" w:line="240" w:lineRule="auto"/>
        <w:jc w:val="both"/>
        <w:rPr>
          <w:color w:val="FF0000"/>
          <w:sz w:val="24"/>
          <w:szCs w:val="24"/>
          <w:u w:val="single"/>
          <w:rFonts w:eastAsia="Calibri" w:cs="TimesNewRoman"/>
        </w:rPr>
      </w:pPr>
      <w:r>
        <w:rPr>
          <w:color w:val="FF0000"/>
          <w:sz w:val="24"/>
          <w:szCs w:val="24"/>
          <w:u w:val="single"/>
        </w:rPr>
        <w:t xml:space="preserve">Artikel 17</w:t>
      </w:r>
      <w:r>
        <w:rPr>
          <w:color w:val="FF0000"/>
          <w:sz w:val="24"/>
          <w:szCs w:val="24"/>
          <w:u w:val="single"/>
        </w:rPr>
        <w:t xml:space="preserve"> </w:t>
      </w:r>
      <w:r>
        <w:rPr>
          <w:color w:val="FF0000"/>
          <w:sz w:val="24"/>
          <w:szCs w:val="24"/>
          <w:u w:val="single"/>
        </w:rPr>
        <w:t xml:space="preserve">Utredning och fastställande av överträdelser</w:t>
      </w:r>
    </w:p>
    <w:p w14:paraId="7D85080C"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73929CE2"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1) Förutom de som arbetar inom Storhertigdömet Luxemburgs polisväsende kan även tjänstemän från och med befattningen förste inspektör inom myndigheten för tullar och punktskatter samt tjänstemän och anställda inom miljömyndigheten som omfattas av lönegrupperna A1, A2 och B1 få i uppdrag att fastställa överträdelser mot denna lag och dess genomförandeförordningar.</w:t>
      </w:r>
    </w:p>
    <w:p w14:paraId="5A9972ED"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Tjänstemännen inom myndigheten för tullar och punktskatter och tjänstemännen inom miljömyndigheten ska vid utövande av sina uppdrag likställas med kriminalpolistjänstemän.</w:t>
      </w:r>
      <w:r>
        <w:rPr>
          <w:color w:val="FF0000"/>
          <w:sz w:val="24"/>
          <w:szCs w:val="24"/>
        </w:rPr>
        <w:t xml:space="preserve"> </w:t>
      </w:r>
      <w:r>
        <w:rPr>
          <w:color w:val="FF0000"/>
          <w:sz w:val="24"/>
          <w:szCs w:val="24"/>
        </w:rPr>
        <w:t xml:space="preserve">De ska fastställa överträdelserna genom rapporter som är giltiga såvida inte motsatsen bevisas.</w:t>
      </w:r>
    </w:p>
    <w:p w14:paraId="4BDACC6F"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2) De tjänstemän som avses i punkt 1 ska ha fått en särskild utbildning avseende utredning och fastställande av överträdelser.</w:t>
      </w:r>
      <w:r>
        <w:rPr>
          <w:color w:val="FF0000"/>
          <w:sz w:val="24"/>
          <w:szCs w:val="24"/>
        </w:rPr>
        <w:t xml:space="preserve"> </w:t>
      </w:r>
      <w:r>
        <w:rPr>
          <w:color w:val="FF0000"/>
          <w:sz w:val="24"/>
          <w:szCs w:val="24"/>
        </w:rPr>
        <w:t xml:space="preserve">Utbildningens innehåll och varaktighet samt metoderna för verifiering av kunskapsnivån ska fastställas genom storhertiglig förordning.</w:t>
      </w:r>
    </w:p>
    <w:p w14:paraId="23E18C1A" w14:textId="77777777" w:rsidR="000147DB" w:rsidRPr="003E7524" w:rsidRDefault="000147DB" w:rsidP="00B972B3">
      <w:pPr>
        <w:keepNext/>
        <w:keepLines/>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Innan de inleder sitt arbete ska de inför avdelningen för civilrätt inom tingsrätten i Luxemburg avlägga följande ed:</w:t>
      </w:r>
    </w:p>
    <w:p w14:paraId="1EC889C1"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”Jag lovar och försäkrar att jag ska utöva min tjänst med integritet, noggrannhet och opartiskhet.”</w:t>
      </w:r>
    </w:p>
    <w:p w14:paraId="0E596F75"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Artikel 458 i strafflagen ska tillämpas.</w:t>
      </w:r>
      <w:r>
        <w:rPr>
          <w:color w:val="FF0000"/>
          <w:sz w:val="24"/>
          <w:szCs w:val="24"/>
        </w:rPr>
        <w:t xml:space="preserve"> </w:t>
      </w:r>
    </w:p>
    <w:p w14:paraId="181593C7" w14:textId="77777777" w:rsidR="000147DB" w:rsidRPr="003E7524" w:rsidRDefault="000147DB" w:rsidP="000147DB">
      <w:pPr>
        <w:spacing w:after="0" w:line="240" w:lineRule="auto"/>
        <w:jc w:val="both"/>
        <w:rPr>
          <w:rFonts w:eastAsia="Times New Roman" w:cs="Arial"/>
          <w:strike/>
          <w:color w:val="FF0000"/>
          <w:lang w:val="fr-FR" w:eastAsia="fr-FR"/>
        </w:rPr>
      </w:pPr>
    </w:p>
    <w:p w14:paraId="0ED2FC95" w14:textId="77777777" w:rsidR="000147DB" w:rsidRPr="003E7524" w:rsidRDefault="000147DB" w:rsidP="000147DB">
      <w:pPr>
        <w:spacing w:after="0" w:line="240" w:lineRule="auto"/>
        <w:jc w:val="both"/>
        <w:rPr>
          <w:rFonts w:eastAsia="Times New Roman" w:cs="Arial"/>
          <w:strike/>
          <w:color w:val="FF0000"/>
          <w:lang w:val="fr-FR" w:eastAsia="fr-FR"/>
        </w:rPr>
      </w:pPr>
    </w:p>
    <w:p w14:paraId="4F3097F3" w14:textId="77777777" w:rsidR="000147DB" w:rsidRPr="003E7524" w:rsidRDefault="000147DB" w:rsidP="00B972B3">
      <w:pPr>
        <w:keepNext/>
        <w:keepLines/>
        <w:rPr>
          <w:color w:val="FF0000"/>
          <w:sz w:val="24"/>
          <w:szCs w:val="24"/>
          <w:rFonts w:ascii="Calibri" w:eastAsia="Calibri" w:hAnsi="Calibri" w:cs="Times New Roman"/>
        </w:rPr>
      </w:pPr>
      <w:r>
        <w:rPr>
          <w:color w:val="FF0000"/>
          <w:sz w:val="24"/>
          <w:szCs w:val="24"/>
          <w:u w:val="single"/>
          <w:rFonts w:ascii="Calibri" w:hAnsi="Calibri"/>
        </w:rPr>
        <w:t xml:space="preserve">Artikel 18</w:t>
      </w:r>
      <w:r>
        <w:rPr>
          <w:color w:val="FF0000"/>
          <w:sz w:val="24"/>
          <w:szCs w:val="24"/>
          <w:u w:val="single"/>
          <w:rFonts w:ascii="Calibri" w:hAnsi="Calibri"/>
        </w:rPr>
        <w:t xml:space="preserve"> </w:t>
      </w:r>
      <w:r>
        <w:rPr>
          <w:color w:val="FF0000"/>
          <w:sz w:val="24"/>
          <w:szCs w:val="24"/>
          <w:u w:val="single"/>
          <w:rFonts w:ascii="Calibri" w:hAnsi="Calibri"/>
        </w:rPr>
        <w:t xml:space="preserve">Kontrollbefogenheter och kontrollbehörigheter</w:t>
      </w:r>
    </w:p>
    <w:p w14:paraId="16422B7B" w14:textId="77777777"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1) De personer som avses i artikel 17 ska när som helst och utan någon föranmälan få tillgång till de anläggningar, lokaler, markområden, installationer och transportmedel som omfattas av denna lag och dess genomförandeförordningar.</w:t>
      </w:r>
      <w:r>
        <w:rPr>
          <w:color w:val="FF0000"/>
          <w:sz w:val="24"/>
          <w:szCs w:val="24"/>
          <w:rFonts w:ascii="Calibri" w:hAnsi="Calibri"/>
        </w:rPr>
        <w:t xml:space="preserve"> </w:t>
      </w:r>
    </w:p>
    <w:p w14:paraId="038ADE3C" w14:textId="4CBD0E56"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2) Bestämmelserna i punkt 1 gäller inte lokaler som används som bostad.</w:t>
      </w:r>
    </w:p>
    <w:p w14:paraId="017C6164" w14:textId="77777777"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Utan att det påverkar tillämpningen av bestämmelserna i artikel 33.1 i straffprocesslagen får man emellertid genomföra en husrannsakan på mellan sex och en halv timme och tjugofyra timmar som ska utföras av en kriminalpolistjänsteman, en medlem av Storhertigdömet Luxemburgs polisväsende eller en tjänsteman i den mening som avses i artikel 45, under förutsättning att det finns starka indicier om att upphovet till överträdelsen finns i de lokaler som används som bostad samt att man agerar enligt ett beslut från undersökningsdomaren.</w:t>
      </w:r>
    </w:p>
    <w:p w14:paraId="1BB0F8A5" w14:textId="77777777" w:rsidR="000147DB" w:rsidRPr="003E7524" w:rsidRDefault="000147DB" w:rsidP="00B972B3">
      <w:pPr>
        <w:keepNext/>
        <w:keepLines/>
        <w:jc w:val="both"/>
        <w:rPr>
          <w:color w:val="FF0000"/>
          <w:sz w:val="24"/>
          <w:szCs w:val="24"/>
          <w:rFonts w:ascii="Calibri" w:eastAsia="Calibri" w:hAnsi="Calibri" w:cs="Times New Roman"/>
        </w:rPr>
      </w:pPr>
      <w:r>
        <w:rPr>
          <w:color w:val="FF0000"/>
          <w:sz w:val="24"/>
          <w:szCs w:val="24"/>
          <w:rFonts w:ascii="Calibri" w:hAnsi="Calibri"/>
        </w:rPr>
        <w:t xml:space="preserve">3) Under utövande av de befogenheter som anges i punkterna 1 och 2 får de berörda tjänstemännen</w:t>
      </w:r>
    </w:p>
    <w:p w14:paraId="6F3F9813" w14:textId="77777777"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1. ta emot uppgifter om alla skrivelser och dokument som avser de förpackningar och det förpackningsavfall som omfattas av denna lag och</w:t>
      </w:r>
    </w:p>
    <w:p w14:paraId="75B9F6D7" w14:textId="5E96EE24"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2. i undersöknings- eller analyssyfte ta prover av de förpackningar och det förpackningsavfall som omfattas av denna lag.</w:t>
      </w:r>
      <w:r>
        <w:rPr>
          <w:color w:val="FF0000"/>
          <w:sz w:val="24"/>
          <w:szCs w:val="24"/>
          <w:rFonts w:ascii="Calibri" w:hAnsi="Calibri"/>
        </w:rPr>
        <w:t xml:space="preserve"> </w:t>
      </w:r>
      <w:r>
        <w:rPr>
          <w:color w:val="FF0000"/>
          <w:sz w:val="24"/>
          <w:szCs w:val="24"/>
          <w:rFonts w:ascii="Calibri" w:hAnsi="Calibri"/>
        </w:rPr>
        <w:t xml:space="preserve">En del av provet ska förseglas och skickas till den som driver installationen, anläggningen eller transportmedlet eller till innehavaren, om inte denne uttryckligen avstår från detta och om inga tekniska hinder uppstår.</w:t>
      </w:r>
    </w:p>
    <w:p w14:paraId="7A3F87EB" w14:textId="3B7EC98F"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3. beslagta eller försegla förpackningar och förpackningsavfall som omfattas av denna lag samt skrivelser och dokument som berör dessa.</w:t>
      </w:r>
    </w:p>
    <w:p w14:paraId="724E3F46" w14:textId="77777777"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4) Alla de personer som berörs av de åtgärder som föreskrivs i punkt 3 samt dessas företrädare är skyldiga att på begäran underlätta arbetet för de tjänstemän som är ansvariga för genomförandet av dessa åtgärder.</w:t>
      </w:r>
    </w:p>
    <w:p w14:paraId="3EDE58D7" w14:textId="77777777"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De personer som avses i föregående stycke får närvara vid genomförandet av dessa åtgärder.</w:t>
      </w:r>
    </w:p>
    <w:p w14:paraId="7303060C" w14:textId="77777777"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5) Ett protokoll över konstateranden och åtgärder ska upprättas.</w:t>
      </w:r>
    </w:p>
    <w:p w14:paraId="560BE14F" w14:textId="77777777"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6) De kostnader som uppstår i samband med åtgärder som vidtas i enlighet med denna artikel ska inkluderas i rättegångskostnaderna.</w:t>
      </w:r>
      <w:r>
        <w:rPr>
          <w:color w:val="FF0000"/>
          <w:sz w:val="24"/>
          <w:szCs w:val="24"/>
          <w:rFonts w:ascii="Calibri" w:hAnsi="Calibri"/>
        </w:rPr>
        <w:t xml:space="preserve"> </w:t>
      </w:r>
    </w:p>
    <w:p w14:paraId="20CF83B8" w14:textId="77777777" w:rsidR="000147DB" w:rsidRPr="003E7524" w:rsidRDefault="000147DB" w:rsidP="000147DB">
      <w:pPr>
        <w:spacing w:after="0" w:line="240" w:lineRule="auto"/>
        <w:jc w:val="both"/>
        <w:rPr>
          <w:rFonts w:eastAsia="Times New Roman" w:cs="Arial"/>
          <w:strike/>
          <w:color w:val="FF0000"/>
          <w:lang w:val="fr-FR" w:eastAsia="fr-FR"/>
        </w:rPr>
      </w:pPr>
    </w:p>
    <w:p w14:paraId="53FCF286" w14:textId="77777777" w:rsidR="000147DB" w:rsidRPr="003E7524" w:rsidRDefault="000147DB" w:rsidP="000147DB">
      <w:pPr>
        <w:spacing w:after="0" w:line="240" w:lineRule="auto"/>
        <w:jc w:val="center"/>
        <w:rPr>
          <w:rFonts w:eastAsia="Calibri" w:cs="Arial"/>
          <w:lang w:val="fr-FR"/>
        </w:rPr>
      </w:pPr>
    </w:p>
    <w:p w14:paraId="29F0DFDD" w14:textId="77777777" w:rsidR="000147DB" w:rsidRPr="003E7524" w:rsidRDefault="000147DB" w:rsidP="00B972B3">
      <w:pPr>
        <w:keepNext/>
        <w:keepLines/>
        <w:autoSpaceDE w:val="0"/>
        <w:autoSpaceDN w:val="0"/>
        <w:adjustRightInd w:val="0"/>
        <w:spacing w:after="0" w:line="240" w:lineRule="auto"/>
        <w:jc w:val="both"/>
        <w:rPr>
          <w:color w:val="FF0000"/>
          <w:sz w:val="24"/>
          <w:szCs w:val="24"/>
          <w:u w:val="single"/>
          <w:rFonts w:eastAsia="Calibri" w:cs="TimesNewRoman"/>
        </w:rPr>
      </w:pPr>
      <w:r>
        <w:rPr>
          <w:color w:val="FF0000"/>
          <w:sz w:val="24"/>
          <w:szCs w:val="24"/>
          <w:u w:val="single"/>
        </w:rPr>
        <w:t xml:space="preserve">Artikel 19</w:t>
      </w:r>
      <w:r>
        <w:rPr>
          <w:color w:val="FF0000"/>
          <w:sz w:val="24"/>
          <w:szCs w:val="24"/>
          <w:u w:val="single"/>
        </w:rPr>
        <w:t xml:space="preserve"> </w:t>
      </w:r>
      <w:r>
        <w:rPr>
          <w:color w:val="FF0000"/>
          <w:sz w:val="24"/>
          <w:szCs w:val="24"/>
          <w:u w:val="single"/>
        </w:rPr>
        <w:t xml:space="preserve">Påföljder</w:t>
      </w:r>
    </w:p>
    <w:p w14:paraId="18C8EB51"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6EF84795"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Överträdelser mot artikel 6.1, artikel 7.1 första stycket och artikel 7.3, artikel 8.1 andra stycket, artikel 8.2, artikel 8.4, artikel 9 och artikel 11.1 ska bestraffas med fängelse mellan åtta dagar och 3 år och böter på mellan 251 euro och 750 000 euro eller med endast en av dessa påföljder.</w:t>
      </w:r>
    </w:p>
    <w:p w14:paraId="45DF121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14:paraId="19C50898"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Samma påföljder ska tillämpas vid hindrande eller bristande efterlevnad av de administrativa åtgärder som ålagts i enlighet med artikel 21.</w:t>
      </w:r>
    </w:p>
    <w:p w14:paraId="36E770B5" w14:textId="77777777" w:rsidR="000147DB" w:rsidRPr="003E7524" w:rsidRDefault="000147DB" w:rsidP="000147DB">
      <w:pPr>
        <w:spacing w:after="0" w:line="240" w:lineRule="auto"/>
        <w:rPr>
          <w:rFonts w:eastAsia="Calibri" w:cs="Arial"/>
          <w:lang w:val="fr-LU"/>
        </w:rPr>
      </w:pPr>
    </w:p>
    <w:p w14:paraId="67DBA026" w14:textId="77777777" w:rsidR="000147DB" w:rsidRPr="003E7524" w:rsidRDefault="000147DB" w:rsidP="000147DB">
      <w:pPr>
        <w:spacing w:after="0" w:line="240" w:lineRule="auto"/>
        <w:jc w:val="both"/>
        <w:rPr>
          <w:rFonts w:eastAsia="Calibri" w:cs="Arial"/>
          <w:color w:val="FF0000"/>
          <w:lang w:val="fr-FR"/>
        </w:rPr>
      </w:pPr>
    </w:p>
    <w:p w14:paraId="6F9BCE2F" w14:textId="77777777" w:rsidR="000147DB" w:rsidRPr="003E7524" w:rsidRDefault="000147DB" w:rsidP="000147DB">
      <w:pPr>
        <w:spacing w:after="0" w:line="240" w:lineRule="auto"/>
        <w:jc w:val="both"/>
        <w:rPr>
          <w:rFonts w:eastAsia="Times New Roman" w:cs="Arial"/>
          <w:b/>
          <w:u w:val="single"/>
          <w:lang w:val="fr-FR" w:eastAsia="fr-FR"/>
        </w:rPr>
      </w:pPr>
    </w:p>
    <w:p w14:paraId="4741CEFE" w14:textId="77777777" w:rsidR="000147DB" w:rsidRPr="003E7524" w:rsidRDefault="000147DB" w:rsidP="00B972B3">
      <w:pPr>
        <w:keepNext/>
        <w:keepLines/>
        <w:autoSpaceDE w:val="0"/>
        <w:autoSpaceDN w:val="0"/>
        <w:adjustRightInd w:val="0"/>
        <w:spacing w:after="0" w:line="240" w:lineRule="auto"/>
        <w:jc w:val="both"/>
        <w:rPr>
          <w:color w:val="FF0000"/>
          <w:sz w:val="24"/>
          <w:szCs w:val="24"/>
          <w:rFonts w:eastAsia="Calibri" w:cs="TimesNewRoman"/>
        </w:rPr>
      </w:pPr>
      <w:r>
        <w:rPr>
          <w:color w:val="FF0000"/>
          <w:sz w:val="24"/>
          <w:szCs w:val="24"/>
          <w:u w:val="single"/>
        </w:rPr>
        <w:t xml:space="preserve">Artikel 20</w:t>
      </w:r>
      <w:r>
        <w:rPr>
          <w:color w:val="FF0000"/>
          <w:sz w:val="24"/>
          <w:szCs w:val="24"/>
          <w:u w:val="single"/>
        </w:rPr>
        <w:t xml:space="preserve"> </w:t>
      </w:r>
      <w:r>
        <w:rPr>
          <w:color w:val="FF0000"/>
          <w:sz w:val="24"/>
          <w:szCs w:val="24"/>
          <w:u w:val="single"/>
        </w:rPr>
        <w:t xml:space="preserve">Böter</w:t>
      </w:r>
    </w:p>
    <w:p w14:paraId="42AED21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47BECB2B" w14:textId="77777777"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szCs w:val="24"/>
        </w:rPr>
        <w:t xml:space="preserve">Ministern kan ålägga böter på mellan 50 euro och 10 000 euro för överträdelser mot bestämmelserna i artiklarna 5.1, 5.2, 7.2 a.3, 8.3.3, 12.2, 141, 14.2, 15 eller 16.2.</w:t>
      </w:r>
    </w:p>
    <w:p w14:paraId="7D851266"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751FD4D4" w14:textId="1B51823B"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szCs w:val="24"/>
        </w:rPr>
        <w:t xml:space="preserve">Dessa böter ska betalas inom två månader från delgivandet av det skriftliga beslutet.</w:t>
      </w:r>
    </w:p>
    <w:p w14:paraId="6134B9EE"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ECDD579" w14:textId="77777777"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szCs w:val="24"/>
        </w:rPr>
        <w:t xml:space="preserve">Böterna ska drivas in av myndigheten för registrering, domänförvaltning och mervärdesskatt.</w:t>
      </w:r>
      <w:r>
        <w:rPr>
          <w:color w:val="FF0000"/>
          <w:sz w:val="24"/>
          <w:szCs w:val="24"/>
        </w:rPr>
        <w:t xml:space="preserve"> </w:t>
      </w:r>
      <w:r>
        <w:rPr>
          <w:color w:val="FF0000"/>
          <w:sz w:val="24"/>
          <w:szCs w:val="24"/>
        </w:rPr>
        <w:t xml:space="preserve">Indrivningen ska genomföras enligt bestämmelserna om registreringsskatt.</w:t>
      </w:r>
    </w:p>
    <w:p w14:paraId="79836004" w14:textId="77777777" w:rsidR="000147DB" w:rsidRPr="003E7524" w:rsidRDefault="000147DB" w:rsidP="000147DB">
      <w:pPr>
        <w:spacing w:after="0" w:line="240" w:lineRule="auto"/>
        <w:jc w:val="both"/>
        <w:rPr>
          <w:rFonts w:eastAsia="Times New Roman" w:cs="Arial"/>
          <w:b/>
          <w:color w:val="FF0000"/>
          <w:u w:val="single"/>
          <w:lang w:val="fr-LU" w:eastAsia="fr-FR"/>
        </w:rPr>
      </w:pPr>
    </w:p>
    <w:p w14:paraId="40076A38" w14:textId="77777777" w:rsidR="000147DB" w:rsidRPr="003E7524" w:rsidRDefault="000147DB" w:rsidP="000147DB">
      <w:pPr>
        <w:spacing w:after="0" w:line="240" w:lineRule="auto"/>
        <w:jc w:val="both"/>
        <w:rPr>
          <w:rFonts w:eastAsia="Times New Roman" w:cs="Arial"/>
          <w:b/>
          <w:u w:val="single"/>
          <w:lang w:val="fr-FR" w:eastAsia="fr-FR"/>
        </w:rPr>
      </w:pPr>
    </w:p>
    <w:p w14:paraId="7782CE6B" w14:textId="77777777" w:rsidR="000147DB" w:rsidRPr="003E7524" w:rsidRDefault="000147DB" w:rsidP="000147DB">
      <w:pPr>
        <w:spacing w:after="0" w:line="240" w:lineRule="auto"/>
        <w:jc w:val="both"/>
        <w:rPr>
          <w:rFonts w:eastAsia="Times New Roman" w:cs="Arial"/>
          <w:b/>
          <w:u w:val="single"/>
          <w:lang w:val="fr-FR" w:eastAsia="fr-FR"/>
        </w:rPr>
      </w:pPr>
    </w:p>
    <w:p w14:paraId="7035C42C" w14:textId="77777777" w:rsidR="000147DB" w:rsidRPr="003E7524" w:rsidRDefault="000147DB" w:rsidP="000147DB">
      <w:pPr>
        <w:spacing w:after="0" w:line="240" w:lineRule="auto"/>
        <w:jc w:val="both"/>
        <w:rPr>
          <w:rFonts w:eastAsia="Times New Roman" w:cs="Arial"/>
          <w:b/>
          <w:u w:val="single"/>
          <w:lang w:val="fr-FR" w:eastAsia="fr-FR"/>
        </w:rPr>
      </w:pPr>
    </w:p>
    <w:p w14:paraId="59B3BC00" w14:textId="77777777" w:rsidR="000147DB" w:rsidRPr="003E7524" w:rsidRDefault="000147DB" w:rsidP="00B972B3">
      <w:pPr>
        <w:keepNext/>
        <w:keepLines/>
        <w:spacing w:after="0" w:line="240" w:lineRule="auto"/>
        <w:jc w:val="both"/>
        <w:rPr>
          <w:b/>
          <w:bCs/>
          <w:iCs/>
          <w:rFonts w:eastAsia="Times New Roman" w:cs="Arial"/>
        </w:rPr>
      </w:pPr>
      <w:r>
        <w:rPr>
          <w:b/>
          <w:bCs/>
        </w:rPr>
        <w:t xml:space="preserve">Artikel 21</w:t>
      </w:r>
      <w:r>
        <w:rPr>
          <w:b/>
          <w:bCs/>
        </w:rPr>
        <w:t xml:space="preserve"> </w:t>
      </w:r>
      <w:r>
        <w:rPr>
          <w:b/>
          <w:bCs/>
          <w:iCs/>
        </w:rPr>
        <w:t xml:space="preserve">Administrativa åtgärder</w:t>
      </w:r>
    </w:p>
    <w:p w14:paraId="5F403B1E" w14:textId="77777777" w:rsidR="000147DB" w:rsidRPr="003E7524" w:rsidRDefault="000147DB" w:rsidP="00B972B3">
      <w:pPr>
        <w:keepNext/>
        <w:keepLines/>
        <w:spacing w:after="0" w:line="240" w:lineRule="auto"/>
        <w:jc w:val="both"/>
        <w:rPr>
          <w:rFonts w:eastAsia="Times New Roman" w:cs="Arial"/>
          <w:b/>
          <w:bCs/>
          <w:iCs/>
          <w:lang w:val="fr-FR" w:eastAsia="fr-FR"/>
        </w:rPr>
      </w:pPr>
    </w:p>
    <w:p w14:paraId="3E28D60D" w14:textId="20FDE3DB" w:rsidR="000147DB" w:rsidRPr="003E7524" w:rsidRDefault="000147DB" w:rsidP="00B972B3">
      <w:pPr>
        <w:keepNext/>
        <w:keepLines/>
        <w:spacing w:after="0" w:line="240" w:lineRule="auto"/>
        <w:jc w:val="both"/>
        <w:rPr>
          <w:rFonts w:eastAsia="Times New Roman" w:cs="Arial"/>
        </w:rPr>
      </w:pPr>
      <w:r>
        <w:t xml:space="preserve">1) Vid bristande efterlevnad av bestämmelserna i artikel 19 kan ministern</w:t>
      </w:r>
    </w:p>
    <w:p w14:paraId="3FA876A2" w14:textId="77777777" w:rsidR="000147DB" w:rsidRPr="00B972B3" w:rsidRDefault="000147DB" w:rsidP="000147DB">
      <w:pPr>
        <w:spacing w:after="0" w:line="240" w:lineRule="auto"/>
        <w:jc w:val="both"/>
        <w:rPr>
          <w:spacing w:val="-4"/>
          <w:rFonts w:eastAsia="Times New Roman" w:cs="Arial"/>
        </w:rPr>
      </w:pPr>
      <w:r>
        <w:t xml:space="preserve">ge förpackningsansvariga, det godkända organet eller en annan person som berörs en tidsfrist på högst två år för att uppfylla dessa bestämmelser, eller</w:t>
      </w:r>
    </w:p>
    <w:p w14:paraId="3CDBEA63" w14:textId="11412CF2" w:rsidR="000147DB" w:rsidRPr="003E7524" w:rsidRDefault="000147DB" w:rsidP="000147DB">
      <w:pPr>
        <w:autoSpaceDE w:val="0"/>
        <w:autoSpaceDN w:val="0"/>
        <w:adjustRightInd w:val="0"/>
        <w:spacing w:after="0" w:line="276" w:lineRule="auto"/>
        <w:jc w:val="both"/>
        <w:rPr>
          <w:color w:val="FF0000"/>
          <w:sz w:val="24"/>
          <w:szCs w:val="24"/>
          <w:rFonts w:cs="TimesNewRoman"/>
        </w:rPr>
      </w:pPr>
      <w:r>
        <w:rPr>
          <w:color w:val="FF0000"/>
          <w:sz w:val="24"/>
          <w:szCs w:val="24"/>
        </w:rPr>
        <w:t xml:space="preserve">2) helt eller delvis tillfälligt stoppa verksamheten hos förpackningsansvarige eller hos det godkända organet, helt eller delvis tillfälligt stoppa driften av anläggningen eller helt eller delvis stänga av anläggningen och försegla den eller förbjuda utsläppandet på marknaden eller kräva återkallelsen från marknaden av de förpackningar och det förpackningsavfall som omfattas av denna lag.</w:t>
      </w:r>
      <w:r>
        <w:rPr>
          <w:color w:val="FF0000"/>
          <w:sz w:val="24"/>
          <w:szCs w:val="24"/>
        </w:rPr>
        <w:t xml:space="preserve"> </w:t>
      </w:r>
    </w:p>
    <w:p w14:paraId="5BBBA105" w14:textId="77777777" w:rsidR="000147DB" w:rsidRPr="003E7524" w:rsidRDefault="000147DB" w:rsidP="000147DB">
      <w:pPr>
        <w:spacing w:after="0" w:line="240" w:lineRule="auto"/>
        <w:jc w:val="both"/>
        <w:rPr>
          <w:rFonts w:eastAsia="Times New Roman" w:cs="Arial"/>
          <w:lang w:val="fr-LU" w:eastAsia="fr-FR"/>
        </w:rPr>
      </w:pPr>
    </w:p>
    <w:p w14:paraId="481D1A7A" w14:textId="77777777" w:rsidR="000147DB" w:rsidRPr="003E7524" w:rsidRDefault="000147DB" w:rsidP="000147DB">
      <w:pPr>
        <w:spacing w:after="0" w:line="240" w:lineRule="auto"/>
        <w:jc w:val="both"/>
        <w:rPr>
          <w:rFonts w:eastAsia="Times New Roman" w:cs="Arial"/>
          <w:lang w:val="fr-FR" w:eastAsia="fr-FR"/>
        </w:rPr>
      </w:pPr>
    </w:p>
    <w:p w14:paraId="1F8D961C" w14:textId="77777777" w:rsidR="000147DB" w:rsidRPr="003E7524" w:rsidRDefault="000147DB" w:rsidP="000147DB">
      <w:pPr>
        <w:spacing w:after="0" w:line="240" w:lineRule="auto"/>
        <w:jc w:val="both"/>
        <w:rPr>
          <w:rFonts w:eastAsia="Times New Roman" w:cs="Arial"/>
        </w:rPr>
      </w:pPr>
      <w:r>
        <w:t xml:space="preserve">2) Alla berörda kan begära tillämpningen av de åtgärder som anges i punkt 1.</w:t>
      </w:r>
    </w:p>
    <w:p w14:paraId="15C47735" w14:textId="77777777" w:rsidR="000147DB" w:rsidRPr="003E7524" w:rsidRDefault="000147DB" w:rsidP="000147DB">
      <w:pPr>
        <w:spacing w:after="0" w:line="240" w:lineRule="auto"/>
        <w:jc w:val="both"/>
        <w:rPr>
          <w:rFonts w:eastAsia="Times New Roman" w:cs="Arial"/>
        </w:rPr>
      </w:pPr>
      <w:r>
        <w:t xml:space="preserve">3) De åtgärder som anges i punkt 1 ska upphävas när förpackningsansvarige, det godkända organet eller annan person som berörs uppfyller kraven.</w:t>
      </w:r>
    </w:p>
    <w:p w14:paraId="2D1DE739" w14:textId="77777777" w:rsidR="000147DB" w:rsidRPr="003E7524" w:rsidRDefault="000147DB" w:rsidP="000147DB">
      <w:pPr>
        <w:spacing w:after="0" w:line="240" w:lineRule="auto"/>
        <w:jc w:val="both"/>
        <w:rPr>
          <w:rFonts w:eastAsia="Times New Roman" w:cs="Arial"/>
          <w:b/>
          <w:bCs/>
          <w:lang w:val="fr-FR" w:eastAsia="fr-FR"/>
        </w:rPr>
      </w:pPr>
    </w:p>
    <w:p w14:paraId="6F3C4DAC" w14:textId="77777777" w:rsidR="000147DB" w:rsidRPr="003E7524" w:rsidRDefault="000147DB" w:rsidP="00B972B3">
      <w:pPr>
        <w:keepNext/>
        <w:keepLines/>
        <w:spacing w:after="0" w:line="240" w:lineRule="auto"/>
        <w:jc w:val="both"/>
        <w:rPr>
          <w:rFonts w:eastAsia="Times New Roman" w:cs="Arial"/>
        </w:rPr>
      </w:pPr>
      <w:r>
        <w:rPr>
          <w:b/>
          <w:bCs/>
        </w:rPr>
        <w:t xml:space="preserve">Artikel 22</w:t>
      </w:r>
      <w:r>
        <w:rPr>
          <w:b/>
          <w:bCs/>
        </w:rPr>
        <w:t xml:space="preserve"> </w:t>
      </w:r>
      <w:r>
        <w:rPr>
          <w:b/>
          <w:bCs/>
          <w:iCs/>
        </w:rPr>
        <w:t xml:space="preserve">Rättsmedel</w:t>
      </w:r>
    </w:p>
    <w:p w14:paraId="777CA2C3" w14:textId="77777777" w:rsidR="000147DB" w:rsidRPr="003E7524" w:rsidRDefault="000147DB" w:rsidP="000147DB">
      <w:pPr>
        <w:spacing w:after="0" w:line="240" w:lineRule="auto"/>
        <w:jc w:val="both"/>
        <w:rPr>
          <w:rFonts w:eastAsia="Times New Roman" w:cs="Arial"/>
        </w:rPr>
      </w:pPr>
      <w:r>
        <w:t xml:space="preserve">Beslut som antas i enlighet med denna lag kan överklagas till en förvaltningsdomstol i första instans.</w:t>
      </w:r>
      <w:r>
        <w:t xml:space="preserve"> </w:t>
      </w:r>
      <w:r>
        <w:t xml:space="preserve">Överklagandet ska väckas inom en tidsfrist på fyrtio dagar från delgivande av beslutet, vid äventyr av att annars anses ogiltigt.</w:t>
      </w:r>
      <w:r>
        <w:t xml:space="preserve"> </w:t>
      </w:r>
      <w:r>
        <w:t xml:space="preserve">De föreningar och organisationer som avses i artikel 23 får också överklaga.</w:t>
      </w:r>
    </w:p>
    <w:p w14:paraId="037D069C" w14:textId="77777777" w:rsidR="000147DB" w:rsidRPr="003E7524" w:rsidRDefault="000147DB" w:rsidP="000147DB">
      <w:pPr>
        <w:spacing w:after="0" w:line="240" w:lineRule="auto"/>
        <w:jc w:val="both"/>
        <w:rPr>
          <w:rFonts w:eastAsia="Times New Roman" w:cs="Arial"/>
          <w:lang w:val="fr-FR" w:eastAsia="fr-FR"/>
        </w:rPr>
      </w:pPr>
    </w:p>
    <w:p w14:paraId="6E733435" w14:textId="77777777" w:rsidR="000147DB" w:rsidRPr="003E7524" w:rsidRDefault="000147DB" w:rsidP="00B972B3">
      <w:pPr>
        <w:keepNext/>
        <w:keepLines/>
        <w:spacing w:after="0" w:line="240" w:lineRule="auto"/>
        <w:jc w:val="both"/>
        <w:rPr>
          <w:color w:val="000000"/>
          <w:rFonts w:eastAsia="Times New Roman" w:cs="Arial"/>
        </w:rPr>
      </w:pPr>
      <w:r>
        <w:rPr>
          <w:b/>
          <w:bCs/>
          <w:color w:val="000000"/>
        </w:rPr>
        <w:t xml:space="preserve">Artikel 23</w:t>
      </w:r>
      <w:r>
        <w:rPr>
          <w:b/>
          <w:bCs/>
          <w:color w:val="000000"/>
        </w:rPr>
        <w:t xml:space="preserve"> </w:t>
      </w:r>
      <w:r>
        <w:rPr>
          <w:b/>
          <w:bCs/>
          <w:color w:val="000000"/>
          <w:iCs/>
        </w:rPr>
        <w:t xml:space="preserve">Godkända miljöorganisationers rätt till domstolsprövning</w:t>
      </w:r>
    </w:p>
    <w:p w14:paraId="54A6D588" w14:textId="7234A958" w:rsidR="000147DB" w:rsidRPr="003E7524" w:rsidRDefault="000147DB" w:rsidP="000147DB">
      <w:pPr>
        <w:spacing w:after="0" w:line="240" w:lineRule="auto"/>
        <w:jc w:val="both"/>
        <w:rPr>
          <w:color w:val="000000"/>
          <w:rFonts w:eastAsia="Times New Roman" w:cs="Arial"/>
        </w:rPr>
      </w:pPr>
      <w:r>
        <w:rPr>
          <w:color w:val="000000"/>
        </w:rPr>
        <w:t xml:space="preserve">Föreningar och organisationer som godkänts i enlighet med lagen av den 21 mars 2012 kan utöva de rättigheter som erkänns målsäganden när det gäller gärningar som enligt denna lag utgör överträdelser och direkt eller indirekt skadar de kollektiva intressen som de har för avsikt att försvara, även om de inte har något materiellt intresse och även om det kollektiva intresset de agerar för helt täcks av det sociala intresse som försvaras av åklagarmyndigheten.</w:t>
      </w:r>
      <w:r>
        <w:rPr>
          <w:color w:val="000000"/>
        </w:rPr>
        <w:t xml:space="preserve"> </w:t>
      </w:r>
      <w:r>
        <w:rPr>
          <w:color w:val="000000"/>
        </w:rPr>
        <w:t xml:space="preserve">Detsamma gäller för utländska föreningar och organisationer som är juridiska personer och som bedriver sin stadgade verksamhet inom miljöskyddsområdet.</w:t>
      </w:r>
    </w:p>
    <w:p w14:paraId="1F5A9B0C" w14:textId="77777777" w:rsidR="000147DB" w:rsidRPr="003E7524" w:rsidRDefault="000147DB" w:rsidP="000147DB">
      <w:pPr>
        <w:spacing w:after="0" w:line="240" w:lineRule="auto"/>
        <w:jc w:val="both"/>
        <w:rPr>
          <w:rFonts w:eastAsia="Times New Roman" w:cs="Arial"/>
          <w:lang w:val="fr-FR" w:eastAsia="fr-FR"/>
        </w:rPr>
      </w:pPr>
    </w:p>
    <w:p w14:paraId="71FAF0A0" w14:textId="77777777" w:rsidR="000147DB" w:rsidRPr="003E7524" w:rsidRDefault="000147DB" w:rsidP="000147DB">
      <w:pPr>
        <w:spacing w:after="0" w:line="240" w:lineRule="auto"/>
        <w:jc w:val="both"/>
        <w:rPr>
          <w:rFonts w:eastAsia="Times New Roman" w:cs="Arial"/>
          <w:lang w:val="fr-FR" w:eastAsia="fr-FR"/>
        </w:rPr>
      </w:pPr>
    </w:p>
    <w:p w14:paraId="42EE1F17" w14:textId="77777777" w:rsidR="000147DB" w:rsidRPr="003E7524" w:rsidRDefault="00747C65" w:rsidP="00B972B3">
      <w:pPr>
        <w:keepNext/>
        <w:keepLines/>
        <w:autoSpaceDE w:val="0"/>
        <w:autoSpaceDN w:val="0"/>
        <w:adjustRightInd w:val="0"/>
        <w:spacing w:after="0" w:line="240" w:lineRule="auto"/>
        <w:jc w:val="both"/>
        <w:rPr>
          <w:color w:val="FF0000"/>
          <w:sz w:val="24"/>
          <w:szCs w:val="24"/>
          <w:u w:val="single"/>
          <w:rFonts w:cs="TimesNewRoman"/>
        </w:rPr>
      </w:pPr>
      <w:r>
        <w:rPr>
          <w:color w:val="FF0000"/>
          <w:sz w:val="24"/>
          <w:szCs w:val="24"/>
          <w:u w:val="single"/>
        </w:rPr>
        <w:t xml:space="preserve">Artikel 24</w:t>
      </w:r>
      <w:r>
        <w:rPr>
          <w:color w:val="FF0000"/>
          <w:sz w:val="24"/>
          <w:szCs w:val="24"/>
          <w:u w:val="single"/>
        </w:rPr>
        <w:t xml:space="preserve"> </w:t>
      </w:r>
      <w:r>
        <w:rPr>
          <w:color w:val="FF0000"/>
          <w:sz w:val="24"/>
          <w:szCs w:val="24"/>
          <w:u w:val="single"/>
        </w:rPr>
        <w:t xml:space="preserve">Bilagor</w:t>
      </w:r>
      <w:r>
        <w:rPr>
          <w:color w:val="FF0000"/>
          <w:sz w:val="24"/>
          <w:szCs w:val="24"/>
          <w:u w:val="single"/>
        </w:rPr>
        <w:t xml:space="preserve"> </w:t>
      </w:r>
    </w:p>
    <w:p w14:paraId="442B7DA9" w14:textId="77777777" w:rsidR="000147DB" w:rsidRPr="003E7524" w:rsidRDefault="000147DB" w:rsidP="00B972B3">
      <w:pPr>
        <w:keepNext/>
        <w:keepLines/>
        <w:autoSpaceDE w:val="0"/>
        <w:autoSpaceDN w:val="0"/>
        <w:adjustRightInd w:val="0"/>
        <w:spacing w:after="0" w:line="240" w:lineRule="auto"/>
        <w:jc w:val="both"/>
        <w:rPr>
          <w:rFonts w:cs="TimesNewRoman"/>
          <w:color w:val="FF0000"/>
          <w:sz w:val="24"/>
          <w:szCs w:val="24"/>
          <w:u w:val="single"/>
          <w:lang w:val="fr-LU" w:eastAsia="fr-BE"/>
        </w:rPr>
      </w:pPr>
    </w:p>
    <w:p w14:paraId="5380A119" w14:textId="5396EE1C" w:rsidR="000147DB" w:rsidRPr="003E7524" w:rsidRDefault="000147DB" w:rsidP="000147DB">
      <w:pPr>
        <w:autoSpaceDE w:val="0"/>
        <w:autoSpaceDN w:val="0"/>
        <w:adjustRightInd w:val="0"/>
        <w:spacing w:after="0" w:line="240" w:lineRule="auto"/>
        <w:jc w:val="both"/>
        <w:rPr>
          <w:b/>
          <w:color w:val="FF0000"/>
          <w:sz w:val="24"/>
          <w:szCs w:val="24"/>
          <w:rFonts w:cs="TimesNewRoman"/>
        </w:rPr>
      </w:pPr>
      <w:r>
        <w:rPr>
          <w:b/>
          <w:color w:val="FF0000"/>
          <w:sz w:val="24"/>
          <w:szCs w:val="24"/>
        </w:rPr>
        <w:t xml:space="preserve">Artikel 24</w:t>
      </w:r>
      <w:r>
        <w:rPr>
          <w:b/>
          <w:color w:val="FF0000"/>
          <w:sz w:val="24"/>
          <w:szCs w:val="24"/>
        </w:rPr>
        <w:t xml:space="preserve"> </w:t>
      </w:r>
      <w:r>
        <w:rPr>
          <w:b/>
          <w:color w:val="FF0000"/>
          <w:sz w:val="24"/>
          <w:szCs w:val="24"/>
        </w:rPr>
        <w:t xml:space="preserve">Ändringar i bilaga I i Europaparlamentets och rådets direktiv 94/62/EG av den 20 december 1994 om förpackningar och förpackningsavfall, i dess lydelse efter ändring genom kommissionens delegerade akter i enlighet med artikel 19.2 och artikel 21a i direktivet.</w:t>
      </w:r>
    </w:p>
    <w:p w14:paraId="08B11AB8"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lang w:val="fr-LU" w:eastAsia="fr-BE"/>
        </w:rPr>
      </w:pPr>
    </w:p>
    <w:p w14:paraId="0D5AC822" w14:textId="77777777" w:rsidR="000147DB" w:rsidRPr="003E7524" w:rsidRDefault="000147DB" w:rsidP="000147DB">
      <w:pPr>
        <w:autoSpaceDE w:val="0"/>
        <w:autoSpaceDN w:val="0"/>
        <w:adjustRightInd w:val="0"/>
        <w:spacing w:after="0" w:line="240" w:lineRule="auto"/>
        <w:jc w:val="both"/>
        <w:rPr>
          <w:color w:val="FF0000"/>
          <w:sz w:val="24"/>
          <w:szCs w:val="24"/>
          <w:rFonts w:cs="TimesNewRoman"/>
        </w:rPr>
      </w:pPr>
      <w:r>
        <w:rPr>
          <w:color w:val="FF0000"/>
          <w:sz w:val="24"/>
          <w:szCs w:val="24"/>
        </w:rPr>
        <w:t xml:space="preserve">Ändringarna i bilagan till Europaparlamentets och rådets direktiv 94/62/EG av den 20 december 1994 om förpackningar och förpackningsavfall, i dess lydelse efter ändring genom kommissionens delegerade akter i enlighet med artikel 19.2 och artikel 21a i direktivet, ska tillämpas från och med datumet för ikraftträdande av Europeiska kommissionens därtill relaterade rättsakter.</w:t>
      </w:r>
    </w:p>
    <w:p w14:paraId="6EBC782C" w14:textId="77777777" w:rsidR="000147DB" w:rsidRPr="003E7524" w:rsidRDefault="000147DB" w:rsidP="000147DB">
      <w:pPr>
        <w:autoSpaceDE w:val="0"/>
        <w:autoSpaceDN w:val="0"/>
        <w:adjustRightInd w:val="0"/>
        <w:spacing w:after="0" w:line="240" w:lineRule="auto"/>
        <w:jc w:val="both"/>
        <w:rPr>
          <w:color w:val="FF0000"/>
          <w:sz w:val="24"/>
          <w:szCs w:val="24"/>
          <w:rFonts w:cs="TimesNewRoman"/>
        </w:rPr>
      </w:pPr>
      <w:r>
        <w:rPr>
          <w:color w:val="FF0000"/>
          <w:sz w:val="24"/>
          <w:szCs w:val="24"/>
        </w:rPr>
        <w:t xml:space="preserve">Ministern ska i Storhertigdömets Luxemburgs officiella tidning publicera ett meddelande som ska beskriva de ändringar som gjorts och komplettera det med en hänvisning till den rättsakt som publicerats i Europeiska unionens officiella tidning.</w:t>
      </w:r>
      <w:r>
        <w:rPr>
          <w:color w:val="FF0000"/>
          <w:sz w:val="24"/>
          <w:szCs w:val="24"/>
        </w:rPr>
        <w:t xml:space="preserve"> </w:t>
      </w:r>
    </w:p>
    <w:p w14:paraId="4F5B1630" w14:textId="77777777" w:rsidR="000147DB" w:rsidRPr="003E7524" w:rsidRDefault="000147DB" w:rsidP="000147DB">
      <w:pPr>
        <w:autoSpaceDE w:val="0"/>
        <w:autoSpaceDN w:val="0"/>
        <w:adjustRightInd w:val="0"/>
        <w:spacing w:after="0" w:line="240" w:lineRule="auto"/>
        <w:jc w:val="both"/>
        <w:rPr>
          <w:rFonts w:cs="TimesNewRoman"/>
          <w:sz w:val="24"/>
          <w:szCs w:val="24"/>
          <w:lang w:val="fr-LU" w:eastAsia="fr-BE"/>
        </w:rPr>
      </w:pPr>
    </w:p>
    <w:p w14:paraId="746EFFFC" w14:textId="77777777" w:rsidR="000147DB" w:rsidRPr="003E7524" w:rsidRDefault="000147DB" w:rsidP="000147DB">
      <w:pPr>
        <w:spacing w:after="0" w:line="240" w:lineRule="auto"/>
        <w:jc w:val="both"/>
        <w:rPr>
          <w:rFonts w:ascii="Times New Roman" w:eastAsia="Times New Roman" w:hAnsi="Times New Roman" w:cs="Times New Roman"/>
          <w:sz w:val="24"/>
          <w:szCs w:val="24"/>
          <w:lang w:val="fr-FR" w:eastAsia="fr-FR"/>
        </w:rPr>
      </w:pPr>
    </w:p>
    <w:p w14:paraId="615F4A80" w14:textId="6951941F" w:rsidR="000147DB" w:rsidRPr="003E7524" w:rsidRDefault="000147DB" w:rsidP="000147DB">
      <w:pPr>
        <w:spacing w:after="200" w:line="276" w:lineRule="auto"/>
        <w:rPr>
          <w:rFonts w:eastAsia="Times New Roman" w:cs="Arial"/>
          <w:b/>
          <w:color w:val="000000"/>
          <w:lang w:val="fr-FR" w:eastAsia="fr-FR"/>
        </w:rPr>
      </w:pPr>
    </w:p>
    <w:p w14:paraId="1FB9F654" w14:textId="77777777" w:rsidR="000147DB" w:rsidRPr="003E7524" w:rsidRDefault="000147DB" w:rsidP="00B972B3">
      <w:pPr>
        <w:keepNext/>
        <w:keepLines/>
        <w:pageBreakBefore/>
        <w:spacing w:after="0" w:line="240" w:lineRule="auto"/>
        <w:jc w:val="center"/>
        <w:rPr>
          <w:b/>
          <w:color w:val="000000"/>
          <w:rFonts w:eastAsia="Times New Roman" w:cs="Arial"/>
        </w:rPr>
      </w:pPr>
      <w:r>
        <w:rPr>
          <w:b/>
          <w:color w:val="000000"/>
        </w:rPr>
        <w:t xml:space="preserve">BILAGA I</w:t>
      </w:r>
    </w:p>
    <w:p w14:paraId="3C2BC896" w14:textId="77777777" w:rsidR="000147DB" w:rsidRPr="003E7524" w:rsidRDefault="000147DB" w:rsidP="00B972B3">
      <w:pPr>
        <w:keepNext/>
        <w:keepLines/>
        <w:spacing w:after="0" w:line="240" w:lineRule="auto"/>
        <w:jc w:val="center"/>
        <w:rPr>
          <w:b/>
          <w:bCs/>
          <w:color w:val="000000"/>
          <w:rFonts w:eastAsia="Times New Roman" w:cs="Arial"/>
        </w:rPr>
      </w:pPr>
      <w:r>
        <w:rPr>
          <w:b/>
          <w:bCs/>
          <w:color w:val="000000"/>
        </w:rPr>
        <w:t xml:space="preserve">Väsentliga krav på förpackningars sammansättning och möjligheterna till återanvändning och återvinning, inbegripet materialåtervinning</w:t>
      </w:r>
    </w:p>
    <w:p w14:paraId="76BAF4AF" w14:textId="77777777" w:rsidR="000147DB" w:rsidRPr="003E7524" w:rsidRDefault="000147DB" w:rsidP="00B972B3">
      <w:pPr>
        <w:keepNext/>
        <w:keepLines/>
        <w:spacing w:after="0" w:line="240" w:lineRule="auto"/>
        <w:jc w:val="center"/>
        <w:rPr>
          <w:rFonts w:eastAsia="Times New Roman" w:cs="Arial"/>
          <w:color w:val="000000"/>
          <w:lang w:val="fr-FR" w:eastAsia="fr-FR"/>
        </w:rPr>
      </w:pPr>
    </w:p>
    <w:p w14:paraId="7D49E7BD" w14:textId="77777777" w:rsidR="000147DB" w:rsidRPr="003E7524" w:rsidRDefault="000147DB" w:rsidP="00B972B3">
      <w:pPr>
        <w:keepNext/>
        <w:keepLines/>
        <w:spacing w:after="0" w:line="240" w:lineRule="auto"/>
        <w:jc w:val="center"/>
        <w:rPr>
          <w:rFonts w:eastAsia="Times New Roman" w:cs="Arial"/>
        </w:rPr>
      </w:pPr>
      <w:r>
        <w:rPr>
          <w:b/>
          <w:bCs/>
        </w:rPr>
        <w:t xml:space="preserve">1) Krav på framställning av förpackningar och förpackningars sammansättning</w:t>
      </w:r>
    </w:p>
    <w:p w14:paraId="174C3BC4" w14:textId="77777777" w:rsidR="000147DB" w:rsidRPr="003E7524" w:rsidRDefault="000147DB" w:rsidP="000147DB">
      <w:pPr>
        <w:spacing w:after="0" w:line="240" w:lineRule="auto"/>
        <w:jc w:val="both"/>
        <w:rPr>
          <w:color w:val="000000"/>
          <w:rFonts w:eastAsia="Times New Roman" w:cs="Arial"/>
        </w:rPr>
      </w:pPr>
      <w:r>
        <w:rPr>
          <w:color w:val="000000"/>
        </w:rPr>
        <w:t xml:space="preserve">a) Förpackningar ska framställas på ett sådant sätt att deras volym och vikt begränsas till det minimum som krävs för att upprätthålla den säkerhets- och hygiennivå som är nödvändig för produkten och godtagbar för konsumenten.</w:t>
      </w:r>
    </w:p>
    <w:p w14:paraId="629D9CA7" w14:textId="17BC5018"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szCs w:val="24"/>
        </w:rPr>
        <w:t xml:space="preserve">b) Förpackningar ska utformas, framställas och saluföras på ett sådant sätt att de kan återanvändas eller återvinnas, bland annat materialåtervinnas – i linje med avfallshierarkin – och i syfte att deras inverkan på miljön minskas så mycket som möjligt i samband med bortskaffandet av förpackningsavfall eller restprodukter från hantering av förpackningsavfall.</w:t>
      </w:r>
      <w:r>
        <w:rPr>
          <w:color w:val="FF0000"/>
          <w:sz w:val="24"/>
          <w:szCs w:val="24"/>
        </w:rPr>
        <w:t xml:space="preserve"> </w:t>
      </w:r>
    </w:p>
    <w:p w14:paraId="538F9353" w14:textId="77777777" w:rsidR="000147DB" w:rsidRPr="003E7524" w:rsidRDefault="000147DB" w:rsidP="000147DB">
      <w:pPr>
        <w:spacing w:after="0" w:line="240" w:lineRule="auto"/>
        <w:jc w:val="both"/>
        <w:rPr>
          <w:rFonts w:eastAsia="Times New Roman" w:cs="Arial"/>
          <w:strike/>
          <w:color w:val="FF0000"/>
          <w:lang w:val="fr-LU" w:eastAsia="fr-FR"/>
        </w:rPr>
      </w:pPr>
    </w:p>
    <w:p w14:paraId="4613BD21" w14:textId="77777777" w:rsidR="000147DB" w:rsidRPr="003E7524" w:rsidRDefault="000147DB" w:rsidP="000147DB">
      <w:pPr>
        <w:spacing w:after="0" w:line="240" w:lineRule="auto"/>
        <w:jc w:val="both"/>
        <w:rPr>
          <w:rFonts w:eastAsia="Times New Roman" w:cs="Arial"/>
          <w:strike/>
          <w:color w:val="FF0000"/>
          <w:lang w:val="fr-FR" w:eastAsia="fr-FR"/>
        </w:rPr>
      </w:pPr>
    </w:p>
    <w:p w14:paraId="7E4B7CFE" w14:textId="77777777" w:rsidR="000147DB" w:rsidRPr="003E7524" w:rsidRDefault="000147DB" w:rsidP="000147DB">
      <w:pPr>
        <w:spacing w:after="0" w:line="240" w:lineRule="auto"/>
        <w:jc w:val="both"/>
        <w:rPr>
          <w:color w:val="000000"/>
          <w:rFonts w:eastAsia="Times New Roman" w:cs="Arial"/>
        </w:rPr>
      </w:pPr>
      <w:r>
        <w:rPr>
          <w:color w:val="000000"/>
        </w:rPr>
        <w:t xml:space="preserve">c) Förpackningar ska framställas på ett sådant sätt att innehållet av skadliga ämnen och andra farliga ämnen och material som beståndsdelar i förpackningsmaterialet eller förpackningsmaterialets komponenter minimeras med avseende på deras förekomst i utsläpp, aska eller lakvatten när förpackningar eller restprodukter från hantering eller förpackningsavfall förbränns eller deponeras.</w:t>
      </w:r>
    </w:p>
    <w:p w14:paraId="31070C98" w14:textId="77777777" w:rsidR="000147DB" w:rsidRPr="003E7524" w:rsidRDefault="000147DB" w:rsidP="000147DB">
      <w:pPr>
        <w:spacing w:after="0" w:line="240" w:lineRule="auto"/>
        <w:rPr>
          <w:rFonts w:eastAsia="Times New Roman" w:cs="Arial"/>
          <w:color w:val="000000"/>
          <w:lang w:val="fr-FR" w:eastAsia="fr-FR"/>
        </w:rPr>
      </w:pPr>
    </w:p>
    <w:p w14:paraId="767AE17B" w14:textId="77777777" w:rsidR="000147DB" w:rsidRPr="003E7524" w:rsidRDefault="000147DB" w:rsidP="00B972B3">
      <w:pPr>
        <w:keepNext/>
        <w:keepLines/>
        <w:spacing w:after="0" w:line="240" w:lineRule="auto"/>
        <w:jc w:val="center"/>
        <w:rPr>
          <w:color w:val="000000"/>
          <w:rFonts w:eastAsia="Times New Roman" w:cs="Arial"/>
        </w:rPr>
      </w:pPr>
      <w:r>
        <w:rPr>
          <w:b/>
          <w:bCs/>
          <w:color w:val="000000"/>
        </w:rPr>
        <w:t xml:space="preserve">2) Krav på förpackningarnas återanvändbarhet</w:t>
      </w:r>
    </w:p>
    <w:p w14:paraId="632929B6" w14:textId="77777777" w:rsidR="000147DB" w:rsidRPr="003E7524" w:rsidRDefault="000147DB" w:rsidP="00B972B3">
      <w:pPr>
        <w:keepNext/>
        <w:keepLines/>
        <w:spacing w:after="0" w:line="240" w:lineRule="auto"/>
        <w:jc w:val="both"/>
        <w:rPr>
          <w:color w:val="000000"/>
          <w:rFonts w:eastAsia="Times New Roman" w:cs="Arial"/>
        </w:rPr>
      </w:pPr>
      <w:r>
        <w:rPr>
          <w:color w:val="000000"/>
        </w:rPr>
        <w:t xml:space="preserve">Följande krav ska vara uppfyllda samtidigt:</w:t>
      </w:r>
    </w:p>
    <w:p w14:paraId="3D32190A" w14:textId="77777777" w:rsidR="000147DB" w:rsidRPr="003E7524" w:rsidRDefault="000147DB" w:rsidP="000147DB">
      <w:pPr>
        <w:spacing w:after="0" w:line="240" w:lineRule="auto"/>
        <w:jc w:val="both"/>
        <w:rPr>
          <w:color w:val="000000"/>
          <w:rFonts w:eastAsia="Times New Roman" w:cs="Arial"/>
        </w:rPr>
      </w:pPr>
      <w:r>
        <w:rPr>
          <w:color w:val="000000"/>
        </w:rPr>
        <w:t xml:space="preserve">a) Förpackningarnas fysiska egenskaper och utformning ska vara av en sådan art att förpackningarna kan återanvändas ett antal gånger under normalt förutsebara användningsförhållanden.</w:t>
      </w:r>
    </w:p>
    <w:p w14:paraId="45F75A04" w14:textId="77777777" w:rsidR="000147DB" w:rsidRPr="003E7524" w:rsidRDefault="000147DB" w:rsidP="000147DB">
      <w:pPr>
        <w:spacing w:after="0" w:line="240" w:lineRule="auto"/>
        <w:jc w:val="both"/>
        <w:rPr>
          <w:color w:val="000000"/>
          <w:rFonts w:eastAsia="Times New Roman" w:cs="Arial"/>
        </w:rPr>
      </w:pPr>
      <w:r>
        <w:rPr>
          <w:color w:val="000000"/>
        </w:rPr>
        <w:t xml:space="preserve">b) Det ska vara möjligt att behandla de använda förpackningarna i enlighet med hygien- och säkerhetskraven för arbetstagarna.</w:t>
      </w:r>
    </w:p>
    <w:p w14:paraId="3D452CEF" w14:textId="77777777" w:rsidR="000147DB" w:rsidRPr="003E7524" w:rsidRDefault="000147DB" w:rsidP="000147DB">
      <w:pPr>
        <w:spacing w:after="0" w:line="240" w:lineRule="auto"/>
        <w:jc w:val="both"/>
        <w:rPr>
          <w:color w:val="000000"/>
          <w:rFonts w:eastAsia="Times New Roman" w:cs="Arial"/>
        </w:rPr>
      </w:pPr>
      <w:r>
        <w:rPr>
          <w:color w:val="000000"/>
        </w:rPr>
        <w:t xml:space="preserve">c) Förpackningarna ska uppfylla de särskilda kraven på återvinningsbara förpackningar när förpackningarna inte längre återanvänds och därmed blir avfall.</w:t>
      </w:r>
    </w:p>
    <w:p w14:paraId="21D9B2BB" w14:textId="77777777" w:rsidR="000147DB" w:rsidRPr="003E7524" w:rsidRDefault="000147DB" w:rsidP="000147DB">
      <w:pPr>
        <w:spacing w:after="0" w:line="240" w:lineRule="auto"/>
        <w:rPr>
          <w:rFonts w:eastAsia="Times New Roman" w:cs="Arial"/>
          <w:color w:val="000000"/>
          <w:lang w:val="fr-FR" w:eastAsia="fr-FR"/>
        </w:rPr>
      </w:pPr>
    </w:p>
    <w:p w14:paraId="37AA649C" w14:textId="77777777" w:rsidR="000147DB" w:rsidRPr="005E4757" w:rsidRDefault="000147DB" w:rsidP="00B972B3">
      <w:pPr>
        <w:keepNext/>
        <w:keepLines/>
        <w:spacing w:after="0" w:line="240" w:lineRule="auto"/>
        <w:jc w:val="center"/>
        <w:rPr>
          <w:b/>
          <w:bCs/>
          <w:iCs/>
          <w:color w:val="000000"/>
          <w:rFonts w:eastAsia="Times New Roman" w:cs="Arial"/>
        </w:rPr>
      </w:pPr>
      <w:r>
        <w:rPr>
          <w:b/>
          <w:bCs/>
          <w:iCs/>
          <w:color w:val="000000"/>
        </w:rPr>
        <w:t xml:space="preserve">3) Krav på förpackningarnas återvinningsbarhet</w:t>
      </w:r>
    </w:p>
    <w:p w14:paraId="1EE282C0" w14:textId="77777777" w:rsidR="000147DB" w:rsidRPr="003E7524" w:rsidRDefault="000147DB" w:rsidP="00B972B3">
      <w:pPr>
        <w:keepNext/>
        <w:keepLines/>
        <w:spacing w:after="0" w:line="240" w:lineRule="auto"/>
        <w:jc w:val="both"/>
        <w:rPr>
          <w:color w:val="000000"/>
          <w:rFonts w:eastAsia="Times New Roman" w:cs="Arial"/>
        </w:rPr>
      </w:pPr>
      <w:r>
        <w:rPr>
          <w:color w:val="000000"/>
        </w:rPr>
        <w:t xml:space="preserve">a) Förpackningar som kan återvinnas genom materialutnyttjande</w:t>
      </w:r>
      <w:r>
        <w:rPr>
          <w:color w:val="000000"/>
        </w:rPr>
        <w:t xml:space="preserve"> </w:t>
      </w:r>
    </w:p>
    <w:p w14:paraId="72BEBD90" w14:textId="77777777" w:rsidR="000147DB" w:rsidRPr="003E7524" w:rsidRDefault="000147DB" w:rsidP="000147DB">
      <w:pPr>
        <w:spacing w:after="0" w:line="240" w:lineRule="auto"/>
        <w:jc w:val="both"/>
        <w:rPr>
          <w:color w:val="000000"/>
          <w:rFonts w:eastAsia="Times New Roman" w:cs="Arial"/>
        </w:rPr>
      </w:pPr>
      <w:r>
        <w:rPr>
          <w:color w:val="000000"/>
        </w:rPr>
        <w:t xml:space="preserve">Förpackningar ska framställas på ett sådant sätt att det är möjligt att utnyttja en viss viktprocent av de material som används vid framställningen av säljbara produkter i enlighet med gällande standarder inom gemenskapen.</w:t>
      </w:r>
      <w:r>
        <w:rPr>
          <w:color w:val="000000"/>
        </w:rPr>
        <w:t xml:space="preserve"> </w:t>
      </w:r>
      <w:r>
        <w:rPr>
          <w:color w:val="000000"/>
        </w:rPr>
        <w:t xml:space="preserve">Fastställandet av denna procentsats kan variera beroende på vilken typ av material förpackningen består av.</w:t>
      </w:r>
    </w:p>
    <w:p w14:paraId="1A7B37E6" w14:textId="77777777" w:rsidR="000147DB" w:rsidRPr="003E7524" w:rsidRDefault="000147DB" w:rsidP="00B972B3">
      <w:pPr>
        <w:keepNext/>
        <w:keepLines/>
        <w:spacing w:after="0" w:line="240" w:lineRule="auto"/>
        <w:jc w:val="both"/>
        <w:rPr>
          <w:color w:val="000000"/>
          <w:rFonts w:eastAsia="Times New Roman" w:cs="Arial"/>
        </w:rPr>
      </w:pPr>
      <w:r>
        <w:rPr>
          <w:color w:val="000000"/>
        </w:rPr>
        <w:t xml:space="preserve">b) Förpackningar som kan återvinnas genom energiutvinning</w:t>
      </w:r>
      <w:r>
        <w:rPr>
          <w:color w:val="000000"/>
        </w:rPr>
        <w:t xml:space="preserve"> </w:t>
      </w:r>
    </w:p>
    <w:p w14:paraId="041C2C54" w14:textId="77777777" w:rsidR="000147DB" w:rsidRPr="003E7524" w:rsidRDefault="000147DB" w:rsidP="000147DB">
      <w:pPr>
        <w:spacing w:after="0" w:line="240" w:lineRule="auto"/>
        <w:jc w:val="both"/>
        <w:rPr>
          <w:color w:val="000000"/>
          <w:rFonts w:eastAsia="Times New Roman" w:cs="Arial"/>
        </w:rPr>
      </w:pPr>
      <w:r>
        <w:rPr>
          <w:color w:val="000000"/>
        </w:rPr>
        <w:t xml:space="preserve">Förpackningsavfall som bearbetas för energiutvinning ska ha ett lägsta nedre värmevärde för att ge optimal energiåtervinning.</w:t>
      </w:r>
    </w:p>
    <w:p w14:paraId="47DD47B7" w14:textId="77777777" w:rsidR="000147DB" w:rsidRPr="003E7524" w:rsidRDefault="000147DB" w:rsidP="00B972B3">
      <w:pPr>
        <w:keepNext/>
        <w:keepLines/>
        <w:spacing w:after="0" w:line="240" w:lineRule="auto"/>
        <w:jc w:val="both"/>
        <w:rPr>
          <w:color w:val="000000"/>
          <w:rFonts w:eastAsia="Times New Roman" w:cs="Arial"/>
        </w:rPr>
      </w:pPr>
      <w:r>
        <w:rPr>
          <w:color w:val="000000"/>
        </w:rPr>
        <w:t xml:space="preserve">c) Förpackningar som kan återvinnas genom kompostering</w:t>
      </w:r>
      <w:r>
        <w:rPr>
          <w:color w:val="000000"/>
        </w:rPr>
        <w:t xml:space="preserve"> </w:t>
      </w:r>
    </w:p>
    <w:p w14:paraId="0F150FF9" w14:textId="77777777" w:rsidR="000147DB" w:rsidRPr="003E7524" w:rsidRDefault="000147DB" w:rsidP="000147DB">
      <w:pPr>
        <w:spacing w:after="0" w:line="240" w:lineRule="auto"/>
        <w:jc w:val="both"/>
        <w:rPr>
          <w:color w:val="000000"/>
          <w:rFonts w:eastAsia="Times New Roman" w:cs="Arial"/>
        </w:rPr>
      </w:pPr>
      <w:r>
        <w:rPr>
          <w:color w:val="000000"/>
        </w:rPr>
        <w:t xml:space="preserve">Förpackningsavfall som bearbetas för kompostering ska vara biologiskt nedbrytbart i sådan grad att det inte hindrar separat insamling och den komposteringsprocess eller komposteringsaktivitet som avfallet underkastas.</w:t>
      </w:r>
    </w:p>
    <w:p w14:paraId="36128ACA" w14:textId="77777777" w:rsidR="000147DB" w:rsidRPr="003E7524" w:rsidRDefault="000147DB" w:rsidP="000147DB">
      <w:pPr>
        <w:spacing w:after="0" w:line="240" w:lineRule="auto"/>
        <w:jc w:val="both"/>
        <w:rPr>
          <w:rFonts w:eastAsia="Times New Roman" w:cs="Arial"/>
          <w:color w:val="000000"/>
          <w:lang w:val="fr-FR" w:eastAsia="fr-FR"/>
        </w:rPr>
      </w:pPr>
    </w:p>
    <w:p w14:paraId="00633E3B" w14:textId="77777777" w:rsidR="000147DB" w:rsidRPr="003E7524" w:rsidRDefault="000147DB" w:rsidP="00B972B3">
      <w:pPr>
        <w:keepNext/>
        <w:keepLines/>
        <w:autoSpaceDE w:val="0"/>
        <w:autoSpaceDN w:val="0"/>
        <w:adjustRightInd w:val="0"/>
        <w:spacing w:after="0"/>
        <w:jc w:val="both"/>
        <w:rPr>
          <w:color w:val="FF0000"/>
          <w:sz w:val="24"/>
          <w:szCs w:val="24"/>
          <w:rFonts w:cs="TimesNewRoman"/>
        </w:rPr>
      </w:pPr>
      <w:r>
        <w:rPr>
          <w:color w:val="FF0000"/>
          <w:sz w:val="24"/>
          <w:szCs w:val="24"/>
        </w:rPr>
        <w:t xml:space="preserve">d) Biologiskt nedbrytbara förpackningar</w:t>
      </w:r>
    </w:p>
    <w:p w14:paraId="7A56FE8C" w14:textId="77777777"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szCs w:val="24"/>
        </w:rPr>
        <w:t xml:space="preserve">Biologiskt nedbrytbart förpackningsavfall ska vara av sådan art att det kan underkastas fysisk, kemisk, termisk eller biologisk nedbrytning på ett sådant sätt att det mesta av den färdiga komposten slutligen bryts ned till koldioxid, biomassa och vatten.</w:t>
      </w:r>
      <w:r>
        <w:rPr>
          <w:color w:val="FF0000"/>
          <w:sz w:val="24"/>
          <w:szCs w:val="24"/>
        </w:rPr>
        <w:t xml:space="preserve"> </w:t>
      </w:r>
    </w:p>
    <w:p w14:paraId="76704C00" w14:textId="77777777" w:rsidR="000147DB" w:rsidRPr="003E7524" w:rsidRDefault="000147DB" w:rsidP="000147DB">
      <w:pPr>
        <w:autoSpaceDE w:val="0"/>
        <w:autoSpaceDN w:val="0"/>
        <w:adjustRightInd w:val="0"/>
        <w:spacing w:after="0"/>
        <w:jc w:val="both"/>
        <w:rPr>
          <w:sz w:val="24"/>
          <w:szCs w:val="24"/>
          <w:rFonts w:cs="TimesNewRoman"/>
        </w:rPr>
      </w:pPr>
      <w:r>
        <w:rPr>
          <w:color w:val="FF0000"/>
          <w:sz w:val="24"/>
          <w:szCs w:val="24"/>
        </w:rPr>
        <w:t xml:space="preserve">Plastförpackningar som är nedbrytbara genom oxidation får inte anses vara biologiskt nedbrytbara.</w:t>
      </w:r>
    </w:p>
    <w:p w14:paraId="4D209010" w14:textId="77777777" w:rsidR="000147DB" w:rsidRPr="003E7524" w:rsidRDefault="000147DB" w:rsidP="000147DB">
      <w:pPr>
        <w:autoSpaceDE w:val="0"/>
        <w:autoSpaceDN w:val="0"/>
        <w:adjustRightInd w:val="0"/>
        <w:spacing w:after="0"/>
        <w:jc w:val="both"/>
        <w:rPr>
          <w:rFonts w:cs="TimesNewRoman"/>
          <w:sz w:val="24"/>
          <w:szCs w:val="24"/>
          <w:lang w:val="fr-LU" w:eastAsia="fr-BE"/>
        </w:rPr>
      </w:pPr>
    </w:p>
    <w:p w14:paraId="75439D96" w14:textId="77777777" w:rsidR="000147DB" w:rsidRPr="003E7524" w:rsidRDefault="000147DB" w:rsidP="000147DB">
      <w:pPr>
        <w:spacing w:after="0" w:line="240" w:lineRule="auto"/>
        <w:rPr>
          <w:rFonts w:eastAsia="Times New Roman" w:cs="Arial"/>
          <w:color w:val="000000"/>
          <w:lang w:val="fr-LU" w:eastAsia="fr-FR"/>
        </w:rPr>
      </w:pPr>
    </w:p>
    <w:p w14:paraId="3E017349" w14:textId="77777777" w:rsidR="000147DB" w:rsidRPr="003E7524" w:rsidRDefault="000147DB" w:rsidP="000147DB">
      <w:pPr>
        <w:spacing w:after="0" w:line="240" w:lineRule="auto"/>
        <w:jc w:val="center"/>
        <w:rPr>
          <w:rFonts w:eastAsia="Times New Roman" w:cs="Arial"/>
          <w:strike/>
          <w:u w:val="single"/>
          <w:lang w:val="fr-FR" w:eastAsia="fr-LU"/>
        </w:rPr>
      </w:pPr>
    </w:p>
    <w:p w14:paraId="58B091A8" w14:textId="77777777" w:rsidR="000147DB" w:rsidRPr="003E7524" w:rsidRDefault="000147DB" w:rsidP="00B972B3">
      <w:pPr>
        <w:keepNext/>
        <w:keepLines/>
        <w:spacing w:after="0" w:line="240" w:lineRule="auto"/>
        <w:jc w:val="center"/>
        <w:rPr>
          <w:b/>
          <w:rFonts w:eastAsia="Times New Roman" w:cs="Arial"/>
        </w:rPr>
      </w:pPr>
      <w:r>
        <w:rPr>
          <w:b/>
        </w:rPr>
        <w:t xml:space="preserve">BILAGA II</w:t>
      </w:r>
    </w:p>
    <w:p w14:paraId="08D0C795" w14:textId="77777777" w:rsidR="000147DB" w:rsidRPr="003E7524" w:rsidRDefault="000147DB" w:rsidP="00B972B3">
      <w:pPr>
        <w:keepNext/>
        <w:keepLines/>
        <w:spacing w:after="0" w:line="240" w:lineRule="auto"/>
        <w:jc w:val="center"/>
        <w:rPr>
          <w:b/>
          <w:bCs/>
          <w:rFonts w:eastAsia="Times New Roman" w:cs="Arial"/>
        </w:rPr>
      </w:pPr>
      <w:r>
        <w:rPr>
          <w:b/>
          <w:bCs/>
        </w:rPr>
        <w:t xml:space="preserve">Miljöavtal</w:t>
      </w:r>
    </w:p>
    <w:p w14:paraId="4C8541AC" w14:textId="77777777" w:rsidR="000147DB" w:rsidRPr="003E7524" w:rsidRDefault="000147DB" w:rsidP="00B972B3">
      <w:pPr>
        <w:keepNext/>
        <w:keepLines/>
        <w:spacing w:after="0" w:line="240" w:lineRule="auto"/>
        <w:jc w:val="both"/>
        <w:rPr>
          <w:rFonts w:eastAsia="Times New Roman" w:cs="Arial"/>
          <w:b/>
          <w:lang w:val="fr-FR" w:eastAsia="fr-LU"/>
        </w:rPr>
      </w:pPr>
    </w:p>
    <w:p w14:paraId="2F353336" w14:textId="77777777" w:rsidR="000147DB" w:rsidRPr="003E7524" w:rsidRDefault="000147DB" w:rsidP="00B972B3">
      <w:pPr>
        <w:keepNext/>
        <w:keepLines/>
        <w:spacing w:after="0" w:line="240" w:lineRule="auto"/>
        <w:jc w:val="both"/>
        <w:rPr>
          <w:rFonts w:eastAsia="Times New Roman" w:cs="Arial"/>
        </w:rPr>
      </w:pPr>
      <w:r>
        <w:t xml:space="preserve">De miljöavtal som avses i denna lag ska följa nedanstående regler:</w:t>
      </w:r>
    </w:p>
    <w:p w14:paraId="26FA5C49" w14:textId="77777777" w:rsidR="000147DB" w:rsidRPr="003E7524" w:rsidRDefault="000147DB" w:rsidP="000147DB">
      <w:pPr>
        <w:spacing w:after="0" w:line="240" w:lineRule="auto"/>
        <w:jc w:val="both"/>
        <w:rPr>
          <w:rFonts w:eastAsia="Times New Roman" w:cs="Arial"/>
        </w:rPr>
      </w:pPr>
      <w:r>
        <w:t xml:space="preserve">1) Avtalens syften och varaktighet ska anges.</w:t>
      </w:r>
    </w:p>
    <w:p w14:paraId="6DB322CD" w14:textId="77777777" w:rsidR="000147DB" w:rsidRPr="003E7524" w:rsidRDefault="000147DB" w:rsidP="000147DB">
      <w:pPr>
        <w:spacing w:after="0" w:line="240" w:lineRule="auto"/>
        <w:jc w:val="both"/>
        <w:rPr>
          <w:rFonts w:eastAsia="Times New Roman" w:cs="Arial"/>
        </w:rPr>
      </w:pPr>
      <w:r>
        <w:t xml:space="preserve">2) Avtalen och de resultat som uppnåtts genom att tillämpa dem ska vara tillgängliga för allmänheten och rapporteras av ministern till Europeiska kommissionen.</w:t>
      </w:r>
    </w:p>
    <w:p w14:paraId="0C4AFADA" w14:textId="77777777" w:rsidR="000147DB" w:rsidRPr="003E7524" w:rsidRDefault="000147DB" w:rsidP="000147DB">
      <w:pPr>
        <w:spacing w:after="0" w:line="240" w:lineRule="auto"/>
        <w:jc w:val="both"/>
        <w:rPr>
          <w:rFonts w:eastAsia="Times New Roman" w:cs="Arial"/>
        </w:rPr>
      </w:pPr>
      <w:r>
        <w:t xml:space="preserve">3) Myndigheterna ska regelbundet verifiera tillämpningen av avtalen.</w:t>
      </w:r>
    </w:p>
    <w:p w14:paraId="338631B9" w14:textId="77777777" w:rsidR="000147DB" w:rsidRPr="003E7524" w:rsidRDefault="000147DB" w:rsidP="000147DB">
      <w:pPr>
        <w:spacing w:after="0" w:line="240" w:lineRule="auto"/>
        <w:jc w:val="both"/>
        <w:rPr>
          <w:rFonts w:eastAsia="Times New Roman" w:cs="Arial"/>
        </w:rPr>
      </w:pPr>
      <w:r>
        <w:t xml:space="preserve">4) Avtalen ska innehålla åtgärder och sanktioner för de fall då bestämmelserna inte efterlevs.</w:t>
      </w:r>
    </w:p>
    <w:p w14:paraId="3E2E4659" w14:textId="77777777" w:rsidR="000147DB" w:rsidRPr="003E7524" w:rsidRDefault="000147DB" w:rsidP="000147DB">
      <w:pPr>
        <w:spacing w:after="0" w:line="240" w:lineRule="auto"/>
        <w:jc w:val="both"/>
        <w:rPr>
          <w:rFonts w:eastAsia="Times New Roman" w:cs="Arial"/>
        </w:rPr>
      </w:pPr>
      <w:r>
        <w:t xml:space="preserve">5) Avtalen ska ingås för en viss avgiven tidsperiod som inte får överskrida fem år.</w:t>
      </w:r>
      <w:r>
        <w:t xml:space="preserve"> </w:t>
      </w:r>
      <w:r>
        <w:t xml:space="preserve">Avtalen ska inte kunna förnyas genom tyst samförstånd.</w:t>
      </w:r>
    </w:p>
    <w:p w14:paraId="104D8A65" w14:textId="77777777" w:rsidR="000147DB" w:rsidRPr="003E7524" w:rsidRDefault="000147DB" w:rsidP="000147DB">
      <w:pPr>
        <w:spacing w:after="0" w:line="240" w:lineRule="auto"/>
        <w:jc w:val="both"/>
        <w:rPr>
          <w:rFonts w:eastAsia="Times New Roman" w:cs="Arial"/>
        </w:rPr>
      </w:pPr>
      <w:r>
        <w:t xml:space="preserve">6) Avtalen upphör att gälla antingen vid utgången av den tidsperiod som de ingåtts för eller när deras syften uppnåtts eller genom överenskommelse mellan parterna.</w:t>
      </w:r>
    </w:p>
    <w:p w14:paraId="09C2F1CD" w14:textId="77777777" w:rsidR="000147DB" w:rsidRPr="003E7524" w:rsidRDefault="000147DB" w:rsidP="000147DB">
      <w:pPr>
        <w:spacing w:after="0" w:line="240" w:lineRule="auto"/>
        <w:rPr>
          <w:rFonts w:eastAsia="Times New Roman" w:cs="Arial"/>
          <w:lang w:val="fr-FR" w:eastAsia="fr-FR"/>
        </w:rPr>
      </w:pPr>
    </w:p>
    <w:p w14:paraId="16C3064A" w14:textId="77777777" w:rsidR="000147DB" w:rsidRPr="003E7524" w:rsidRDefault="000147DB" w:rsidP="000147DB">
      <w:pPr>
        <w:spacing w:after="0" w:line="240" w:lineRule="auto"/>
        <w:jc w:val="center"/>
        <w:rPr>
          <w:rFonts w:eastAsia="Calibri" w:cs="Arial"/>
          <w:lang w:val="fr-FR"/>
        </w:rPr>
      </w:pPr>
    </w:p>
    <w:p w14:paraId="52D4FCEE" w14:textId="77777777" w:rsidR="000147DB" w:rsidRPr="003E7524" w:rsidRDefault="000147DB" w:rsidP="000147DB">
      <w:pPr>
        <w:spacing w:after="200" w:line="276" w:lineRule="auto"/>
        <w:rPr>
          <w:color w:val="FF0000"/>
        </w:rPr>
      </w:pPr>
      <w:r>
        <w:rPr>
          <w:color w:val="FF0000"/>
        </w:rPr>
        <w:t xml:space="preserve">Lag av den ...</w:t>
      </w:r>
    </w:p>
    <w:p w14:paraId="4FF80B34" w14:textId="22A28547" w:rsidR="000147DB" w:rsidRPr="003E7524" w:rsidRDefault="000147DB" w:rsidP="000147DB">
      <w:pPr>
        <w:autoSpaceDE w:val="0"/>
        <w:autoSpaceDN w:val="0"/>
        <w:adjustRightInd w:val="0"/>
        <w:spacing w:after="0"/>
        <w:jc w:val="center"/>
        <w:rPr>
          <w:b/>
          <w:color w:val="FF0000"/>
          <w:sz w:val="24"/>
          <w:szCs w:val="24"/>
          <w:u w:val="single"/>
          <w:rFonts w:cs="TimesNewRoman"/>
        </w:rPr>
      </w:pPr>
      <w:r>
        <w:rPr>
          <w:b/>
          <w:color w:val="FF0000"/>
          <w:sz w:val="24"/>
          <w:szCs w:val="24"/>
          <w:u w:val="single"/>
        </w:rPr>
        <w:t xml:space="preserve">BILAGA III</w:t>
      </w:r>
    </w:p>
    <w:p w14:paraId="79D2B46F" w14:textId="77777777" w:rsidR="000147DB" w:rsidRPr="005E4757" w:rsidRDefault="000147DB" w:rsidP="000147DB">
      <w:pPr>
        <w:autoSpaceDE w:val="0"/>
        <w:autoSpaceDN w:val="0"/>
        <w:adjustRightInd w:val="0"/>
        <w:spacing w:after="0"/>
        <w:jc w:val="center"/>
        <w:rPr>
          <w:bCs/>
          <w:color w:val="FF0000"/>
          <w:sz w:val="24"/>
          <w:szCs w:val="24"/>
          <w:u w:val="single"/>
          <w:rFonts w:cs="TimesNewRoman"/>
        </w:rPr>
      </w:pPr>
      <w:r>
        <w:rPr>
          <w:bCs/>
          <w:color w:val="FF0000"/>
          <w:sz w:val="24"/>
          <w:szCs w:val="24"/>
          <w:u w:val="single"/>
        </w:rPr>
        <w:t xml:space="preserve">Listan över frukt och grönsaker som avses i artikel 5.1.1</w:t>
      </w:r>
    </w:p>
    <w:p w14:paraId="236111C5" w14:textId="77777777" w:rsidR="000147DB" w:rsidRPr="003E7524"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B972B3" w14:paraId="666E3C8A" w14:textId="77777777" w:rsidTr="000147DB">
        <w:tc>
          <w:tcPr>
            <w:tcW w:w="4675" w:type="dxa"/>
          </w:tcPr>
          <w:p w14:paraId="5DF36764" w14:textId="77777777" w:rsidR="000147DB" w:rsidRPr="00B972B3" w:rsidRDefault="000147DB" w:rsidP="000147DB">
            <w:pPr>
              <w:rPr>
                <w:b/>
                <w:color w:val="FF0000"/>
                <w:spacing w:val="-4"/>
              </w:rPr>
            </w:pPr>
            <w:r>
              <w:rPr>
                <w:b/>
                <w:color w:val="FF0000"/>
              </w:rPr>
              <w:t xml:space="preserve">Färsk frukt</w:t>
            </w:r>
          </w:p>
        </w:tc>
        <w:tc>
          <w:tcPr>
            <w:tcW w:w="4675" w:type="dxa"/>
          </w:tcPr>
          <w:p w14:paraId="5DD24357" w14:textId="77777777" w:rsidR="000147DB" w:rsidRPr="00B972B3" w:rsidRDefault="000147DB" w:rsidP="000147DB">
            <w:pPr>
              <w:rPr>
                <w:b/>
                <w:color w:val="FF0000"/>
                <w:spacing w:val="-4"/>
              </w:rPr>
            </w:pPr>
            <w:r>
              <w:rPr>
                <w:b/>
                <w:color w:val="FF0000"/>
              </w:rPr>
              <w:t xml:space="preserve">Färska grönsaker</w:t>
            </w:r>
          </w:p>
        </w:tc>
      </w:tr>
      <w:tr w:rsidR="000147DB" w:rsidRPr="00B972B3" w14:paraId="544C3581" w14:textId="77777777" w:rsidTr="000147DB">
        <w:tc>
          <w:tcPr>
            <w:tcW w:w="4675" w:type="dxa"/>
          </w:tcPr>
          <w:p w14:paraId="2E157577" w14:textId="77777777" w:rsidR="000147DB" w:rsidRPr="00B972B3" w:rsidRDefault="000147DB" w:rsidP="000147DB">
            <w:pPr>
              <w:rPr>
                <w:color w:val="FF0000"/>
                <w:spacing w:val="-4"/>
              </w:rPr>
            </w:pPr>
            <w:r>
              <w:rPr>
                <w:color w:val="FF0000"/>
              </w:rPr>
              <w:t xml:space="preserve">Ananas</w:t>
            </w:r>
          </w:p>
        </w:tc>
        <w:tc>
          <w:tcPr>
            <w:tcW w:w="4675" w:type="dxa"/>
          </w:tcPr>
          <w:p w14:paraId="08482F53" w14:textId="77777777" w:rsidR="000147DB" w:rsidRPr="00B972B3" w:rsidRDefault="000147DB" w:rsidP="000147DB">
            <w:pPr>
              <w:rPr>
                <w:color w:val="FF0000"/>
                <w:spacing w:val="-4"/>
              </w:rPr>
            </w:pPr>
            <w:r>
              <w:rPr>
                <w:color w:val="FF0000"/>
              </w:rPr>
              <w:t xml:space="preserve">Vitlök</w:t>
            </w:r>
          </w:p>
        </w:tc>
      </w:tr>
      <w:tr w:rsidR="000147DB" w:rsidRPr="00B972B3" w14:paraId="679261B3" w14:textId="77777777" w:rsidTr="000147DB">
        <w:tc>
          <w:tcPr>
            <w:tcW w:w="4675" w:type="dxa"/>
          </w:tcPr>
          <w:p w14:paraId="0AAD721B" w14:textId="77777777" w:rsidR="000147DB" w:rsidRPr="00B972B3" w:rsidRDefault="000147DB" w:rsidP="000147DB">
            <w:pPr>
              <w:rPr>
                <w:color w:val="FF0000"/>
                <w:spacing w:val="-4"/>
              </w:rPr>
            </w:pPr>
            <w:r>
              <w:rPr>
                <w:color w:val="FF0000"/>
              </w:rPr>
              <w:t xml:space="preserve">Aprikos</w:t>
            </w:r>
          </w:p>
        </w:tc>
        <w:tc>
          <w:tcPr>
            <w:tcW w:w="4675" w:type="dxa"/>
          </w:tcPr>
          <w:p w14:paraId="3AFF19ED" w14:textId="77777777" w:rsidR="000147DB" w:rsidRPr="00B972B3" w:rsidRDefault="000147DB" w:rsidP="000147DB">
            <w:pPr>
              <w:rPr>
                <w:color w:val="FF0000"/>
                <w:spacing w:val="-4"/>
              </w:rPr>
            </w:pPr>
            <w:r>
              <w:rPr>
                <w:color w:val="FF0000"/>
              </w:rPr>
              <w:t xml:space="preserve">Kronärtskocka</w:t>
            </w:r>
          </w:p>
        </w:tc>
      </w:tr>
      <w:tr w:rsidR="000147DB" w:rsidRPr="00B972B3" w14:paraId="4B14EBBA" w14:textId="77777777" w:rsidTr="000147DB">
        <w:tc>
          <w:tcPr>
            <w:tcW w:w="4675" w:type="dxa"/>
          </w:tcPr>
          <w:p w14:paraId="75BB109A" w14:textId="77777777" w:rsidR="000147DB" w:rsidRPr="00B972B3" w:rsidRDefault="000147DB" w:rsidP="000147DB">
            <w:pPr>
              <w:rPr>
                <w:color w:val="FF0000"/>
                <w:spacing w:val="-4"/>
              </w:rPr>
            </w:pPr>
            <w:r>
              <w:rPr>
                <w:color w:val="FF0000"/>
              </w:rPr>
              <w:t xml:space="preserve">Avokado</w:t>
            </w:r>
            <w:r>
              <w:rPr>
                <w:color w:val="FF0000"/>
              </w:rPr>
              <w:t xml:space="preserve"> </w:t>
            </w:r>
          </w:p>
        </w:tc>
        <w:tc>
          <w:tcPr>
            <w:tcW w:w="4675" w:type="dxa"/>
          </w:tcPr>
          <w:p w14:paraId="2478D876" w14:textId="77777777" w:rsidR="000147DB" w:rsidRPr="00B972B3" w:rsidRDefault="000147DB" w:rsidP="000147DB">
            <w:pPr>
              <w:rPr>
                <w:color w:val="FF0000"/>
                <w:spacing w:val="-4"/>
              </w:rPr>
            </w:pPr>
            <w:r>
              <w:rPr>
                <w:color w:val="FF0000"/>
              </w:rPr>
              <w:t xml:space="preserve">Sparris</w:t>
            </w:r>
          </w:p>
        </w:tc>
      </w:tr>
      <w:tr w:rsidR="000147DB" w:rsidRPr="00B972B3" w14:paraId="2BDAEE70" w14:textId="77777777" w:rsidTr="000147DB">
        <w:tc>
          <w:tcPr>
            <w:tcW w:w="4675" w:type="dxa"/>
          </w:tcPr>
          <w:p w14:paraId="7CA415A2" w14:textId="77777777" w:rsidR="000147DB" w:rsidRPr="00B972B3" w:rsidRDefault="000147DB" w:rsidP="000147DB">
            <w:pPr>
              <w:rPr>
                <w:color w:val="FF0000"/>
                <w:spacing w:val="-4"/>
              </w:rPr>
            </w:pPr>
            <w:r>
              <w:rPr>
                <w:color w:val="FF0000"/>
              </w:rPr>
              <w:t xml:space="preserve">Banan</w:t>
            </w:r>
          </w:p>
        </w:tc>
        <w:tc>
          <w:tcPr>
            <w:tcW w:w="4675" w:type="dxa"/>
          </w:tcPr>
          <w:p w14:paraId="3DDEEA9A" w14:textId="77777777" w:rsidR="000147DB" w:rsidRPr="00B972B3" w:rsidRDefault="000147DB" w:rsidP="000147DB">
            <w:pPr>
              <w:rPr>
                <w:color w:val="FF0000"/>
                <w:spacing w:val="-4"/>
              </w:rPr>
            </w:pPr>
            <w:r>
              <w:rPr>
                <w:color w:val="FF0000"/>
              </w:rPr>
              <w:t xml:space="preserve">Aubergin</w:t>
            </w:r>
          </w:p>
        </w:tc>
      </w:tr>
      <w:tr w:rsidR="000147DB" w:rsidRPr="00B972B3" w14:paraId="10164EE1" w14:textId="77777777" w:rsidTr="000147DB">
        <w:tc>
          <w:tcPr>
            <w:tcW w:w="4675" w:type="dxa"/>
          </w:tcPr>
          <w:p w14:paraId="08FA0606" w14:textId="77777777" w:rsidR="000147DB" w:rsidRPr="00B972B3" w:rsidRDefault="000147DB" w:rsidP="000147DB">
            <w:pPr>
              <w:rPr>
                <w:color w:val="FF0000"/>
                <w:spacing w:val="-4"/>
              </w:rPr>
            </w:pPr>
            <w:r>
              <w:rPr>
                <w:color w:val="FF0000"/>
              </w:rPr>
              <w:t xml:space="preserve">Carambole</w:t>
            </w:r>
            <w:r>
              <w:rPr>
                <w:color w:val="FF0000"/>
              </w:rPr>
              <w:t xml:space="preserve"> </w:t>
            </w:r>
          </w:p>
        </w:tc>
        <w:tc>
          <w:tcPr>
            <w:tcW w:w="4675" w:type="dxa"/>
          </w:tcPr>
          <w:p w14:paraId="7AC5C4A8" w14:textId="77777777" w:rsidR="000147DB" w:rsidRPr="00B972B3" w:rsidRDefault="000147DB" w:rsidP="000147DB">
            <w:pPr>
              <w:rPr>
                <w:color w:val="FF0000"/>
                <w:spacing w:val="-4"/>
              </w:rPr>
            </w:pPr>
            <w:r>
              <w:rPr>
                <w:color w:val="FF0000"/>
              </w:rPr>
              <w:t xml:space="preserve">Beta</w:t>
            </w:r>
          </w:p>
        </w:tc>
      </w:tr>
      <w:tr w:rsidR="000147DB" w:rsidRPr="00B972B3" w14:paraId="4B8C13E0" w14:textId="77777777" w:rsidTr="000147DB">
        <w:tc>
          <w:tcPr>
            <w:tcW w:w="4675" w:type="dxa"/>
          </w:tcPr>
          <w:p w14:paraId="42DCCC4E" w14:textId="77777777" w:rsidR="000147DB" w:rsidRPr="00B972B3" w:rsidRDefault="000147DB" w:rsidP="000147DB">
            <w:pPr>
              <w:rPr>
                <w:color w:val="FF0000"/>
                <w:spacing w:val="-4"/>
              </w:rPr>
            </w:pPr>
            <w:r>
              <w:rPr>
                <w:color w:val="FF0000"/>
              </w:rPr>
              <w:t xml:space="preserve">Körsbär</w:t>
            </w:r>
          </w:p>
        </w:tc>
        <w:tc>
          <w:tcPr>
            <w:tcW w:w="4675" w:type="dxa"/>
          </w:tcPr>
          <w:p w14:paraId="2B969983" w14:textId="77777777" w:rsidR="000147DB" w:rsidRPr="00B972B3" w:rsidRDefault="000147DB" w:rsidP="000147DB">
            <w:pPr>
              <w:rPr>
                <w:color w:val="FF0000"/>
                <w:spacing w:val="-4"/>
              </w:rPr>
            </w:pPr>
            <w:r>
              <w:rPr>
                <w:color w:val="FF0000"/>
              </w:rPr>
              <w:t xml:space="preserve">Broccoli</w:t>
            </w:r>
            <w:r>
              <w:rPr>
                <w:color w:val="FF0000"/>
              </w:rPr>
              <w:t xml:space="preserve"> </w:t>
            </w:r>
          </w:p>
        </w:tc>
      </w:tr>
      <w:tr w:rsidR="000147DB" w:rsidRPr="00B972B3" w14:paraId="071FE714" w14:textId="77777777" w:rsidTr="000147DB">
        <w:tc>
          <w:tcPr>
            <w:tcW w:w="4675" w:type="dxa"/>
          </w:tcPr>
          <w:p w14:paraId="57E357AF" w14:textId="77777777" w:rsidR="000147DB" w:rsidRPr="00B972B3" w:rsidRDefault="000147DB" w:rsidP="000147DB">
            <w:pPr>
              <w:rPr>
                <w:color w:val="FF0000"/>
                <w:spacing w:val="-4"/>
              </w:rPr>
            </w:pPr>
            <w:r>
              <w:rPr>
                <w:color w:val="FF0000"/>
              </w:rPr>
              <w:t xml:space="preserve">Citron</w:t>
            </w:r>
          </w:p>
        </w:tc>
        <w:tc>
          <w:tcPr>
            <w:tcW w:w="4675" w:type="dxa"/>
          </w:tcPr>
          <w:p w14:paraId="47A7B036" w14:textId="77777777" w:rsidR="000147DB" w:rsidRPr="00B972B3" w:rsidRDefault="000147DB" w:rsidP="000147DB">
            <w:pPr>
              <w:rPr>
                <w:color w:val="FF0000"/>
                <w:spacing w:val="-4"/>
              </w:rPr>
            </w:pPr>
            <w:r>
              <w:rPr>
                <w:color w:val="FF0000"/>
              </w:rPr>
              <w:t xml:space="preserve">Morot</w:t>
            </w:r>
          </w:p>
        </w:tc>
      </w:tr>
      <w:tr w:rsidR="000147DB" w:rsidRPr="00B972B3" w14:paraId="28BA8A18" w14:textId="77777777" w:rsidTr="000147DB">
        <w:tc>
          <w:tcPr>
            <w:tcW w:w="4675" w:type="dxa"/>
          </w:tcPr>
          <w:p w14:paraId="6DF0AD79" w14:textId="77777777" w:rsidR="000147DB" w:rsidRPr="00B972B3" w:rsidRDefault="000147DB" w:rsidP="000147DB">
            <w:pPr>
              <w:rPr>
                <w:color w:val="FF0000"/>
                <w:spacing w:val="-4"/>
              </w:rPr>
            </w:pPr>
            <w:r>
              <w:rPr>
                <w:color w:val="FF0000"/>
              </w:rPr>
              <w:t xml:space="preserve">Limefrukt</w:t>
            </w:r>
          </w:p>
        </w:tc>
        <w:tc>
          <w:tcPr>
            <w:tcW w:w="4675" w:type="dxa"/>
          </w:tcPr>
          <w:p w14:paraId="453BF889" w14:textId="77777777" w:rsidR="000147DB" w:rsidRPr="00B972B3" w:rsidRDefault="000147DB" w:rsidP="000147DB">
            <w:pPr>
              <w:rPr>
                <w:color w:val="FF0000"/>
                <w:spacing w:val="-4"/>
              </w:rPr>
            </w:pPr>
            <w:r>
              <w:rPr>
                <w:color w:val="FF0000"/>
              </w:rPr>
              <w:t xml:space="preserve">Selleri</w:t>
            </w:r>
          </w:p>
        </w:tc>
      </w:tr>
      <w:tr w:rsidR="000147DB" w:rsidRPr="00B972B3" w14:paraId="31FC6842" w14:textId="77777777" w:rsidTr="000147DB">
        <w:tc>
          <w:tcPr>
            <w:tcW w:w="4675" w:type="dxa"/>
          </w:tcPr>
          <w:p w14:paraId="17508AE5" w14:textId="77777777" w:rsidR="000147DB" w:rsidRPr="00B972B3" w:rsidRDefault="000147DB" w:rsidP="000147DB">
            <w:pPr>
              <w:rPr>
                <w:color w:val="FF0000"/>
                <w:spacing w:val="-4"/>
              </w:rPr>
            </w:pPr>
            <w:r>
              <w:rPr>
                <w:color w:val="FF0000"/>
              </w:rPr>
              <w:t xml:space="preserve">Klementin</w:t>
            </w:r>
          </w:p>
        </w:tc>
        <w:tc>
          <w:tcPr>
            <w:tcW w:w="4675" w:type="dxa"/>
          </w:tcPr>
          <w:p w14:paraId="07ED344F" w14:textId="77777777" w:rsidR="000147DB" w:rsidRPr="00B972B3" w:rsidRDefault="000147DB" w:rsidP="000147DB">
            <w:pPr>
              <w:rPr>
                <w:color w:val="FF0000"/>
                <w:spacing w:val="-4"/>
                <w:lang w:val="fr-FR"/>
              </w:rPr>
            </w:pPr>
          </w:p>
        </w:tc>
      </w:tr>
      <w:tr w:rsidR="000147DB" w:rsidRPr="00B972B3" w14:paraId="6CB8CA75" w14:textId="77777777" w:rsidTr="000147DB">
        <w:tc>
          <w:tcPr>
            <w:tcW w:w="4675" w:type="dxa"/>
          </w:tcPr>
          <w:p w14:paraId="3B38703D" w14:textId="77777777" w:rsidR="000147DB" w:rsidRPr="00B972B3" w:rsidRDefault="000147DB" w:rsidP="000147DB">
            <w:pPr>
              <w:rPr>
                <w:color w:val="FF0000"/>
                <w:spacing w:val="-4"/>
              </w:rPr>
            </w:pPr>
            <w:r>
              <w:rPr>
                <w:color w:val="FF0000"/>
              </w:rPr>
              <w:t xml:space="preserve">Kvitten</w:t>
            </w:r>
          </w:p>
        </w:tc>
        <w:tc>
          <w:tcPr>
            <w:tcW w:w="4675" w:type="dxa"/>
          </w:tcPr>
          <w:p w14:paraId="7F3699D7" w14:textId="77777777" w:rsidR="000147DB" w:rsidRPr="00B972B3" w:rsidRDefault="000147DB" w:rsidP="000147DB">
            <w:pPr>
              <w:rPr>
                <w:color w:val="FF0000"/>
                <w:spacing w:val="-4"/>
              </w:rPr>
            </w:pPr>
            <w:r>
              <w:rPr>
                <w:color w:val="FF0000"/>
              </w:rPr>
              <w:t xml:space="preserve">Brysselkål</w:t>
            </w:r>
          </w:p>
        </w:tc>
      </w:tr>
      <w:tr w:rsidR="000147DB" w:rsidRPr="00B972B3" w14:paraId="33415833" w14:textId="77777777" w:rsidTr="000147DB">
        <w:tc>
          <w:tcPr>
            <w:tcW w:w="4675" w:type="dxa"/>
          </w:tcPr>
          <w:p w14:paraId="083BE65D" w14:textId="77777777" w:rsidR="000147DB" w:rsidRPr="00B972B3" w:rsidRDefault="000147DB" w:rsidP="000147DB">
            <w:pPr>
              <w:rPr>
                <w:color w:val="FF0000"/>
                <w:spacing w:val="-4"/>
              </w:rPr>
            </w:pPr>
            <w:r>
              <w:rPr>
                <w:color w:val="FF0000"/>
              </w:rPr>
              <w:t xml:space="preserve">Fikon</w:t>
            </w:r>
          </w:p>
        </w:tc>
        <w:tc>
          <w:tcPr>
            <w:tcW w:w="4675" w:type="dxa"/>
          </w:tcPr>
          <w:p w14:paraId="7D013B00" w14:textId="77777777" w:rsidR="000147DB" w:rsidRPr="00B972B3" w:rsidRDefault="000147DB" w:rsidP="000147DB">
            <w:pPr>
              <w:rPr>
                <w:color w:val="FF0000"/>
                <w:spacing w:val="-4"/>
              </w:rPr>
            </w:pPr>
            <w:r>
              <w:rPr>
                <w:color w:val="FF0000"/>
              </w:rPr>
              <w:t xml:space="preserve">Blomkål</w:t>
            </w:r>
            <w:r>
              <w:rPr>
                <w:color w:val="FF0000"/>
              </w:rPr>
              <w:t xml:space="preserve"> </w:t>
            </w:r>
          </w:p>
        </w:tc>
      </w:tr>
      <w:tr w:rsidR="000147DB" w:rsidRPr="00B972B3" w14:paraId="18ACD985" w14:textId="77777777" w:rsidTr="000147DB">
        <w:tc>
          <w:tcPr>
            <w:tcW w:w="4675" w:type="dxa"/>
          </w:tcPr>
          <w:p w14:paraId="6CE17743" w14:textId="77777777" w:rsidR="000147DB" w:rsidRPr="00B972B3" w:rsidRDefault="000147DB" w:rsidP="000147DB">
            <w:pPr>
              <w:rPr>
                <w:color w:val="FF0000"/>
                <w:spacing w:val="-4"/>
              </w:rPr>
            </w:pPr>
            <w:r>
              <w:rPr>
                <w:color w:val="FF0000"/>
              </w:rPr>
              <w:t xml:space="preserve">Passionsfrukt</w:t>
            </w:r>
          </w:p>
        </w:tc>
        <w:tc>
          <w:tcPr>
            <w:tcW w:w="4675" w:type="dxa"/>
          </w:tcPr>
          <w:p w14:paraId="20A94445" w14:textId="77777777" w:rsidR="000147DB" w:rsidRPr="00B972B3" w:rsidRDefault="000147DB" w:rsidP="000147DB">
            <w:pPr>
              <w:rPr>
                <w:color w:val="FF0000"/>
                <w:spacing w:val="-4"/>
              </w:rPr>
            </w:pPr>
            <w:r>
              <w:rPr>
                <w:color w:val="FF0000"/>
              </w:rPr>
              <w:t xml:space="preserve">Kålrabbi</w:t>
            </w:r>
            <w:r>
              <w:rPr>
                <w:color w:val="FF0000"/>
              </w:rPr>
              <w:t xml:space="preserve"> </w:t>
            </w:r>
          </w:p>
        </w:tc>
      </w:tr>
      <w:tr w:rsidR="000147DB" w:rsidRPr="00B972B3" w14:paraId="7A4B554F" w14:textId="77777777" w:rsidTr="000147DB">
        <w:tc>
          <w:tcPr>
            <w:tcW w:w="4675" w:type="dxa"/>
          </w:tcPr>
          <w:p w14:paraId="3A217D9C" w14:textId="77777777" w:rsidR="000147DB" w:rsidRPr="00B972B3" w:rsidRDefault="000147DB" w:rsidP="000147DB">
            <w:pPr>
              <w:rPr>
                <w:color w:val="FF0000"/>
                <w:spacing w:val="-4"/>
              </w:rPr>
            </w:pPr>
            <w:r>
              <w:rPr>
                <w:color w:val="FF0000"/>
              </w:rPr>
              <w:t xml:space="preserve">Guava</w:t>
            </w:r>
            <w:r>
              <w:rPr>
                <w:color w:val="FF0000"/>
              </w:rPr>
              <w:t xml:space="preserve"> </w:t>
            </w:r>
          </w:p>
        </w:tc>
        <w:tc>
          <w:tcPr>
            <w:tcW w:w="4675" w:type="dxa"/>
          </w:tcPr>
          <w:p w14:paraId="31DCAFA7" w14:textId="77777777" w:rsidR="000147DB" w:rsidRPr="00B972B3" w:rsidRDefault="000147DB" w:rsidP="000147DB">
            <w:pPr>
              <w:rPr>
                <w:color w:val="FF0000"/>
                <w:spacing w:val="-4"/>
              </w:rPr>
            </w:pPr>
            <w:r>
              <w:rPr>
                <w:color w:val="FF0000"/>
              </w:rPr>
              <w:t xml:space="preserve">Rödkål</w:t>
            </w:r>
          </w:p>
        </w:tc>
      </w:tr>
      <w:tr w:rsidR="000147DB" w:rsidRPr="00B972B3" w14:paraId="46EAAB4B" w14:textId="77777777" w:rsidTr="000147DB">
        <w:tc>
          <w:tcPr>
            <w:tcW w:w="4675" w:type="dxa"/>
          </w:tcPr>
          <w:p w14:paraId="3714A805" w14:textId="77777777" w:rsidR="000147DB" w:rsidRPr="00B972B3" w:rsidRDefault="000147DB" w:rsidP="000147DB">
            <w:pPr>
              <w:rPr>
                <w:color w:val="FF0000"/>
                <w:spacing w:val="-4"/>
              </w:rPr>
            </w:pPr>
            <w:r>
              <w:rPr>
                <w:color w:val="FF0000"/>
              </w:rPr>
              <w:t xml:space="preserve">Granatäpple</w:t>
            </w:r>
            <w:r>
              <w:rPr>
                <w:color w:val="FF0000"/>
              </w:rPr>
              <w:t xml:space="preserve"> </w:t>
            </w:r>
          </w:p>
        </w:tc>
        <w:tc>
          <w:tcPr>
            <w:tcW w:w="4675" w:type="dxa"/>
          </w:tcPr>
          <w:p w14:paraId="2E7E8615" w14:textId="77777777" w:rsidR="000147DB" w:rsidRPr="00B972B3" w:rsidRDefault="000147DB" w:rsidP="000147DB">
            <w:pPr>
              <w:rPr>
                <w:color w:val="FF0000"/>
                <w:spacing w:val="-4"/>
              </w:rPr>
            </w:pPr>
            <w:r>
              <w:rPr>
                <w:color w:val="FF0000"/>
              </w:rPr>
              <w:t xml:space="preserve">Grönkål</w:t>
            </w:r>
          </w:p>
        </w:tc>
      </w:tr>
      <w:tr w:rsidR="000147DB" w:rsidRPr="00B972B3" w14:paraId="4A8B4910" w14:textId="77777777" w:rsidTr="000147DB">
        <w:tc>
          <w:tcPr>
            <w:tcW w:w="4675" w:type="dxa"/>
          </w:tcPr>
          <w:p w14:paraId="33BA4A04" w14:textId="77777777" w:rsidR="000147DB" w:rsidRPr="00B972B3" w:rsidRDefault="000147DB" w:rsidP="000147DB">
            <w:pPr>
              <w:rPr>
                <w:color w:val="FF0000"/>
                <w:spacing w:val="-4"/>
              </w:rPr>
            </w:pPr>
            <w:r>
              <w:rPr>
                <w:color w:val="FF0000"/>
              </w:rPr>
              <w:t xml:space="preserve">Kiwi</w:t>
            </w:r>
          </w:p>
        </w:tc>
        <w:tc>
          <w:tcPr>
            <w:tcW w:w="4675" w:type="dxa"/>
          </w:tcPr>
          <w:p w14:paraId="0CB65944" w14:textId="77777777" w:rsidR="000147DB" w:rsidRPr="00B972B3" w:rsidRDefault="000147DB" w:rsidP="000147DB">
            <w:pPr>
              <w:rPr>
                <w:color w:val="FF0000"/>
                <w:spacing w:val="-4"/>
              </w:rPr>
            </w:pPr>
            <w:r>
              <w:rPr>
                <w:color w:val="FF0000"/>
              </w:rPr>
              <w:t xml:space="preserve">Gurka</w:t>
            </w:r>
          </w:p>
        </w:tc>
      </w:tr>
      <w:tr w:rsidR="000147DB" w:rsidRPr="00B972B3" w14:paraId="13ADB47D" w14:textId="77777777" w:rsidTr="000147DB">
        <w:tc>
          <w:tcPr>
            <w:tcW w:w="4675" w:type="dxa"/>
          </w:tcPr>
          <w:p w14:paraId="5C7ECFF7" w14:textId="77777777" w:rsidR="000147DB" w:rsidRPr="00B972B3" w:rsidRDefault="000147DB" w:rsidP="000147DB">
            <w:pPr>
              <w:rPr>
                <w:color w:val="FF0000"/>
                <w:spacing w:val="-4"/>
              </w:rPr>
            </w:pPr>
            <w:r>
              <w:rPr>
                <w:color w:val="FF0000"/>
              </w:rPr>
              <w:t xml:space="preserve">Litchiplommon</w:t>
            </w:r>
          </w:p>
        </w:tc>
        <w:tc>
          <w:tcPr>
            <w:tcW w:w="4675" w:type="dxa"/>
          </w:tcPr>
          <w:p w14:paraId="07FD18D1" w14:textId="77777777" w:rsidR="000147DB" w:rsidRPr="00B972B3" w:rsidRDefault="000147DB" w:rsidP="000147DB">
            <w:pPr>
              <w:rPr>
                <w:color w:val="FF0000"/>
                <w:spacing w:val="-4"/>
              </w:rPr>
            </w:pPr>
            <w:r>
              <w:rPr>
                <w:color w:val="FF0000"/>
              </w:rPr>
              <w:t xml:space="preserve">Pumpa</w:t>
            </w:r>
          </w:p>
        </w:tc>
      </w:tr>
      <w:tr w:rsidR="000147DB" w:rsidRPr="00B972B3" w14:paraId="5BF61E7B" w14:textId="77777777" w:rsidTr="000147DB">
        <w:tc>
          <w:tcPr>
            <w:tcW w:w="4675" w:type="dxa"/>
          </w:tcPr>
          <w:p w14:paraId="09F1D97C" w14:textId="77777777" w:rsidR="000147DB" w:rsidRPr="00B972B3" w:rsidRDefault="000147DB" w:rsidP="000147DB">
            <w:pPr>
              <w:rPr>
                <w:color w:val="FF0000"/>
                <w:spacing w:val="-4"/>
              </w:rPr>
            </w:pPr>
            <w:r>
              <w:rPr>
                <w:color w:val="FF0000"/>
              </w:rPr>
              <w:t xml:space="preserve">Mandarin</w:t>
            </w:r>
          </w:p>
        </w:tc>
        <w:tc>
          <w:tcPr>
            <w:tcW w:w="4675" w:type="dxa"/>
          </w:tcPr>
          <w:p w14:paraId="1E3114C2" w14:textId="77777777" w:rsidR="000147DB" w:rsidRPr="00B972B3" w:rsidRDefault="000147DB" w:rsidP="000147DB">
            <w:pPr>
              <w:rPr>
                <w:color w:val="FF0000"/>
                <w:spacing w:val="-4"/>
              </w:rPr>
            </w:pPr>
            <w:r>
              <w:rPr>
                <w:color w:val="FF0000"/>
              </w:rPr>
              <w:t xml:space="preserve">Zucchini</w:t>
            </w:r>
            <w:r>
              <w:rPr>
                <w:color w:val="FF0000"/>
              </w:rPr>
              <w:t xml:space="preserve"> </w:t>
            </w:r>
          </w:p>
        </w:tc>
      </w:tr>
      <w:tr w:rsidR="000147DB" w:rsidRPr="00B972B3" w14:paraId="058BE4ED" w14:textId="77777777" w:rsidTr="000147DB">
        <w:tc>
          <w:tcPr>
            <w:tcW w:w="4675" w:type="dxa"/>
          </w:tcPr>
          <w:p w14:paraId="0BFC43E1" w14:textId="77777777" w:rsidR="000147DB" w:rsidRPr="00B972B3" w:rsidRDefault="000147DB" w:rsidP="000147DB">
            <w:pPr>
              <w:rPr>
                <w:color w:val="FF0000"/>
                <w:spacing w:val="-4"/>
              </w:rPr>
            </w:pPr>
            <w:r>
              <w:rPr>
                <w:color w:val="FF0000"/>
              </w:rPr>
              <w:t xml:space="preserve">Mango</w:t>
            </w:r>
          </w:p>
        </w:tc>
        <w:tc>
          <w:tcPr>
            <w:tcW w:w="4675" w:type="dxa"/>
          </w:tcPr>
          <w:p w14:paraId="67C4D77E" w14:textId="77777777" w:rsidR="000147DB" w:rsidRPr="00B972B3" w:rsidRDefault="000147DB" w:rsidP="000147DB">
            <w:pPr>
              <w:rPr>
                <w:color w:val="FF0000"/>
                <w:spacing w:val="-4"/>
              </w:rPr>
            </w:pPr>
            <w:r>
              <w:rPr>
                <w:color w:val="FF0000"/>
              </w:rPr>
              <w:t xml:space="preserve">Böna</w:t>
            </w:r>
            <w:r>
              <w:rPr>
                <w:color w:val="FF0000"/>
              </w:rPr>
              <w:t xml:space="preserve"> </w:t>
            </w:r>
          </w:p>
        </w:tc>
      </w:tr>
      <w:tr w:rsidR="000147DB" w:rsidRPr="00B972B3" w14:paraId="66E9EB65" w14:textId="77777777" w:rsidTr="000147DB">
        <w:tc>
          <w:tcPr>
            <w:tcW w:w="4675" w:type="dxa"/>
          </w:tcPr>
          <w:p w14:paraId="62DA1E01" w14:textId="77777777" w:rsidR="000147DB" w:rsidRPr="00B972B3" w:rsidRDefault="000147DB" w:rsidP="000147DB">
            <w:pPr>
              <w:rPr>
                <w:color w:val="FF0000"/>
                <w:spacing w:val="-4"/>
              </w:rPr>
            </w:pPr>
            <w:r>
              <w:rPr>
                <w:color w:val="FF0000"/>
              </w:rPr>
              <w:t xml:space="preserve">Melon</w:t>
            </w:r>
          </w:p>
        </w:tc>
        <w:tc>
          <w:tcPr>
            <w:tcW w:w="4675" w:type="dxa"/>
          </w:tcPr>
          <w:p w14:paraId="64BDF842" w14:textId="77777777" w:rsidR="000147DB" w:rsidRPr="00B972B3" w:rsidRDefault="000147DB" w:rsidP="000147DB">
            <w:pPr>
              <w:rPr>
                <w:color w:val="FF0000"/>
                <w:spacing w:val="-4"/>
              </w:rPr>
            </w:pPr>
            <w:r>
              <w:rPr>
                <w:color w:val="FF0000"/>
              </w:rPr>
              <w:t xml:space="preserve">Endiv</w:t>
            </w:r>
          </w:p>
        </w:tc>
      </w:tr>
      <w:tr w:rsidR="000147DB" w:rsidRPr="00B972B3" w14:paraId="44E6EB14" w14:textId="77777777" w:rsidTr="000147DB">
        <w:tc>
          <w:tcPr>
            <w:tcW w:w="4675" w:type="dxa"/>
          </w:tcPr>
          <w:p w14:paraId="36F85F5A" w14:textId="77777777" w:rsidR="000147DB" w:rsidRPr="00B972B3" w:rsidRDefault="000147DB" w:rsidP="000147DB">
            <w:pPr>
              <w:rPr>
                <w:color w:val="FF0000"/>
                <w:spacing w:val="-4"/>
              </w:rPr>
            </w:pPr>
            <w:r>
              <w:rPr>
                <w:color w:val="FF0000"/>
              </w:rPr>
              <w:t xml:space="preserve">Mirabell</w:t>
            </w:r>
          </w:p>
        </w:tc>
        <w:tc>
          <w:tcPr>
            <w:tcW w:w="4675" w:type="dxa"/>
          </w:tcPr>
          <w:p w14:paraId="716EDB7B" w14:textId="77777777" w:rsidR="000147DB" w:rsidRPr="00B972B3" w:rsidRDefault="000147DB" w:rsidP="000147DB">
            <w:pPr>
              <w:rPr>
                <w:color w:val="FF0000"/>
                <w:spacing w:val="-4"/>
              </w:rPr>
            </w:pPr>
            <w:r>
              <w:rPr>
                <w:color w:val="FF0000"/>
              </w:rPr>
              <w:t xml:space="preserve">Fänkål</w:t>
            </w:r>
          </w:p>
        </w:tc>
      </w:tr>
      <w:tr w:rsidR="000147DB" w:rsidRPr="00B972B3" w14:paraId="4F4FE624" w14:textId="77777777" w:rsidTr="000147DB">
        <w:tc>
          <w:tcPr>
            <w:tcW w:w="4675" w:type="dxa"/>
          </w:tcPr>
          <w:p w14:paraId="69D53F98" w14:textId="77777777" w:rsidR="000147DB" w:rsidRPr="00B972B3" w:rsidRDefault="000147DB" w:rsidP="000147DB">
            <w:pPr>
              <w:rPr>
                <w:color w:val="FF0000"/>
                <w:spacing w:val="-4"/>
              </w:rPr>
            </w:pPr>
            <w:r>
              <w:rPr>
                <w:color w:val="FF0000"/>
              </w:rPr>
              <w:t xml:space="preserve">Nektarin</w:t>
            </w:r>
          </w:p>
        </w:tc>
        <w:tc>
          <w:tcPr>
            <w:tcW w:w="4675" w:type="dxa"/>
          </w:tcPr>
          <w:p w14:paraId="34F5A88D" w14:textId="77777777" w:rsidR="000147DB" w:rsidRPr="00B972B3" w:rsidRDefault="000147DB" w:rsidP="000147DB">
            <w:pPr>
              <w:rPr>
                <w:color w:val="FF0000"/>
                <w:spacing w:val="-4"/>
              </w:rPr>
            </w:pPr>
            <w:r>
              <w:rPr>
                <w:color w:val="FF0000"/>
              </w:rPr>
              <w:t xml:space="preserve">Majs</w:t>
            </w:r>
          </w:p>
        </w:tc>
      </w:tr>
      <w:tr w:rsidR="000147DB" w:rsidRPr="00B972B3" w14:paraId="3240DCA5" w14:textId="77777777" w:rsidTr="000147DB">
        <w:tc>
          <w:tcPr>
            <w:tcW w:w="4675" w:type="dxa"/>
          </w:tcPr>
          <w:p w14:paraId="473CC067" w14:textId="77777777" w:rsidR="000147DB" w:rsidRPr="00B972B3" w:rsidRDefault="000147DB" w:rsidP="000147DB">
            <w:pPr>
              <w:rPr>
                <w:color w:val="FF0000"/>
                <w:spacing w:val="-4"/>
              </w:rPr>
            </w:pPr>
            <w:r>
              <w:rPr>
                <w:color w:val="FF0000"/>
              </w:rPr>
              <w:t xml:space="preserve">Apelsin</w:t>
            </w:r>
          </w:p>
        </w:tc>
        <w:tc>
          <w:tcPr>
            <w:tcW w:w="4675" w:type="dxa"/>
          </w:tcPr>
          <w:p w14:paraId="00AE1AA5" w14:textId="77777777" w:rsidR="000147DB" w:rsidRPr="00B972B3" w:rsidRDefault="000147DB" w:rsidP="000147DB">
            <w:pPr>
              <w:rPr>
                <w:color w:val="FF0000"/>
                <w:spacing w:val="-4"/>
              </w:rPr>
            </w:pPr>
            <w:r>
              <w:rPr>
                <w:color w:val="FF0000"/>
              </w:rPr>
              <w:t xml:space="preserve">Rova</w:t>
            </w:r>
          </w:p>
        </w:tc>
      </w:tr>
      <w:tr w:rsidR="000147DB" w:rsidRPr="00B972B3" w14:paraId="30DFD560" w14:textId="77777777" w:rsidTr="000147DB">
        <w:tc>
          <w:tcPr>
            <w:tcW w:w="4675" w:type="dxa"/>
          </w:tcPr>
          <w:p w14:paraId="7D5D8253" w14:textId="77777777" w:rsidR="000147DB" w:rsidRPr="00B972B3" w:rsidRDefault="000147DB" w:rsidP="000147DB">
            <w:pPr>
              <w:rPr>
                <w:color w:val="FF0000"/>
                <w:spacing w:val="-4"/>
              </w:rPr>
            </w:pPr>
            <w:r>
              <w:rPr>
                <w:color w:val="FF0000"/>
              </w:rPr>
              <w:t xml:space="preserve">Papaya</w:t>
            </w:r>
          </w:p>
        </w:tc>
        <w:tc>
          <w:tcPr>
            <w:tcW w:w="4675" w:type="dxa"/>
          </w:tcPr>
          <w:p w14:paraId="075DB470" w14:textId="77777777" w:rsidR="000147DB" w:rsidRPr="00B972B3" w:rsidRDefault="000147DB" w:rsidP="000147DB">
            <w:pPr>
              <w:rPr>
                <w:color w:val="FF0000"/>
                <w:spacing w:val="-4"/>
              </w:rPr>
            </w:pPr>
            <w:r>
              <w:rPr>
                <w:color w:val="FF0000"/>
              </w:rPr>
              <w:t xml:space="preserve">Lök</w:t>
            </w:r>
          </w:p>
        </w:tc>
      </w:tr>
      <w:tr w:rsidR="000147DB" w:rsidRPr="00B972B3" w14:paraId="115E4F3A" w14:textId="77777777" w:rsidTr="000147DB">
        <w:tc>
          <w:tcPr>
            <w:tcW w:w="4675" w:type="dxa"/>
          </w:tcPr>
          <w:p w14:paraId="16098F8E" w14:textId="77777777" w:rsidR="000147DB" w:rsidRPr="00B972B3" w:rsidRDefault="000147DB" w:rsidP="000147DB">
            <w:pPr>
              <w:rPr>
                <w:color w:val="FF0000"/>
                <w:spacing w:val="-4"/>
                <w:lang w:val="fr-FR"/>
              </w:rPr>
            </w:pPr>
          </w:p>
        </w:tc>
        <w:tc>
          <w:tcPr>
            <w:tcW w:w="4675" w:type="dxa"/>
          </w:tcPr>
          <w:p w14:paraId="07D4FF99" w14:textId="77777777" w:rsidR="000147DB" w:rsidRPr="00B972B3" w:rsidRDefault="000147DB" w:rsidP="000147DB">
            <w:pPr>
              <w:rPr>
                <w:color w:val="FF0000"/>
                <w:spacing w:val="-4"/>
              </w:rPr>
            </w:pPr>
            <w:r>
              <w:rPr>
                <w:color w:val="FF0000"/>
              </w:rPr>
              <w:t xml:space="preserve">Purjolök</w:t>
            </w:r>
          </w:p>
        </w:tc>
      </w:tr>
      <w:tr w:rsidR="000147DB" w:rsidRPr="00B972B3" w14:paraId="09F7F61C" w14:textId="77777777" w:rsidTr="000147DB">
        <w:tc>
          <w:tcPr>
            <w:tcW w:w="4675" w:type="dxa"/>
          </w:tcPr>
          <w:p w14:paraId="6A1211D9" w14:textId="77777777" w:rsidR="000147DB" w:rsidRPr="00B972B3" w:rsidRDefault="000147DB" w:rsidP="000147DB">
            <w:pPr>
              <w:rPr>
                <w:color w:val="FF0000"/>
                <w:spacing w:val="-4"/>
              </w:rPr>
            </w:pPr>
            <w:r>
              <w:rPr>
                <w:color w:val="FF0000"/>
              </w:rPr>
              <w:t xml:space="preserve">Persika</w:t>
            </w:r>
          </w:p>
        </w:tc>
        <w:tc>
          <w:tcPr>
            <w:tcW w:w="4675" w:type="dxa"/>
          </w:tcPr>
          <w:p w14:paraId="5243B15C" w14:textId="77777777" w:rsidR="000147DB" w:rsidRPr="00B972B3" w:rsidRDefault="000147DB" w:rsidP="000147DB">
            <w:pPr>
              <w:rPr>
                <w:color w:val="FF0000"/>
                <w:spacing w:val="-4"/>
              </w:rPr>
            </w:pPr>
            <w:r>
              <w:rPr>
                <w:color w:val="FF0000"/>
              </w:rPr>
              <w:t xml:space="preserve">Paprika</w:t>
            </w:r>
          </w:p>
        </w:tc>
      </w:tr>
      <w:tr w:rsidR="000147DB" w:rsidRPr="00B972B3" w14:paraId="6832B4B9" w14:textId="77777777" w:rsidTr="000147DB">
        <w:tc>
          <w:tcPr>
            <w:tcW w:w="4675" w:type="dxa"/>
          </w:tcPr>
          <w:p w14:paraId="08A941EE" w14:textId="77777777" w:rsidR="000147DB" w:rsidRPr="00B972B3" w:rsidRDefault="000147DB" w:rsidP="000147DB">
            <w:pPr>
              <w:rPr>
                <w:color w:val="FF0000"/>
                <w:spacing w:val="-4"/>
              </w:rPr>
            </w:pPr>
            <w:r>
              <w:rPr>
                <w:color w:val="FF0000"/>
              </w:rPr>
              <w:t xml:space="preserve">Kapkrusbär</w:t>
            </w:r>
          </w:p>
        </w:tc>
        <w:tc>
          <w:tcPr>
            <w:tcW w:w="4675" w:type="dxa"/>
          </w:tcPr>
          <w:p w14:paraId="6052EBF3" w14:textId="77777777" w:rsidR="000147DB" w:rsidRPr="00B972B3" w:rsidRDefault="000147DB" w:rsidP="000147DB">
            <w:pPr>
              <w:rPr>
                <w:color w:val="FF0000"/>
                <w:spacing w:val="-4"/>
              </w:rPr>
            </w:pPr>
            <w:r>
              <w:rPr>
                <w:color w:val="FF0000"/>
              </w:rPr>
              <w:t xml:space="preserve">Potatis</w:t>
            </w:r>
          </w:p>
        </w:tc>
      </w:tr>
      <w:tr w:rsidR="000147DB" w:rsidRPr="00B972B3" w14:paraId="4F617AD6" w14:textId="77777777" w:rsidTr="000147DB">
        <w:tc>
          <w:tcPr>
            <w:tcW w:w="4675" w:type="dxa"/>
          </w:tcPr>
          <w:p w14:paraId="7C4C092D" w14:textId="77777777" w:rsidR="000147DB" w:rsidRPr="00B972B3" w:rsidRDefault="000147DB" w:rsidP="000147DB">
            <w:pPr>
              <w:rPr>
                <w:color w:val="FF0000"/>
                <w:spacing w:val="-4"/>
              </w:rPr>
            </w:pPr>
            <w:r>
              <w:rPr>
                <w:color w:val="FF0000"/>
              </w:rPr>
              <w:t xml:space="preserve">Drakfrukt</w:t>
            </w:r>
          </w:p>
        </w:tc>
        <w:tc>
          <w:tcPr>
            <w:tcW w:w="4675" w:type="dxa"/>
          </w:tcPr>
          <w:p w14:paraId="0C08F9BD" w14:textId="77777777" w:rsidR="000147DB" w:rsidRPr="00B972B3" w:rsidRDefault="000147DB" w:rsidP="000147DB">
            <w:pPr>
              <w:rPr>
                <w:color w:val="FF0000"/>
                <w:spacing w:val="-4"/>
              </w:rPr>
            </w:pPr>
            <w:r>
              <w:rPr>
                <w:color w:val="FF0000"/>
              </w:rPr>
              <w:t xml:space="preserve">Jättepumpa</w:t>
            </w:r>
          </w:p>
        </w:tc>
      </w:tr>
      <w:tr w:rsidR="000147DB" w:rsidRPr="00B972B3" w14:paraId="1FEFBA7A" w14:textId="77777777" w:rsidTr="000147DB">
        <w:tc>
          <w:tcPr>
            <w:tcW w:w="4675" w:type="dxa"/>
          </w:tcPr>
          <w:p w14:paraId="69B23FE7" w14:textId="77777777" w:rsidR="000147DB" w:rsidRPr="00B972B3" w:rsidRDefault="000147DB" w:rsidP="000147DB">
            <w:pPr>
              <w:rPr>
                <w:color w:val="FF0000"/>
                <w:spacing w:val="-4"/>
              </w:rPr>
            </w:pPr>
            <w:r>
              <w:rPr>
                <w:color w:val="FF0000"/>
              </w:rPr>
              <w:t xml:space="preserve">Persimon</w:t>
            </w:r>
          </w:p>
        </w:tc>
        <w:tc>
          <w:tcPr>
            <w:tcW w:w="4675" w:type="dxa"/>
          </w:tcPr>
          <w:p w14:paraId="764A6ACA" w14:textId="77777777" w:rsidR="000147DB" w:rsidRPr="00B972B3" w:rsidRDefault="000147DB" w:rsidP="000147DB">
            <w:pPr>
              <w:rPr>
                <w:color w:val="FF0000"/>
                <w:spacing w:val="-4"/>
              </w:rPr>
            </w:pPr>
            <w:r>
              <w:rPr>
                <w:color w:val="FF0000"/>
              </w:rPr>
              <w:t xml:space="preserve">Rädisa</w:t>
            </w:r>
            <w:r>
              <w:rPr>
                <w:color w:val="FF0000"/>
              </w:rPr>
              <w:t xml:space="preserve"> </w:t>
            </w:r>
          </w:p>
        </w:tc>
      </w:tr>
      <w:tr w:rsidR="000147DB" w:rsidRPr="00B972B3" w14:paraId="11407E0D" w14:textId="77777777" w:rsidTr="000147DB">
        <w:tc>
          <w:tcPr>
            <w:tcW w:w="4675" w:type="dxa"/>
          </w:tcPr>
          <w:p w14:paraId="4AD18DCC" w14:textId="77777777" w:rsidR="000147DB" w:rsidRPr="00B972B3" w:rsidRDefault="000147DB" w:rsidP="000147DB">
            <w:pPr>
              <w:rPr>
                <w:color w:val="FF0000"/>
                <w:spacing w:val="-4"/>
              </w:rPr>
            </w:pPr>
            <w:r>
              <w:rPr>
                <w:color w:val="FF0000"/>
              </w:rPr>
              <w:t xml:space="preserve">Päron</w:t>
            </w:r>
          </w:p>
        </w:tc>
        <w:tc>
          <w:tcPr>
            <w:tcW w:w="4675" w:type="dxa"/>
          </w:tcPr>
          <w:p w14:paraId="64399CC8" w14:textId="77777777" w:rsidR="000147DB" w:rsidRPr="00B972B3" w:rsidRDefault="000147DB" w:rsidP="000147DB">
            <w:pPr>
              <w:rPr>
                <w:color w:val="FF0000"/>
                <w:spacing w:val="-4"/>
              </w:rPr>
            </w:pPr>
            <w:r>
              <w:rPr>
                <w:color w:val="FF0000"/>
              </w:rPr>
              <w:t xml:space="preserve">Rabarber</w:t>
            </w:r>
            <w:r>
              <w:rPr>
                <w:color w:val="FF0000"/>
              </w:rPr>
              <w:t xml:space="preserve"> </w:t>
            </w:r>
          </w:p>
        </w:tc>
      </w:tr>
      <w:tr w:rsidR="000147DB" w:rsidRPr="00B972B3" w14:paraId="32260AF1" w14:textId="77777777" w:rsidTr="000147DB">
        <w:tc>
          <w:tcPr>
            <w:tcW w:w="4675" w:type="dxa"/>
          </w:tcPr>
          <w:p w14:paraId="72306095" w14:textId="77777777" w:rsidR="000147DB" w:rsidRPr="00B972B3" w:rsidRDefault="000147DB" w:rsidP="000147DB">
            <w:pPr>
              <w:rPr>
                <w:color w:val="FF0000"/>
                <w:spacing w:val="-4"/>
              </w:rPr>
            </w:pPr>
            <w:r>
              <w:rPr>
                <w:color w:val="FF0000"/>
              </w:rPr>
              <w:t xml:space="preserve">Grapefrukt</w:t>
            </w:r>
          </w:p>
        </w:tc>
        <w:tc>
          <w:tcPr>
            <w:tcW w:w="4675" w:type="dxa"/>
          </w:tcPr>
          <w:p w14:paraId="44F6263F" w14:textId="77777777" w:rsidR="000147DB" w:rsidRPr="00B972B3" w:rsidRDefault="000147DB" w:rsidP="000147DB">
            <w:pPr>
              <w:rPr>
                <w:color w:val="FF0000"/>
                <w:spacing w:val="-4"/>
              </w:rPr>
            </w:pPr>
            <w:r>
              <w:rPr>
                <w:color w:val="FF0000"/>
              </w:rPr>
              <w:t xml:space="preserve">Tomat</w:t>
            </w:r>
          </w:p>
        </w:tc>
      </w:tr>
      <w:tr w:rsidR="000147DB" w:rsidRPr="00B972B3" w14:paraId="4EB16200" w14:textId="77777777" w:rsidTr="000147DB">
        <w:tc>
          <w:tcPr>
            <w:tcW w:w="4675" w:type="dxa"/>
          </w:tcPr>
          <w:p w14:paraId="787E8109" w14:textId="77777777" w:rsidR="000147DB" w:rsidRPr="00B972B3" w:rsidRDefault="000147DB" w:rsidP="000147DB">
            <w:pPr>
              <w:rPr>
                <w:color w:val="FF0000"/>
                <w:spacing w:val="-4"/>
              </w:rPr>
            </w:pPr>
            <w:r>
              <w:rPr>
                <w:color w:val="FF0000"/>
              </w:rPr>
              <w:t xml:space="preserve">Äpple</w:t>
            </w:r>
          </w:p>
        </w:tc>
        <w:tc>
          <w:tcPr>
            <w:tcW w:w="4675" w:type="dxa"/>
          </w:tcPr>
          <w:p w14:paraId="28292D08" w14:textId="77777777" w:rsidR="000147DB" w:rsidRPr="00B972B3" w:rsidRDefault="000147DB" w:rsidP="000147DB">
            <w:pPr>
              <w:rPr>
                <w:color w:val="FF0000"/>
                <w:spacing w:val="-4"/>
                <w:lang w:val="fr-FR"/>
              </w:rPr>
            </w:pPr>
          </w:p>
        </w:tc>
      </w:tr>
      <w:tr w:rsidR="000147DB" w:rsidRPr="00B972B3" w14:paraId="22A6C632" w14:textId="77777777" w:rsidTr="000147DB">
        <w:tc>
          <w:tcPr>
            <w:tcW w:w="4675" w:type="dxa"/>
          </w:tcPr>
          <w:p w14:paraId="06096887" w14:textId="77777777" w:rsidR="000147DB" w:rsidRPr="00B972B3" w:rsidRDefault="000147DB" w:rsidP="000147DB">
            <w:pPr>
              <w:rPr>
                <w:color w:val="FF0000"/>
                <w:spacing w:val="-4"/>
              </w:rPr>
            </w:pPr>
            <w:r>
              <w:rPr>
                <w:color w:val="FF0000"/>
              </w:rPr>
              <w:t xml:space="preserve">Plommon</w:t>
            </w:r>
          </w:p>
        </w:tc>
        <w:tc>
          <w:tcPr>
            <w:tcW w:w="4675" w:type="dxa"/>
          </w:tcPr>
          <w:p w14:paraId="31FBC44F" w14:textId="77777777" w:rsidR="000147DB" w:rsidRPr="00B972B3" w:rsidRDefault="000147DB" w:rsidP="000147DB">
            <w:pPr>
              <w:rPr>
                <w:color w:val="FF0000"/>
                <w:spacing w:val="-4"/>
                <w:lang w:val="fr-FR"/>
              </w:rPr>
            </w:pPr>
          </w:p>
        </w:tc>
      </w:tr>
      <w:tr w:rsidR="000147DB" w:rsidRPr="00B972B3" w14:paraId="03FEA02E" w14:textId="77777777" w:rsidTr="000147DB">
        <w:tc>
          <w:tcPr>
            <w:tcW w:w="4675" w:type="dxa"/>
          </w:tcPr>
          <w:p w14:paraId="730E282E" w14:textId="77777777" w:rsidR="000147DB" w:rsidRPr="00B972B3" w:rsidRDefault="000147DB" w:rsidP="000147DB">
            <w:pPr>
              <w:rPr>
                <w:color w:val="FF0000"/>
                <w:spacing w:val="-4"/>
              </w:rPr>
            </w:pPr>
            <w:r>
              <w:rPr>
                <w:color w:val="FF0000"/>
              </w:rPr>
              <w:t xml:space="preserve">Druva</w:t>
            </w:r>
          </w:p>
        </w:tc>
        <w:tc>
          <w:tcPr>
            <w:tcW w:w="4675" w:type="dxa"/>
          </w:tcPr>
          <w:p w14:paraId="01285983" w14:textId="77777777" w:rsidR="000147DB" w:rsidRPr="00B972B3" w:rsidRDefault="000147DB" w:rsidP="000147DB">
            <w:pPr>
              <w:rPr>
                <w:color w:val="FF0000"/>
                <w:spacing w:val="-4"/>
                <w:lang w:val="fr-FR"/>
              </w:rPr>
            </w:pPr>
          </w:p>
        </w:tc>
      </w:tr>
    </w:tbl>
    <w:p w14:paraId="5A53B0EB"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57B71326"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25668959" w14:textId="77777777" w:rsidR="000147DB" w:rsidRPr="003E7524" w:rsidRDefault="000147DB" w:rsidP="000147DB">
      <w:pPr>
        <w:autoSpaceDE w:val="0"/>
        <w:autoSpaceDN w:val="0"/>
        <w:adjustRightInd w:val="0"/>
        <w:spacing w:after="0"/>
        <w:rPr>
          <w:rFonts w:cs="TimesNewRoman"/>
          <w:sz w:val="24"/>
          <w:szCs w:val="24"/>
          <w:lang w:val="fr-FR" w:eastAsia="fr-BE"/>
        </w:rPr>
      </w:pPr>
    </w:p>
    <w:p w14:paraId="69AFEE6D"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grammar="dirty"/>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F5A31"/>
    <w:rsid w:val="003E7524"/>
    <w:rsid w:val="00471E09"/>
    <w:rsid w:val="005E4757"/>
    <w:rsid w:val="006432AD"/>
    <w:rsid w:val="00747C65"/>
    <w:rsid w:val="00B972B3"/>
    <w:rsid w:val="00C660B5"/>
    <w:rsid w:val="00C67B48"/>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6879</Words>
  <Characters>39212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2</cp:revision>
  <dcterms:created xsi:type="dcterms:W3CDTF">2020-07-27T11:52:00Z</dcterms:created>
  <dcterms:modified xsi:type="dcterms:W3CDTF">2020-07-30T08:24:00Z</dcterms:modified>
</cp:coreProperties>
</file>