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Default="00D55707" w:rsidP="00D55707">
      <w:pPr>
        <w:pStyle w:val="PlainText"/>
        <w:rPr>
          <w:rFonts w:ascii="Courier New" w:hAnsi="Courier New" w:cs="Courier New"/>
          <w:sz w:val="20"/>
          <w:szCs w:val="20"/>
          <w:lang w:val="da-DK"/>
        </w:rPr>
      </w:pPr>
    </w:p>
    <w:p w:rsidR="00D55707" w:rsidRDefault="00D55707" w:rsidP="00D55707">
      <w:pPr>
        <w:pStyle w:val="PlainText"/>
        <w:ind w:firstLine="708"/>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0600 D LT- ------ 20191209 --- --- PROJET</w:t>
      </w:r>
      <w:r>
        <w:rPr>
          <w:sz w:val="20"/>
          <w:szCs w:val="20"/>
          <w:rFonts w:ascii="Courier New" w:hAnsi="Courier New"/>
        </w:rPr>
        <w:t xml:space="preserve"> </w:t>
      </w:r>
    </w:p>
    <w:p w:rsidR="000A4C53" w:rsidRPr="00E02ECA" w:rsidRDefault="000A4C53" w:rsidP="000A4C53">
      <w:pPr>
        <w:spacing w:before="100" w:beforeAutospacing="1" w:after="100" w:afterAutospacing="1"/>
        <w:jc w:val="center"/>
        <w:rPr>
          <w:color w:val="000000"/>
          <w:rFonts w:ascii="Arial" w:hAnsi="Arial" w:cs="Arial"/>
        </w:rPr>
      </w:pPr>
      <w:r>
        <w:rPr>
          <w:color w:val="000000"/>
          <w:rFonts w:ascii="Arial" w:hAnsi="Arial"/>
        </w:rPr>
        <w:t xml:space="preserve">                d. federacinės žemės nutarimas, kuriuo iš dalies keičiamas Federacinės žemės nutarimas dėl užkrečiamųjų ligų prevencijos (HygieneVO)</w:t>
      </w:r>
      <w:r w:rsidR="00D21937" w:rsidRPr="008D4122">
        <w:rPr>
          <w:rStyle w:val="FootnoteReference"/>
          <w:rFonts w:ascii="Arial" w:hAnsi="Arial" w:cs="Arial"/>
          <w:color w:val="000000"/>
        </w:rPr>
        <w:footnoteReference w:id="1"/>
      </w:r>
      <w:r>
        <w:rPr>
          <w:color w:val="000000"/>
          <w:rFonts w:ascii="Arial" w:hAnsi="Arial"/>
        </w:rPr>
        <w:t xml:space="preserve"> </w:t>
        <w:br/>
        <w:t xml:space="preserve"> </w:t>
        <w:br/>
        <w:t xml:space="preserve"> </w:t>
      </w:r>
    </w:p>
    <w:p w:rsidR="000A4C53" w:rsidRPr="00E02ECA" w:rsidRDefault="000A4C53" w:rsidP="000A4C53">
      <w:pPr>
        <w:spacing w:before="100" w:beforeAutospacing="1" w:after="100" w:afterAutospacing="1"/>
        <w:rPr>
          <w:color w:val="000000"/>
          <w:rFonts w:ascii="Arial" w:hAnsi="Arial" w:cs="Arial"/>
        </w:rPr>
      </w:pPr>
      <w:r>
        <w:rPr>
          <w:color w:val="000000"/>
          <w:rFonts w:ascii="Arial" w:hAnsi="Arial"/>
        </w:rPr>
        <w:t xml:space="preserve">Remiantis 2000 m. liepos 20 d. Apsaugos nuo infekcijų įstatymo (BGBl. I, p. 1045), su paskutiniais pakeitimais, padarytais 2019 m. rugpjūčio 9 d. nutarimo (BGBl. I, p. 1202) 18a straipsniu, 17 straipsnio 4 dalimi, kartu su 2001 m. vasario 22 d. Nutarimo dėl įgaliojimų perdavimo pagal Apsaugos nuo infekcijų įstatymą (vok. santrumpa – GVOBl Schl.-H. S. 35) 1 straipsnio 1 dalimi, skyrių pavadinimai paskutinį kartą pakeisti 2019 m. sausio 16 d. nutarimo (vok. santrumpa – GVOBl. Schl.-H. S. 30) 21 straipsniu, Socialinių, sveikatos, šeimos, jaunimo ir senjorų reikalų ministerija nutaria taip, kaip nurodyta toliau.</w:t>
      </w:r>
      <w:r>
        <w:rPr>
          <w:color w:val="000000"/>
          <w:rFonts w:ascii="Arial" w:hAnsi="Arial"/>
        </w:rPr>
        <w:t xml:space="preserve">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color w:val="000000"/>
          <w:rFonts w:ascii="Arial" w:hAnsi="Arial" w:cs="Arial"/>
        </w:rPr>
      </w:pPr>
      <w:r>
        <w:rPr>
          <w:color w:val="000000"/>
          <w:rFonts w:ascii="Arial" w:hAnsi="Arial"/>
        </w:rPr>
        <w:t xml:space="preserve"> </w:t>
      </w:r>
      <w:r>
        <w:rPr>
          <w:color w:val="000000"/>
          <w:rFonts w:ascii="Arial" w:hAnsi="Arial"/>
        </w:rPr>
        <w:t xml:space="preserve">1)</w:t>
      </w:r>
      <w:r>
        <w:rPr>
          <w:color w:val="000000"/>
          <w:rFonts w:ascii="Arial" w:hAnsi="Arial"/>
        </w:rPr>
        <w:tab/>
      </w:r>
      <w:r>
        <w:rPr>
          <w:color w:val="000000"/>
          <w:rFonts w:ascii="Arial" w:hAnsi="Arial"/>
        </w:rPr>
        <w:t xml:space="preserve">3 straipsnio 1 dalis išdėstoma taip:</w:t>
      </w:r>
      <w:r>
        <w:rPr>
          <w:color w:val="000000"/>
          <w:rFonts w:ascii="Arial" w:hAnsi="Arial"/>
        </w:rPr>
        <w:t xml:space="preserve"> </w:t>
      </w:r>
    </w:p>
    <w:p w:rsidR="000A4C53" w:rsidRDefault="0016494F" w:rsidP="00502122">
      <w:pPr>
        <w:spacing w:before="100" w:beforeAutospacing="1" w:after="100" w:afterAutospacing="1"/>
        <w:ind w:left="567"/>
        <w:rPr>
          <w:color w:val="000000"/>
          <w:rFonts w:ascii="Arial" w:hAnsi="Arial" w:cs="Arial"/>
        </w:rPr>
      </w:pPr>
      <w:r>
        <w:rPr>
          <w:color w:val="000000"/>
          <w:rFonts w:ascii="Arial" w:hAnsi="Arial"/>
        </w:rPr>
        <w:t xml:space="preserve"> </w:t>
      </w:r>
      <w:r>
        <w:rPr>
          <w:color w:val="000000"/>
          <w:rFonts w:ascii="Arial" w:hAnsi="Arial"/>
        </w:rPr>
        <w:t xml:space="preserve">„1. Inventorius visose diagnostikai ir terapijai skirtose patalpose, kuriose yra užkrato per kūno skysčius ar kitas ligų sukėlėjų turinčias medžiagas tikimybė, turi būti toks, kad jį būtų įmanoma valyti drėgnuoju būdu ir dezinfekuoti.</w:t>
      </w:r>
      <w:r>
        <w:rPr>
          <w:color w:val="000000"/>
          <w:rFonts w:ascii="Arial" w:hAnsi="Arial"/>
        </w:rPr>
        <w:t xml:space="preserve"> </w:t>
      </w:r>
      <w:r>
        <w:rPr>
          <w:color w:val="000000"/>
          <w:rFonts w:ascii="Arial" w:hAnsi="Arial"/>
        </w:rPr>
        <w:t xml:space="preserve">Visos naudojamos dezinfekcinės priemonės turi būti tinkamos infekcijų prevencijai medicinos įstaigose užtikrinti, o jų veiksmingumas turi būti pagrįstas įrodymais.</w:t>
      </w:r>
      <w:r>
        <w:rPr>
          <w:color w:val="000000"/>
          <w:rFonts w:ascii="Arial" w:hAnsi="Arial"/>
        </w:rPr>
        <w:t xml:space="preserve"> </w:t>
      </w:r>
      <w:r>
        <w:rPr>
          <w:color w:val="000000"/>
          <w:rFonts w:ascii="Arial" w:hAnsi="Arial"/>
        </w:rPr>
        <w:t xml:space="preserve">Veiksmingumas kiekvienai atitinkamai poveikio sričiai turi būti bent baktericidinis, mielių naikinimo, ribotas virucidinis, o prireikus papildomai – fungicidinis, tuberkuliocidinis, mikobaktericidinis. Šios priemonės taip pat turi būti veiksmingos prieš bakterijų sporas.</w:t>
      </w:r>
      <w:r>
        <w:rPr>
          <w:color w:val="000000"/>
          <w:rFonts w:ascii="Arial" w:hAnsi="Arial"/>
        </w:rPr>
        <w:t xml:space="preserve"> </w:t>
      </w:r>
      <w:r>
        <w:rPr>
          <w:color w:val="000000"/>
          <w:rFonts w:ascii="Arial" w:hAnsi="Arial"/>
        </w:rPr>
        <w:t xml:space="preserve">Veiksmingumas turi būti įrodytas bent dviem atskirų ekspertų išvadomis, kartu pridedant atitinkamas bandymų ataskaitas.</w:t>
      </w:r>
      <w:r>
        <w:rPr>
          <w:color w:val="000000"/>
          <w:rFonts w:ascii="Arial" w:hAnsi="Arial"/>
        </w:rPr>
        <w:t xml:space="preserve"> </w:t>
      </w:r>
      <w:r>
        <w:rPr>
          <w:color w:val="000000"/>
          <w:rFonts w:ascii="Arial" w:hAnsi="Arial"/>
        </w:rPr>
        <w:t xml:space="preserve">Laikoma, kad veiksmingumas patvirtintas, jeigu bandymus atliko nuo gamintojo nepriklausomos bandymų laboratorijos ir bandymų ataskaitas parengė nepriklausomi ekspertai, atlikę moksliniais tyrimais pagrįstus vertinimus.</w:t>
      </w:r>
      <w:r>
        <w:rPr>
          <w:color w:val="000000"/>
          <w:rFonts w:ascii="Arial" w:hAnsi="Arial"/>
        </w:rPr>
        <w:t xml:space="preserve"> </w:t>
      </w:r>
      <w:r>
        <w:rPr>
          <w:color w:val="000000"/>
          <w:rFonts w:ascii="Arial" w:hAnsi="Arial"/>
        </w:rPr>
        <w:t xml:space="preserve">Bandymų laboratorijos privalo turėti reikiamas kompetencijas, kurias būtų galima įrodyti, pvz., remiantis akreditacija pagal 2018 m. kovo mėn. standartą DIN ISO EN 17025:2018-03.</w:t>
      </w:r>
      <w:r>
        <w:rPr>
          <w:color w:val="000000"/>
          <w:rFonts w:ascii="Arial" w:hAnsi="Arial"/>
        </w:rPr>
        <w:t xml:space="preserve"> </w:t>
      </w:r>
      <w:r>
        <w:rPr>
          <w:color w:val="000000"/>
          <w:rFonts w:ascii="Arial" w:hAnsi="Arial"/>
        </w:rPr>
        <w:t xml:space="preserve">Atitinkamas bandymų metodas turi būti patvirtintas, pvz., tarplaboratoriniais lyginamaisiais tyrimais, kurie apimtų bent du būtinus tyrimų pakartojimus, kad būtų galima atsižvelgti į statistinį kintamumą.</w:t>
      </w:r>
      <w:r>
        <w:rPr>
          <w:color w:val="000000"/>
          <w:rFonts w:ascii="Arial" w:hAnsi="Arial"/>
        </w:rPr>
        <w:t xml:space="preserve"> </w:t>
      </w:r>
      <w:r>
        <w:rPr>
          <w:color w:val="000000"/>
          <w:rFonts w:ascii="Arial" w:hAnsi="Arial"/>
        </w:rPr>
        <w:t xml:space="preserve">Tyrimai, kurie buvo atlikti pagal kitos Europos Sąjungos valstybės narės, Turkijos ar kitos Europos ekonominės erdvės susitarimą pasirašiusios valstybės specifikacijas, pripažįstami lygiaverčiais, jeigu užtikrinamas pagal antrą sakinį reikalaujamas ilgalaikis apsaugos lygis.“</w:t>
      </w:r>
    </w:p>
    <w:p w:rsidR="00CD56BF" w:rsidRDefault="00CD56BF" w:rsidP="009B287C">
      <w:pPr>
        <w:tabs>
          <w:tab w:val="left" w:pos="567"/>
        </w:tabs>
        <w:spacing w:before="100" w:beforeAutospacing="1" w:after="100" w:afterAutospacing="1"/>
        <w:rPr>
          <w:color w:val="000000"/>
          <w:rFonts w:ascii="Arial" w:hAnsi="Arial" w:cs="Arial"/>
        </w:rPr>
      </w:pPr>
      <w:r>
        <w:rPr>
          <w:color w:val="000000"/>
          <w:rFonts w:ascii="Arial" w:hAnsi="Arial"/>
        </w:rPr>
        <w:t xml:space="preserve">2)</w:t>
      </w:r>
      <w:r>
        <w:rPr>
          <w:color w:val="000000"/>
          <w:rFonts w:ascii="Arial" w:hAnsi="Arial"/>
        </w:rPr>
        <w:tab/>
      </w:r>
      <w:r>
        <w:rPr>
          <w:color w:val="000000"/>
          <w:rFonts w:ascii="Arial" w:hAnsi="Arial"/>
        </w:rPr>
        <w:t xml:space="preserve">5 straipsnis išdėstomas taip:</w:t>
      </w:r>
    </w:p>
    <w:p w:rsidR="000A4C53" w:rsidRPr="00E02ECA" w:rsidRDefault="009B287C" w:rsidP="000A4C53">
      <w:pPr>
        <w:spacing w:before="100" w:beforeAutospacing="1" w:after="100" w:afterAutospacing="1"/>
        <w:jc w:val="center"/>
        <w:rPr>
          <w:color w:val="000000"/>
          <w:rFonts w:ascii="Arial" w:hAnsi="Arial" w:cs="Arial"/>
        </w:rPr>
      </w:pPr>
      <w:bookmarkStart w:id="1" w:name="6"/>
      <w:r>
        <w:rPr>
          <w:color w:val="000000"/>
          <w:rFonts w:ascii="Arial" w:hAnsi="Arial"/>
        </w:rPr>
        <w:t xml:space="preserve">„ </w:t>
      </w:r>
      <w:bookmarkStart w:id="2" w:name="7"/>
      <w:bookmarkEnd w:id="1"/>
      <w:r>
        <w:rPr>
          <w:color w:val="000000"/>
          <w:rFonts w:ascii="Arial" w:hAnsi="Arial"/>
        </w:rPr>
        <w:t xml:space="preserve">5 straipsnis</w:t>
        <w:br/>
        <w:t xml:space="preserve">Administraciniai teisės pažeidimai</w:t>
      </w:r>
      <w:r>
        <w:rPr>
          <w:color w:val="000000"/>
          <w:rFonts w:ascii="Arial" w:hAnsi="Arial"/>
        </w:rPr>
        <w:t xml:space="preserve"> </w:t>
      </w:r>
    </w:p>
    <w:p w:rsidR="000A4C53" w:rsidRPr="009B287C" w:rsidRDefault="00320C14" w:rsidP="000A4C53">
      <w:pPr>
        <w:spacing w:before="100" w:beforeAutospacing="1" w:after="100" w:afterAutospacing="1"/>
        <w:rPr>
          <w:color w:val="000000"/>
          <w:rFonts w:ascii="Arial" w:hAnsi="Arial" w:cs="Arial"/>
        </w:rPr>
      </w:pPr>
      <w:r>
        <w:rPr>
          <w:color w:val="000000"/>
          <w:rFonts w:ascii="Arial" w:hAnsi="Arial"/>
        </w:rPr>
        <w:t xml:space="preserve">1. Pagal Apsaugos nuo infekcijų įstatymo 73 straipsnio 1a dalies 6 punktą administracinį teisės pažeidimą įvykdo tas, kuris tyčia arba per neatsargumą,</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pažeisdamas 3 straipsnio nuostatas, valymo, dezinfekcijos arba sterilizacijos neatlieka ar tai atlieka nepakankamai ar prietaisus laiko neapsaugotus nuo taršos,</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taiko kitas nei 3 straipsnyje nurodytas dezinfekcines priemones ir procedūras,</w:t>
      </w:r>
      <w:r>
        <w:rPr>
          <w:color w:val="000000"/>
          <w:rFonts w:ascii="Arial" w:hAnsi="Arial"/>
        </w:rPr>
        <w:t xml:space="preserve"> </w:t>
      </w:r>
    </w:p>
    <w:p w:rsidR="000A4C53" w:rsidRPr="009B287C"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pažeisdamas 4 straipsnio nuostatas, jame nurodytus prietaisus ir kitus daiktus šalina ne tam tinkamose talpyklose,</w:t>
      </w:r>
      <w:r>
        <w:rPr>
          <w:color w:val="000000"/>
          <w:rFonts w:ascii="Arial" w:hAnsi="Arial"/>
        </w:rPr>
        <w:t xml:space="preserve"> </w:t>
      </w:r>
    </w:p>
    <w:p w:rsidR="000A4C53" w:rsidRPr="00E02ECA" w:rsidRDefault="000A4C53" w:rsidP="000A4C53">
      <w:pPr>
        <w:numPr>
          <w:ilvl w:val="0"/>
          <w:numId w:val="4"/>
        </w:numPr>
        <w:spacing w:before="100" w:beforeAutospacing="1" w:after="100" w:afterAutospacing="1"/>
        <w:rPr>
          <w:color w:val="000000"/>
          <w:rFonts w:ascii="Arial" w:hAnsi="Arial" w:cs="Arial"/>
        </w:rPr>
      </w:pPr>
      <w:r>
        <w:rPr>
          <w:color w:val="000000"/>
          <w:rFonts w:ascii="Arial" w:hAnsi="Arial"/>
        </w:rPr>
        <w:t xml:space="preserve">nevykdo pareigos toleruoti arba pareigos atskleisti informaciją pagal Apsaugos nuo infekcijų įstatymo 73 straipsnio 1a dalies 3 ir 4 punktus arba nevykdo pareigos pateikti dokumentus (ypač higienos planus) pagal Apsaugos nuo infekcijų įstatymo 73 straipsnio 1a dalies 5 punktą</w:t>
      </w:r>
    </w:p>
    <w:p w:rsidR="00E02ECA" w:rsidRPr="00A327F3" w:rsidRDefault="00E02ECA" w:rsidP="00E02ECA">
      <w:pPr>
        <w:autoSpaceDE w:val="0"/>
        <w:autoSpaceDN w:val="0"/>
        <w:adjustRightInd w:val="0"/>
        <w:rPr>
          <w:color w:val="000000"/>
          <w:rFonts w:ascii="Arial" w:hAnsi="Arial" w:cs="Arial"/>
        </w:rPr>
      </w:pPr>
      <w:r>
        <w:rPr>
          <w:color w:val="000000"/>
          <w:rFonts w:ascii="Arial" w:hAnsi="Arial"/>
        </w:rPr>
        <w:t xml:space="preserve">arba tyčia ar per neatsargumą nesilaiko taikytinos tvarkos pagal Apsaugos nuo infekcijų įstatymo 17 straipsnio 1 dalį.“</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color w:val="000000"/>
          <w:rFonts w:ascii="Arial" w:hAnsi="Arial" w:cs="Arial"/>
        </w:rPr>
      </w:pPr>
      <w:r>
        <w:rPr>
          <w:color w:val="000000"/>
          <w:rFonts w:ascii="Arial" w:hAnsi="Arial"/>
        </w:rPr>
        <w:t xml:space="preserve">3)</w:t>
      </w:r>
      <w:r>
        <w:rPr>
          <w:color w:val="000000"/>
          <w:rFonts w:ascii="Arial" w:hAnsi="Arial"/>
        </w:rPr>
        <w:tab/>
      </w:r>
      <w:r>
        <w:rPr>
          <w:color w:val="000000"/>
          <w:rFonts w:ascii="Arial" w:hAnsi="Arial"/>
        </w:rPr>
        <w:t xml:space="preserve">Šis nutarimas įsigalioja kitą dieną po jo paskelbimo.</w:t>
      </w:r>
    </w:p>
    <w:bookmarkEnd w:id="2"/>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color w:val="000000"/>
          <w:rFonts w:ascii="Arial" w:hAnsi="Arial" w:cs="Arial"/>
        </w:rPr>
      </w:pPr>
      <w:r>
        <w:rPr>
          <w:color w:val="000000"/>
          <w:rFonts w:ascii="Arial" w:hAnsi="Arial"/>
        </w:rPr>
        <w:t xml:space="preserve">Šis nutarimas yra parengtas ir turi būti skelbiamas viešai.</w:t>
      </w:r>
    </w:p>
    <w:p w:rsidR="00053A17" w:rsidRPr="00E02ECA" w:rsidRDefault="0072626E" w:rsidP="00053A17">
      <w:pPr>
        <w:spacing w:before="100" w:beforeAutospacing="1" w:after="100" w:afterAutospacing="1"/>
        <w:rPr>
          <w:color w:val="000000"/>
          <w:rFonts w:ascii="Arial" w:hAnsi="Arial" w:cs="Arial"/>
        </w:rPr>
      </w:pPr>
      <w:r>
        <w:rPr>
          <w:color w:val="000000"/>
          <w:rFonts w:ascii="Arial" w:hAnsi="Arial"/>
        </w:rPr>
        <w:t xml:space="preserve">Kylis,</w:t>
      </w:r>
      <w:r>
        <w:rPr>
          <w:color w:val="000000"/>
          <w:rFonts w:ascii="Arial" w:hAnsi="Arial"/>
        </w:rPr>
        <w:t xml:space="preserve">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color w:val="000000"/>
          <w:rFonts w:ascii="Arial" w:hAnsi="Arial" w:cs="Arial"/>
        </w:rPr>
      </w:pPr>
      <w:r>
        <w:rPr>
          <w:color w:val="000000"/>
          <w:rFonts w:ascii="Arial" w:hAnsi="Arial"/>
        </w:rPr>
        <w:t xml:space="preserve">Dr. Heiner Garg</w:t>
      </w:r>
    </w:p>
    <w:p w:rsidR="00162CBB" w:rsidRPr="00E02ECA" w:rsidRDefault="002909C0" w:rsidP="00296907">
      <w:pPr>
        <w:spacing w:before="100" w:beforeAutospacing="1" w:after="100" w:afterAutospacing="1"/>
        <w:jc w:val="center"/>
        <w:rPr>
          <w:color w:val="000000"/>
          <w:rFonts w:ascii="Arial" w:hAnsi="Arial" w:cs="Arial"/>
        </w:rPr>
      </w:pPr>
      <w:r>
        <w:rPr>
          <w:color w:val="000000"/>
          <w:rFonts w:ascii="Arial" w:hAnsi="Arial"/>
        </w:rPr>
        <w:t xml:space="preserve">Socialinių, sveikatos, šeimos, jaunimo ir senjorų reikalų ministras</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93F" w:rsidRDefault="0027693F">
      <w:r>
        <w:separator/>
      </w:r>
    </w:p>
  </w:endnote>
  <w:endnote w:type="continuationSeparator" w:id="0">
    <w:p w:rsidR="0027693F" w:rsidRDefault="0027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93F" w:rsidRDefault="0027693F">
      <w:r>
        <w:separator/>
      </w:r>
    </w:p>
  </w:footnote>
  <w:footnote w:type="continuationSeparator" w:id="0">
    <w:p w:rsidR="0027693F" w:rsidRDefault="0027693F">
      <w:r>
        <w:continuationSeparator/>
      </w:r>
    </w:p>
  </w:footnote>
  <w:footnote w:id="1">
    <w:p w:rsidR="00D21937" w:rsidRDefault="00D21937">
      <w:pPr>
        <w:pStyle w:val="FootnoteText"/>
      </w:pPr>
      <w:r>
        <w:rPr>
          <w:rStyle w:val="FootnoteReference"/>
        </w:rPr>
        <w:footnoteRef/>
      </w:r>
      <w:r>
        <w:t xml:space="preserve"> Pateiktas pranešimas pagal 2015 m. rugsėjo 9 d. Europos Parlamento ir Tarybos direktyvą (ES) 2015/1535, kuria nustatoma informacijos apie techninius reglamentus ir informacinės visuomenės paslaugų taisykles teikimo tvarka, (OL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 xml:space="preserve">Versija:</w:t>
    </w:r>
    <w:r>
      <w:t xml:space="preserve"> </w:t>
    </w:r>
    <w:r>
      <w:t xml:space="preserve">2019-11-07</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lang w:val="lt-LT" w:eastAsia="en-US"/>
    </w:rPr>
  </w:style>
  <w:style w:type="character" w:customStyle="1" w:styleId="PlainTextChar">
    <w:name w:val="Plain Text Char"/>
    <w:link w:val="PlainText"/>
    <w:uiPriority w:val="99"/>
    <w:semiHidden/>
    <w:rsid w:val="00D55707"/>
    <w:rPr>
      <w:rFonts w:ascii="Consolas" w:hAnsi="Consolas"/>
      <w:sz w:val="21"/>
      <w:szCs w:val="21"/>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AFD120-7762-4406-8A73-8C2204F35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Varga, Eszter</cp:lastModifiedBy>
  <cp:revision>2</cp:revision>
  <cp:lastPrinted>2007-07-05T12:39:00Z</cp:lastPrinted>
  <dcterms:created xsi:type="dcterms:W3CDTF">2019-12-02T12:02:00Z</dcterms:created>
  <dcterms:modified xsi:type="dcterms:W3CDTF">2019-12-02T12:02:00Z</dcterms:modified>
</cp:coreProperties>
</file>