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08" w:rsidRDefault="00B21208" w:rsidP="001765E3">
      <w:pPr>
        <w:tabs>
          <w:tab w:val="left" w:pos="2190"/>
        </w:tabs>
        <w:jc w:val="center"/>
        <w:rPr>
          <w:rFonts w:cs="Arial"/>
          <w:b/>
        </w:rPr>
      </w:pPr>
      <w:bookmarkStart w:id="0" w:name="_GoBack"/>
      <w:bookmarkEnd w:id="0"/>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B21208" w:rsidRDefault="00B21208" w:rsidP="001765E3">
      <w:pPr>
        <w:tabs>
          <w:tab w:val="left" w:pos="2190"/>
        </w:tabs>
        <w:jc w:val="center"/>
        <w:rPr>
          <w:rFonts w:cs="Arial"/>
          <w:b/>
        </w:rPr>
      </w:pPr>
    </w:p>
    <w:p w:rsidR="00D942A1" w:rsidRDefault="00F47837" w:rsidP="001765E3">
      <w:pPr>
        <w:pBdr>
          <w:top w:val="single" w:sz="4" w:space="1" w:color="auto"/>
          <w:left w:val="single" w:sz="4" w:space="4" w:color="auto"/>
          <w:bottom w:val="single" w:sz="4" w:space="1" w:color="auto"/>
          <w:right w:val="single" w:sz="4" w:space="4" w:color="auto"/>
        </w:pBdr>
        <w:tabs>
          <w:tab w:val="left" w:pos="2190"/>
        </w:tabs>
        <w:jc w:val="center"/>
        <w:rPr>
          <w:rFonts w:cs="Arial"/>
          <w:b/>
        </w:rPr>
      </w:pPr>
      <w:r w:rsidRPr="00F47837">
        <w:rPr>
          <w:rFonts w:cs="Arial"/>
          <w:b/>
        </w:rPr>
        <w:t xml:space="preserve">MEMORIA DEL ANÁLISIS DE IMPACTO NORMATIVO DEL PROYECTO DE REAL DECRETO </w:t>
      </w:r>
      <w:r w:rsidR="00752B8F" w:rsidRPr="00752B8F">
        <w:rPr>
          <w:rFonts w:cs="Arial"/>
          <w:b/>
        </w:rPr>
        <w:t>SO</w:t>
      </w:r>
      <w:r w:rsidR="00752B8F" w:rsidRPr="00752B8F">
        <w:rPr>
          <w:rFonts w:cs="Arial"/>
          <w:b/>
        </w:rPr>
        <w:lastRenderedPageBreak/>
        <w:t>BRE COADYUVANTES TECNOLÓGICOS UTILIZADOS EN LOS PROCESOS DE ELABORACIÓN Y OBTENCIÓN DE ALIMENTOS</w:t>
      </w:r>
    </w:p>
    <w:p w:rsidR="00B21208" w:rsidRDefault="00B21208">
      <w:pPr>
        <w:spacing w:after="160" w:line="259" w:lineRule="auto"/>
        <w:jc w:val="left"/>
        <w:rPr>
          <w:rFonts w:cs="Arial"/>
          <w:b/>
        </w:rPr>
      </w:pPr>
      <w:r>
        <w:rPr>
          <w:rFonts w:cs="Arial"/>
          <w:b/>
        </w:rPr>
        <w:br w:type="page"/>
      </w:r>
    </w:p>
    <w:p w:rsidR="00D942A1" w:rsidRPr="001A7DD3" w:rsidRDefault="00D942A1" w:rsidP="00D942A1">
      <w:pPr>
        <w:spacing w:before="100" w:beforeAutospacing="1" w:after="100" w:afterAutospacing="1"/>
        <w:jc w:val="center"/>
        <w:rPr>
          <w:rFonts w:cs="Arial"/>
          <w:b/>
        </w:rPr>
      </w:pPr>
      <w:r w:rsidRPr="001A7DD3">
        <w:rPr>
          <w:rFonts w:cs="Arial"/>
          <w:b/>
        </w:rPr>
        <w:lastRenderedPageBreak/>
        <w:t>FICHA DEL RESUMEN EJECUTIVO</w:t>
      </w:r>
    </w:p>
    <w:tbl>
      <w:tblPr>
        <w:tblW w:w="9220" w:type="dxa"/>
        <w:tblInd w:w="384" w:type="dxa"/>
        <w:shd w:val="clear" w:color="auto" w:fill="EEFFEB"/>
        <w:tblLayout w:type="fixed"/>
        <w:tblLook w:val="0000" w:firstRow="0" w:lastRow="0" w:firstColumn="0" w:lastColumn="0" w:noHBand="0" w:noVBand="0"/>
      </w:tblPr>
      <w:tblGrid>
        <w:gridCol w:w="2694"/>
        <w:gridCol w:w="3332"/>
        <w:gridCol w:w="70"/>
        <w:gridCol w:w="993"/>
        <w:gridCol w:w="2131"/>
      </w:tblGrid>
      <w:tr w:rsidR="00D942A1" w:rsidRPr="009A580E" w:rsidTr="009C0503">
        <w:trPr>
          <w:cantSplit/>
          <w:trHeight w:val="62"/>
        </w:trPr>
        <w:tc>
          <w:tcPr>
            <w:tcW w:w="2694" w:type="dxa"/>
            <w:tcBorders>
              <w:top w:val="single" w:sz="32"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Ministerio/Órgano proponente</w:t>
            </w:r>
          </w:p>
        </w:tc>
        <w:tc>
          <w:tcPr>
            <w:tcW w:w="3402" w:type="dxa"/>
            <w:gridSpan w:val="2"/>
            <w:tcBorders>
              <w:top w:val="single" w:sz="32" w:space="0" w:color="000000"/>
              <w:left w:val="single" w:sz="16" w:space="0" w:color="000000"/>
              <w:bottom w:val="single" w:sz="16" w:space="0" w:color="000000"/>
              <w:right w:val="single" w:sz="2"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p w:rsidR="00F47837" w:rsidRPr="001A7DD3" w:rsidRDefault="00D942A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Ministerio de Consumo</w:t>
            </w:r>
            <w:r w:rsidR="00AF0B4C">
              <w:rPr>
                <w:rFonts w:eastAsia="ヒラギノ角ゴ Pro W3" w:cs="Arial"/>
                <w:lang w:eastAsia="en-US"/>
              </w:rPr>
              <w:t xml:space="preserve"> y Ministerio de Agricultura, Pesca y Alimentación.</w:t>
            </w:r>
          </w:p>
        </w:tc>
        <w:tc>
          <w:tcPr>
            <w:tcW w:w="993" w:type="dxa"/>
            <w:tcBorders>
              <w:top w:val="single" w:sz="32" w:space="0" w:color="000000"/>
              <w:left w:val="single" w:sz="2" w:space="0" w:color="000000"/>
              <w:bottom w:val="single" w:sz="16" w:space="0" w:color="000000"/>
              <w:right w:val="single" w:sz="2" w:space="0" w:color="000000"/>
            </w:tcBorders>
            <w:shd w:val="clear" w:color="auto" w:fill="E3DFA6"/>
            <w:tcMar>
              <w:top w:w="100" w:type="dxa"/>
              <w:left w:w="100" w:type="dxa"/>
              <w:bottom w:w="100" w:type="dxa"/>
              <w:right w:w="100" w:type="dxa"/>
            </w:tcMar>
          </w:tcPr>
          <w:p w:rsidR="00D942A1" w:rsidRPr="001A7DD3" w:rsidRDefault="00D942A1" w:rsidP="009C05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eastAsia="ヒラギノ角ゴ Pro W3" w:cs="Arial"/>
                <w:b/>
                <w:lang w:eastAsia="en-US"/>
              </w:rPr>
            </w:pPr>
          </w:p>
          <w:p w:rsidR="00D942A1" w:rsidRPr="001A7DD3" w:rsidRDefault="00D942A1" w:rsidP="009C05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eastAsia="ヒラギノ角ゴ Pro W3" w:cs="Arial"/>
                <w:b/>
                <w:lang w:eastAsia="en-US"/>
              </w:rPr>
            </w:pPr>
            <w:r w:rsidRPr="001A7DD3">
              <w:rPr>
                <w:rFonts w:eastAsia="ヒラギノ角ゴ Pro W3" w:cs="Arial"/>
                <w:b/>
                <w:lang w:eastAsia="en-US"/>
              </w:rPr>
              <w:t>Fecha</w:t>
            </w:r>
          </w:p>
        </w:tc>
        <w:tc>
          <w:tcPr>
            <w:tcW w:w="2131" w:type="dxa"/>
            <w:tcBorders>
              <w:top w:val="single" w:sz="32" w:space="0" w:color="000000"/>
              <w:left w:val="single" w:sz="2"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D942A1" w:rsidP="009C050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eastAsia="ヒラギノ角ゴ Pro W3" w:cs="Arial"/>
                <w:lang w:eastAsia="en-US"/>
              </w:rPr>
            </w:pPr>
          </w:p>
          <w:p w:rsidR="00D942A1" w:rsidRPr="001A7DD3" w:rsidRDefault="00D03FF8" w:rsidP="00D03FF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eastAsia="ヒラギノ角ゴ Pro W3" w:cs="Arial"/>
                <w:lang w:eastAsia="en-US"/>
              </w:rPr>
            </w:pPr>
            <w:r>
              <w:rPr>
                <w:rFonts w:eastAsia="ヒラギノ角ゴ Pro W3" w:cs="Arial"/>
                <w:lang w:eastAsia="en-US"/>
              </w:rPr>
              <w:t>09</w:t>
            </w:r>
            <w:r w:rsidR="003058F2">
              <w:rPr>
                <w:rFonts w:eastAsia="ヒラギノ角ゴ Pro W3" w:cs="Arial"/>
                <w:lang w:eastAsia="en-US"/>
              </w:rPr>
              <w:t>/</w:t>
            </w:r>
            <w:r w:rsidR="00BB3D57">
              <w:rPr>
                <w:rFonts w:eastAsia="ヒラギノ角ゴ Pro W3" w:cs="Arial"/>
                <w:lang w:eastAsia="en-US"/>
              </w:rPr>
              <w:t>0</w:t>
            </w:r>
            <w:r>
              <w:rPr>
                <w:rFonts w:eastAsia="ヒラギノ角ゴ Pro W3" w:cs="Arial"/>
                <w:lang w:eastAsia="en-US"/>
              </w:rPr>
              <w:t>3</w:t>
            </w:r>
            <w:r w:rsidR="003058F2">
              <w:rPr>
                <w:rFonts w:eastAsia="ヒラギノ角ゴ Pro W3" w:cs="Arial"/>
                <w:lang w:eastAsia="en-US"/>
              </w:rPr>
              <w:t>/202</w:t>
            </w:r>
            <w:r w:rsidR="00BB3D57">
              <w:rPr>
                <w:rFonts w:eastAsia="ヒラギノ角ゴ Pro W3" w:cs="Arial"/>
                <w:lang w:eastAsia="en-US"/>
              </w:rPr>
              <w:t>3</w:t>
            </w:r>
          </w:p>
        </w:tc>
      </w:tr>
      <w:tr w:rsidR="00D942A1" w:rsidRPr="009A580E" w:rsidTr="009C0503">
        <w:trPr>
          <w:cantSplit/>
          <w:trHeight w:val="595"/>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Título de la norma</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2356DE" w:rsidRDefault="00752B8F" w:rsidP="009C0503">
            <w:pPr>
              <w:widowControl w:val="0"/>
              <w:suppressAutoHyphens/>
              <w:autoSpaceDE w:val="0"/>
              <w:autoSpaceDN w:val="0"/>
              <w:adjustRightInd w:val="0"/>
              <w:rPr>
                <w:rFonts w:eastAsia="ヒラギノ角ゴ Pro W3" w:cs="Arial"/>
                <w:lang w:eastAsia="en-US"/>
              </w:rPr>
            </w:pPr>
            <w:r w:rsidRPr="002356DE">
              <w:rPr>
                <w:rFonts w:eastAsia="ヒラギノ角ゴ Pro W3" w:cs="Arial"/>
                <w:szCs w:val="22"/>
                <w:lang w:eastAsia="en-US" w:bidi="es-ES"/>
              </w:rPr>
              <w:t>Real Decreto sobre coadyuvantes tecnológicos utilizados en los procesos de elaboración y obtención de alimentos</w:t>
            </w:r>
            <w:r w:rsidRPr="002356DE">
              <w:rPr>
                <w:rFonts w:eastAsia="ヒラギノ角ゴ Pro W3" w:cs="Arial"/>
                <w:szCs w:val="22"/>
                <w:lang w:eastAsia="en-US"/>
              </w:rPr>
              <w:t>.</w:t>
            </w:r>
          </w:p>
        </w:tc>
      </w:tr>
      <w:tr w:rsidR="00D942A1" w:rsidRPr="009A580E" w:rsidTr="009C0503">
        <w:trPr>
          <w:cantSplit/>
          <w:trHeight w:val="164"/>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Tipo de Memoria</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 xml:space="preserve">Normal  </w:t>
            </w:r>
            <w:r w:rsidRPr="001A7DD3">
              <w:rPr>
                <w:rFonts w:eastAsia="ヒラギノ角ゴ Pro W3" w:cs="Arial"/>
                <w:noProof/>
              </w:rPr>
              <mc:AlternateContent>
                <mc:Choice Requires="wps">
                  <w:drawing>
                    <wp:inline distT="0" distB="0" distL="0" distR="0" wp14:anchorId="3ED1F5C8" wp14:editId="17CEBD52">
                      <wp:extent cx="165100" cy="177800"/>
                      <wp:effectExtent l="19050" t="19050" r="34925" b="50800"/>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3ED1F5C8" id="Rectangle 34"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" fillcolor="black" strokecolor="#f2f2f2" strokeweight="3pt">
                      <v:shadow on="t" color="#7f7f7f" opacity=".5" offset="1pt"/>
                      <v:path arrowok="t"/>
                      <v:textbox inset="8pt,8pt,8pt,8pt">
                        <w:txbxContent>
                          <w:p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1A7DD3">
              <w:rPr>
                <w:rFonts w:eastAsia="ヒラギノ角ゴ Pro W3" w:cs="Arial"/>
                <w:lang w:eastAsia="en-US"/>
              </w:rPr>
              <w:t xml:space="preserve">                  Abreviada  </w:t>
            </w:r>
            <w:r w:rsidRPr="001A7DD3">
              <w:rPr>
                <w:rFonts w:eastAsia="ヒラギノ角ゴ Pro W3" w:cs="Arial"/>
                <w:noProof/>
              </w:rPr>
              <mc:AlternateContent>
                <mc:Choice Requires="wps">
                  <w:drawing>
                    <wp:inline distT="0" distB="0" distL="0" distR="0" wp14:anchorId="7141A716" wp14:editId="7EB3EEF3">
                      <wp:extent cx="165100" cy="177800"/>
                      <wp:effectExtent l="19050" t="19050" r="44450" b="50800"/>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38100">
                                <a:solidFill>
                                  <a:srgbClr val="F2F2F2"/>
                                </a:solidFill>
                                <a:miter lim="800000"/>
                                <a:headEnd/>
                                <a:tailEnd/>
                              </a:ln>
                              <a:effectLst>
                                <a:outerShdw dist="28398" dir="3806097" algn="ctr" rotWithShape="0">
                                  <a:srgbClr val="7F7F7F">
                                    <a:alpha val="50000"/>
                                  </a:srgbClr>
                                </a:outerShdw>
                              </a:effectLst>
                            </wps:spPr>
                            <wps:txbx>
                              <w:txbxContent>
                                <w:p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7141A716" 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" filled="f" strokecolor="#f2f2f2" strokeweight="3pt">
                      <v:shadow on="t" color="#7f7f7f" opacity=".5" offset="1pt"/>
                      <v:path arrowok="t"/>
                      <v:textbox inset="8pt,8pt,8pt,8pt">
                        <w:txbxContent>
                          <w:p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1A7DD3">
              <w:rPr>
                <w:rFonts w:eastAsia="ヒラギノ角ゴ Pro W3" w:cs="Arial"/>
                <w:lang w:eastAsia="en-US"/>
              </w:rPr>
              <w:t xml:space="preserve">  </w:t>
            </w:r>
          </w:p>
        </w:tc>
      </w:tr>
      <w:tr w:rsidR="00D942A1" w:rsidRPr="009A580E" w:rsidTr="009C0503">
        <w:trPr>
          <w:cantSplit/>
          <w:trHeight w:val="39"/>
        </w:trPr>
        <w:tc>
          <w:tcPr>
            <w:tcW w:w="9220" w:type="dxa"/>
            <w:gridSpan w:val="5"/>
            <w:tcBorders>
              <w:top w:val="single" w:sz="16" w:space="0" w:color="000000"/>
              <w:left w:val="single" w:sz="32" w:space="0" w:color="000000"/>
              <w:bottom w:val="single" w:sz="16" w:space="0" w:color="000000"/>
              <w:right w:val="single" w:sz="32" w:space="0" w:color="000000"/>
            </w:tcBorders>
            <w:shd w:val="clear" w:color="auto" w:fill="ECDF00"/>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OPORTUNIDAD DE LA PROPUESTA</w:t>
            </w:r>
          </w:p>
        </w:tc>
      </w:tr>
      <w:tr w:rsidR="00D942A1" w:rsidRPr="009A580E" w:rsidTr="009C0503">
        <w:trPr>
          <w:cantSplit/>
          <w:trHeight w:val="24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Situación que se regula</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2356DE" w:rsidRDefault="002356DE" w:rsidP="00131AC8">
            <w:pPr>
              <w:rPr>
                <w:rFonts w:cs="Arial"/>
                <w:color w:val="000000" w:themeColor="text1"/>
              </w:rPr>
            </w:pPr>
            <w:r w:rsidRPr="002356DE">
              <w:rPr>
                <w:rFonts w:cs="Arial"/>
                <w:color w:val="000000" w:themeColor="text1"/>
                <w:szCs w:val="22"/>
              </w:rPr>
              <w:t xml:space="preserve">El real decreto identificará las sustancias que actualmente se encuentran autorizadas </w:t>
            </w:r>
            <w:r w:rsidR="00E82AB8">
              <w:rPr>
                <w:rFonts w:cs="Arial"/>
                <w:color w:val="000000" w:themeColor="text1"/>
                <w:szCs w:val="22"/>
              </w:rPr>
              <w:t xml:space="preserve">en normas dispersas </w:t>
            </w:r>
            <w:r w:rsidRPr="002356DE">
              <w:rPr>
                <w:rFonts w:cs="Arial"/>
                <w:color w:val="000000" w:themeColor="text1"/>
                <w:szCs w:val="22"/>
              </w:rPr>
              <w:t>para utilizarse como coadyuvantes tecnológicos en la fabricación de alimentos, incorporando nuevas sustancias que hasta el momento no se encontraban autorizadas y se establecerá un criterio para la utilización de coadyuvantes tecnológicos en determinados sectores alimentarios (aquellos identificados en su anexo I) y para su autorización.</w:t>
            </w:r>
          </w:p>
        </w:tc>
      </w:tr>
      <w:tr w:rsidR="00D942A1" w:rsidRPr="009A580E" w:rsidTr="009C0503">
        <w:trPr>
          <w:cantSplit/>
          <w:trHeight w:val="87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Objetivos que se persiguen</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2356DE" w:rsidRDefault="002356DE" w:rsidP="00131AC8">
            <w:pPr>
              <w:rPr>
                <w:rFonts w:eastAsia="Calibri" w:cs="Arial"/>
                <w:lang w:eastAsia="en-US"/>
              </w:rPr>
            </w:pPr>
            <w:r w:rsidRPr="002356DE">
              <w:rPr>
                <w:rFonts w:cs="Arial"/>
                <w:color w:val="000000" w:themeColor="text1"/>
                <w:szCs w:val="22"/>
              </w:rPr>
              <w:t>Mediante esta medida pretende facilitarse la aplicación de las disposiciones relacionadas con el empleo de coadyuvantes tecnológicos que figuran actualmente en vigor en un número considerable de normas nacionales que se encuentran dispersas entre el ordenamiento jurídico español. Al mismo tiempo, pretende aprovecharse la ocasión para regular el empleo de coadyuvantes tecnológicos en determinados sectores que han sido objeto de un especial interés para la industria.</w:t>
            </w:r>
          </w:p>
        </w:tc>
      </w:tr>
      <w:tr w:rsidR="00D942A1" w:rsidRPr="009A580E" w:rsidTr="009C0503">
        <w:trPr>
          <w:cantSplit/>
          <w:trHeight w:val="71"/>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Principales alternativas consideradas</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2356DE" w:rsidRPr="002356DE" w:rsidRDefault="002356DE" w:rsidP="002356D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2356DE">
              <w:rPr>
                <w:rFonts w:eastAsia="ヒラギノ角ゴ Pro W3" w:cs="Arial"/>
                <w:lang w:eastAsia="en-US"/>
              </w:rPr>
              <w:t>Las alternativas valoradas pasarían por:</w:t>
            </w:r>
          </w:p>
          <w:p w:rsidR="002356DE" w:rsidRPr="002356DE" w:rsidRDefault="002356DE" w:rsidP="002356D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Pr>
                <w:rFonts w:eastAsia="ヒラギノ角ゴ Pro W3" w:cs="Arial"/>
                <w:lang w:eastAsia="en-US"/>
              </w:rPr>
              <w:t xml:space="preserve">• </w:t>
            </w:r>
            <w:r w:rsidRPr="002356DE">
              <w:rPr>
                <w:rFonts w:eastAsia="ヒラギノ角ゴ Pro W3" w:cs="Arial"/>
                <w:lang w:eastAsia="en-US"/>
              </w:rPr>
              <w:t>No adoptar ninguna medida y mantener el statu quo vigente</w:t>
            </w:r>
            <w:r>
              <w:rPr>
                <w:rFonts w:eastAsia="ヒラギノ角ゴ Pro W3" w:cs="Arial"/>
                <w:lang w:eastAsia="en-US"/>
              </w:rPr>
              <w:t>. Sin embargo</w:t>
            </w:r>
            <w:r w:rsidRPr="002356DE">
              <w:rPr>
                <w:rFonts w:eastAsia="ヒラギノ角ゴ Pro W3" w:cs="Arial"/>
                <w:lang w:eastAsia="en-US"/>
              </w:rPr>
              <w:t xml:space="preserve">, se ha considerado inapropiado </w:t>
            </w:r>
            <w:r>
              <w:rPr>
                <w:rFonts w:eastAsia="ヒラギノ角ゴ Pro W3" w:cs="Arial"/>
                <w:lang w:eastAsia="en-US"/>
              </w:rPr>
              <w:t>dado que s</w:t>
            </w:r>
            <w:r w:rsidRPr="002356DE">
              <w:rPr>
                <w:rFonts w:eastAsia="ヒラギノ角ゴ Pro W3" w:cs="Arial"/>
                <w:lang w:eastAsia="en-US"/>
              </w:rPr>
              <w:t>e ha</w:t>
            </w:r>
            <w:r>
              <w:rPr>
                <w:rFonts w:eastAsia="ヒラギノ角ゴ Pro W3" w:cs="Arial"/>
                <w:lang w:eastAsia="en-US"/>
              </w:rPr>
              <w:t>n</w:t>
            </w:r>
            <w:r w:rsidRPr="002356DE">
              <w:rPr>
                <w:rFonts w:eastAsia="ヒラギノ角ゴ Pro W3" w:cs="Arial"/>
                <w:lang w:eastAsia="en-US"/>
              </w:rPr>
              <w:t xml:space="preserve"> evidenciado dificultades tanto para la industria alimentaria, como para las autoridades encargadas del control oficial para actuar de acuerdo con la legislación en vigor que no es en todos los casos conocida.</w:t>
            </w:r>
          </w:p>
          <w:p w:rsidR="00D942A1" w:rsidRPr="001A7DD3" w:rsidRDefault="002356DE" w:rsidP="002356D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Pr>
                <w:rFonts w:eastAsia="ヒラギノ角ゴ Pro W3" w:cs="Arial"/>
                <w:lang w:eastAsia="en-US"/>
              </w:rPr>
              <w:lastRenderedPageBreak/>
              <w:t xml:space="preserve">• </w:t>
            </w:r>
            <w:r w:rsidRPr="002356DE">
              <w:rPr>
                <w:rFonts w:eastAsia="ヒラギノ角ゴ Pro W3" w:cs="Arial"/>
                <w:lang w:eastAsia="en-US"/>
              </w:rPr>
              <w:t>Regular todo tipo de coadyuvantes tecnológicos independientemente del sector alimentario en el que se utilicen</w:t>
            </w:r>
            <w:r>
              <w:rPr>
                <w:rFonts w:eastAsia="ヒラギノ角ゴ Pro W3" w:cs="Arial"/>
                <w:lang w:eastAsia="en-US"/>
              </w:rPr>
              <w:t>. Sin embargo</w:t>
            </w:r>
            <w:r w:rsidRPr="002356DE">
              <w:rPr>
                <w:rFonts w:eastAsia="ヒラギノ角ゴ Pro W3" w:cs="Arial"/>
                <w:lang w:eastAsia="en-US"/>
              </w:rPr>
              <w:t xml:space="preserve">, se ha considerado inapropiado </w:t>
            </w:r>
            <w:r w:rsidR="00B74B75" w:rsidRPr="00B74B75">
              <w:rPr>
                <w:rFonts w:eastAsia="ヒラギノ角ゴ Pro W3" w:cs="Arial"/>
                <w:lang w:eastAsia="en-US"/>
              </w:rPr>
              <w:t>al no disponerse de normas que reflejen los coadyuvantes utilizados en los alimentos de origen animal</w:t>
            </w:r>
            <w:r w:rsidRPr="002356DE">
              <w:rPr>
                <w:rFonts w:eastAsia="ヒラギノ角ゴ Pro W3" w:cs="Arial"/>
                <w:lang w:eastAsia="en-US"/>
              </w:rPr>
              <w:t xml:space="preserve"> y que</w:t>
            </w:r>
            <w:r>
              <w:rPr>
                <w:rFonts w:eastAsia="ヒラギノ角ゴ Pro W3" w:cs="Arial"/>
                <w:lang w:eastAsia="en-US"/>
              </w:rPr>
              <w:t xml:space="preserve"> servirían de punto de partida.</w:t>
            </w:r>
          </w:p>
        </w:tc>
      </w:tr>
      <w:tr w:rsidR="00D942A1" w:rsidRPr="009A580E" w:rsidTr="009C0503">
        <w:trPr>
          <w:cantSplit/>
          <w:trHeight w:val="39"/>
        </w:trPr>
        <w:tc>
          <w:tcPr>
            <w:tcW w:w="9220" w:type="dxa"/>
            <w:gridSpan w:val="5"/>
            <w:tcBorders>
              <w:top w:val="single" w:sz="16" w:space="0" w:color="000000"/>
              <w:left w:val="single" w:sz="32" w:space="0" w:color="000000"/>
              <w:bottom w:val="single" w:sz="16" w:space="0" w:color="000000"/>
              <w:right w:val="single" w:sz="32" w:space="0" w:color="000000"/>
            </w:tcBorders>
            <w:shd w:val="clear" w:color="auto" w:fill="EFE100"/>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lastRenderedPageBreak/>
              <w:t>CONTENIDO Y ANÁLISIS JURÍDICO</w:t>
            </w:r>
          </w:p>
        </w:tc>
      </w:tr>
      <w:tr w:rsidR="00D942A1" w:rsidRPr="009A580E" w:rsidTr="009C0503">
        <w:trPr>
          <w:cantSplit/>
          <w:trHeight w:val="37"/>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Tipo de norma</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D942A1" w:rsidP="009C0503">
            <w:pPr>
              <w:widowControl w:val="0"/>
              <w:suppressAutoHyphens/>
              <w:autoSpaceDE w:val="0"/>
              <w:autoSpaceDN w:val="0"/>
              <w:adjustRightInd w:val="0"/>
              <w:ind w:left="42"/>
              <w:rPr>
                <w:rFonts w:eastAsia="Calibri" w:cs="Arial"/>
                <w:lang w:eastAsia="en-US"/>
              </w:rPr>
            </w:pPr>
            <w:r w:rsidRPr="001A7DD3">
              <w:rPr>
                <w:rFonts w:eastAsia="Calibri" w:cs="Arial"/>
                <w:lang w:eastAsia="en-US"/>
              </w:rPr>
              <w:t>Real Decreto</w:t>
            </w:r>
          </w:p>
        </w:tc>
      </w:tr>
      <w:tr w:rsidR="00D942A1" w:rsidRPr="009A580E" w:rsidTr="009C0503">
        <w:trPr>
          <w:cantSplit/>
          <w:trHeight w:val="9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b/>
                <w:lang w:eastAsia="en-US"/>
              </w:rPr>
            </w:pPr>
            <w:r w:rsidRPr="001A7DD3">
              <w:rPr>
                <w:rFonts w:eastAsia="Calibri" w:cs="Arial"/>
                <w:b/>
                <w:lang w:eastAsia="en-US"/>
              </w:rPr>
              <w:t xml:space="preserve">Estructura de la Norma </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2356DE" w:rsidP="00E82AB8">
            <w:pPr>
              <w:rPr>
                <w:rFonts w:eastAsia="Calibri" w:cs="Arial"/>
                <w:lang w:eastAsia="en-US"/>
              </w:rPr>
            </w:pPr>
            <w:r w:rsidRPr="002356DE">
              <w:rPr>
                <w:rFonts w:eastAsia="Calibri" w:cs="Arial"/>
                <w:lang w:eastAsia="en-US"/>
              </w:rPr>
              <w:t xml:space="preserve">Un preámbulo, </w:t>
            </w:r>
            <w:r w:rsidR="00E82AB8">
              <w:rPr>
                <w:rFonts w:eastAsia="Calibri" w:cs="Arial"/>
                <w:lang w:eastAsia="en-US"/>
              </w:rPr>
              <w:t>5</w:t>
            </w:r>
            <w:r w:rsidRPr="002356DE">
              <w:rPr>
                <w:rFonts w:eastAsia="Calibri" w:cs="Arial"/>
                <w:lang w:eastAsia="en-US"/>
              </w:rPr>
              <w:t xml:space="preserve"> artículos, 1 disposición adicional</w:t>
            </w:r>
            <w:r w:rsidR="00E82AB8">
              <w:rPr>
                <w:rFonts w:eastAsia="Calibri" w:cs="Arial"/>
                <w:lang w:eastAsia="en-US"/>
              </w:rPr>
              <w:t xml:space="preserve"> única</w:t>
            </w:r>
            <w:r w:rsidRPr="002356DE">
              <w:rPr>
                <w:rFonts w:eastAsia="Calibri" w:cs="Arial"/>
                <w:lang w:eastAsia="en-US"/>
              </w:rPr>
              <w:t>, 1 disposición derogatoria</w:t>
            </w:r>
            <w:r w:rsidR="00E82AB8">
              <w:rPr>
                <w:rFonts w:eastAsia="Calibri" w:cs="Arial"/>
                <w:lang w:eastAsia="en-US"/>
              </w:rPr>
              <w:t xml:space="preserve"> única</w:t>
            </w:r>
            <w:r w:rsidRPr="002356DE">
              <w:rPr>
                <w:rFonts w:eastAsia="Calibri" w:cs="Arial"/>
                <w:lang w:eastAsia="en-US"/>
              </w:rPr>
              <w:t>, 3 disposiciones finales y 2 anexos.</w:t>
            </w:r>
          </w:p>
        </w:tc>
      </w:tr>
      <w:tr w:rsidR="00D942A1" w:rsidRPr="009A580E" w:rsidTr="009C0503">
        <w:trPr>
          <w:cantSplit/>
          <w:trHeight w:val="9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b/>
                <w:lang w:eastAsia="en-US"/>
              </w:rPr>
            </w:pPr>
            <w:r w:rsidRPr="001A7DD3">
              <w:rPr>
                <w:rFonts w:eastAsia="Calibri" w:cs="Arial"/>
                <w:b/>
                <w:lang w:eastAsia="en-US"/>
              </w:rPr>
              <w:t>Tramitación</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D942A1" w:rsidP="009C0503">
            <w:pPr>
              <w:rPr>
                <w:rFonts w:eastAsia="Calibri" w:cs="Arial"/>
                <w:lang w:eastAsia="en-US"/>
              </w:rPr>
            </w:pPr>
            <w:r w:rsidRPr="001A7DD3">
              <w:rPr>
                <w:rFonts w:eastAsia="Calibri" w:cs="Arial"/>
                <w:lang w:eastAsia="en-US"/>
              </w:rPr>
              <w:t>Ordinaria</w:t>
            </w:r>
          </w:p>
        </w:tc>
      </w:tr>
      <w:tr w:rsidR="00D942A1" w:rsidRPr="009A580E" w:rsidTr="0032323C">
        <w:trPr>
          <w:trHeight w:val="4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Informes a recabar</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2A66F8" w:rsidRPr="00100736" w:rsidRDefault="00D942A1" w:rsidP="00B21208">
            <w:pPr>
              <w:rPr>
                <w:rFonts w:cs="Arial"/>
              </w:rPr>
            </w:pPr>
            <w:r w:rsidRPr="00100736">
              <w:rPr>
                <w:rFonts w:cs="Arial"/>
              </w:rPr>
              <w:t xml:space="preserve">- </w:t>
            </w:r>
            <w:r w:rsidR="002A66F8" w:rsidRPr="00100736">
              <w:rPr>
                <w:rFonts w:cs="Arial"/>
              </w:rPr>
              <w:t>Informe de las Secretarías Generales Técnicas de los Ministerios proponentes, de acuerdo con lo previsto en el artículo 26.5 párrafo cuarto de la Ley 50/1997, d</w:t>
            </w:r>
            <w:r w:rsidR="00B21208" w:rsidRPr="00100736">
              <w:rPr>
                <w:rFonts w:cs="Arial"/>
              </w:rPr>
              <w:t xml:space="preserve">e 27 de noviembre, del Gobierno: </w:t>
            </w:r>
            <w:r w:rsidR="002356DE" w:rsidRPr="00100736">
              <w:rPr>
                <w:rFonts w:cs="Arial"/>
              </w:rPr>
              <w:t xml:space="preserve">Ministerio de Consumo; </w:t>
            </w:r>
            <w:r w:rsidR="00B21208" w:rsidRPr="00100736">
              <w:rPr>
                <w:rFonts w:cs="Arial"/>
              </w:rPr>
              <w:t>Ministerio de Agricultura, Pesca y Alimentación.</w:t>
            </w:r>
          </w:p>
          <w:p w:rsidR="002A66F8" w:rsidRPr="00100736" w:rsidRDefault="002A66F8" w:rsidP="002A66F8">
            <w:pPr>
              <w:rPr>
                <w:rFonts w:cs="Arial"/>
              </w:rPr>
            </w:pPr>
            <w:r w:rsidRPr="00100736">
              <w:rPr>
                <w:rFonts w:cs="Arial"/>
              </w:rPr>
              <w:t>- Informe de las Secretarías Generales Técnicas de los Ministerios que resultan afectados, de acuerdo con lo previsto en el artículo 26.5 párrafo primero de la Ley 50/1997, de 27 de noviembre, del Gobierno.</w:t>
            </w:r>
          </w:p>
          <w:p w:rsidR="002A66F8" w:rsidRPr="00100736" w:rsidRDefault="00D942A1" w:rsidP="002A66F8">
            <w:pPr>
              <w:rPr>
                <w:rFonts w:cs="Arial"/>
              </w:rPr>
            </w:pPr>
            <w:r w:rsidRPr="00100736">
              <w:rPr>
                <w:rFonts w:cs="Arial"/>
              </w:rPr>
              <w:t xml:space="preserve">- </w:t>
            </w:r>
            <w:r w:rsidR="002A66F8" w:rsidRPr="00100736">
              <w:rPr>
                <w:rFonts w:cs="Arial"/>
              </w:rPr>
              <w:t>Informe del Ministerio de Política Territorial, acerca de la adecuación del proyecto al orden constitucional de distribución de competencias entre el Estado y las Comunidades Autónomas, de conformidad con el artículo 26.5, párrafo sexto de la citada Ley 50/2007, de 27 de noviembre.</w:t>
            </w:r>
          </w:p>
          <w:p w:rsidR="00D942A1" w:rsidRPr="00100736" w:rsidRDefault="002A66F8" w:rsidP="002A66F8">
            <w:pPr>
              <w:rPr>
                <w:rFonts w:cs="Arial"/>
              </w:rPr>
            </w:pPr>
            <w:r w:rsidRPr="00100736">
              <w:rPr>
                <w:rFonts w:cs="Arial"/>
              </w:rPr>
              <w:t>- Informe de la Oficina de Coordinación y de Calidad Normativa del Ministerio de Presidencia, Relaciones con las Cortes y Memoria Democrática, en cumplimiento del artículo 26.9 de la Ley 50/1997, de 27 de noviembre.</w:t>
            </w:r>
          </w:p>
          <w:p w:rsidR="002A5A31" w:rsidRPr="00100736" w:rsidRDefault="00D942A1" w:rsidP="009C0503">
            <w:pPr>
              <w:rPr>
                <w:rFonts w:cs="Arial"/>
              </w:rPr>
            </w:pPr>
            <w:r w:rsidRPr="00100736">
              <w:rPr>
                <w:rFonts w:cs="Arial"/>
              </w:rPr>
              <w:t>- Informe de la Comisión Interministerial para la Ordenación Alimentaria.</w:t>
            </w:r>
          </w:p>
          <w:p w:rsidR="00D942A1" w:rsidRPr="00100736" w:rsidRDefault="002A5A31" w:rsidP="009C0503">
            <w:pPr>
              <w:rPr>
                <w:rFonts w:cs="Arial"/>
              </w:rPr>
            </w:pPr>
            <w:r w:rsidRPr="00100736">
              <w:rPr>
                <w:rFonts w:cs="Arial"/>
              </w:rPr>
              <w:t>- Informe del Consejo de Consumidores y Usuarios, de acuerdo con el artículo 39.2 del texto refundido de la Ley General de Defensa de los Consumidores y Usuarios, aprobado por Real Decreto Legislativo 1/2007, de 16 de noviembre.</w:t>
            </w:r>
          </w:p>
          <w:p w:rsidR="00100736" w:rsidRPr="00100736" w:rsidRDefault="00100736" w:rsidP="00100736">
            <w:pPr>
              <w:rPr>
                <w:rFonts w:cs="Arial"/>
              </w:rPr>
            </w:pPr>
            <w:r w:rsidRPr="00100736">
              <w:rPr>
                <w:rFonts w:cs="Arial"/>
              </w:rPr>
              <w:lastRenderedPageBreak/>
              <w:t xml:space="preserve">- Consulta e informe de las </w:t>
            </w:r>
            <w:r w:rsidR="001B5928">
              <w:rPr>
                <w:rFonts w:cs="Arial"/>
              </w:rPr>
              <w:t>c</w:t>
            </w:r>
            <w:r w:rsidRPr="00100736">
              <w:rPr>
                <w:rFonts w:cs="Arial"/>
              </w:rPr>
              <w:t xml:space="preserve">omunidades </w:t>
            </w:r>
            <w:r w:rsidR="001B5928">
              <w:rPr>
                <w:rFonts w:cs="Arial"/>
              </w:rPr>
              <w:t>a</w:t>
            </w:r>
            <w:r w:rsidRPr="00100736">
              <w:rPr>
                <w:rFonts w:cs="Arial"/>
              </w:rPr>
              <w:t>utónomas y ciudades de Ceuta y Melilla.</w:t>
            </w:r>
          </w:p>
          <w:p w:rsidR="00100736" w:rsidRPr="00100736" w:rsidRDefault="00100736" w:rsidP="00100736">
            <w:pPr>
              <w:rPr>
                <w:rFonts w:cs="Arial"/>
              </w:rPr>
            </w:pPr>
            <w:r w:rsidRPr="00100736">
              <w:rPr>
                <w:rFonts w:cs="Arial"/>
              </w:rPr>
              <w:t xml:space="preserve">- </w:t>
            </w:r>
            <w:r w:rsidRPr="00100736">
              <w:rPr>
                <w:rFonts w:eastAsia="ヒラギノ角ゴ Pro W3" w:cs="Arial"/>
                <w:lang w:eastAsia="en-US"/>
              </w:rPr>
              <w:t>Comunicación a la Comisión Europea en aplicación del procedimiento previsto en la Directiva (UE) 2015/1535 del Parlamento Europeo y del Consejo, de 9 de septiembre de 2015.</w:t>
            </w:r>
          </w:p>
          <w:p w:rsidR="00FE0F17" w:rsidRPr="00100736" w:rsidRDefault="00D942A1" w:rsidP="00100736">
            <w:pPr>
              <w:rPr>
                <w:rFonts w:cs="Arial"/>
              </w:rPr>
            </w:pPr>
            <w:r w:rsidRPr="00100736">
              <w:rPr>
                <w:rFonts w:cs="Arial"/>
              </w:rPr>
              <w:t>- Dictamen del Consejo de Estado.</w:t>
            </w:r>
          </w:p>
        </w:tc>
      </w:tr>
      <w:tr w:rsidR="00182C58" w:rsidRPr="009A580E" w:rsidTr="009C0503">
        <w:trPr>
          <w:cantSplit/>
          <w:trHeight w:val="4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182C58" w:rsidRPr="001A7DD3" w:rsidRDefault="003610A6" w:rsidP="00182C5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3610A6">
              <w:rPr>
                <w:rFonts w:eastAsia="ヒラギノ角ゴ Pro W3" w:cs="Arial"/>
                <w:b/>
                <w:lang w:eastAsia="en-US"/>
              </w:rPr>
              <w:lastRenderedPageBreak/>
              <w:t>Trámite de consulta pública previa</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182C58" w:rsidRPr="001765E3" w:rsidRDefault="003610A6" w:rsidP="00EF5E1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Pr>
                <w:rFonts w:eastAsia="ヒラギノ角ゴ Pro W3" w:cs="Arial"/>
                <w:lang w:eastAsia="en-US"/>
              </w:rPr>
              <w:t xml:space="preserve">Publicación en </w:t>
            </w:r>
            <w:r w:rsidRPr="003610A6">
              <w:rPr>
                <w:rFonts w:eastAsia="ヒラギノ角ゴ Pro W3" w:cs="Arial"/>
                <w:lang w:eastAsia="en-US"/>
              </w:rPr>
              <w:t xml:space="preserve">la página web del Ministerio de Consumo, desde el </w:t>
            </w:r>
            <w:r w:rsidR="005631DB">
              <w:rPr>
                <w:rFonts w:eastAsia="ヒラギノ角ゴ Pro W3" w:cs="Arial"/>
                <w:lang w:eastAsia="en-US"/>
              </w:rPr>
              <w:t>4</w:t>
            </w:r>
            <w:r w:rsidRPr="003610A6">
              <w:rPr>
                <w:rFonts w:eastAsia="ヒラギノ角ゴ Pro W3" w:cs="Arial"/>
                <w:lang w:eastAsia="en-US"/>
              </w:rPr>
              <w:t xml:space="preserve"> de junio hasta el 25 de junio de 202</w:t>
            </w:r>
            <w:r w:rsidR="002805E4">
              <w:rPr>
                <w:rFonts w:eastAsia="ヒラギノ角ゴ Pro W3" w:cs="Arial"/>
                <w:lang w:eastAsia="en-US"/>
              </w:rPr>
              <w:t>1</w:t>
            </w:r>
            <w:r w:rsidR="00EF5E14">
              <w:rPr>
                <w:rFonts w:eastAsia="ヒラギノ角ゴ Pro W3" w:cs="Arial"/>
                <w:lang w:eastAsia="en-US"/>
              </w:rPr>
              <w:t xml:space="preserve">, </w:t>
            </w:r>
            <w:r w:rsidR="00EF5E14" w:rsidRPr="00EF5E14">
              <w:rPr>
                <w:rFonts w:eastAsia="ヒラギノ角ゴ Pro W3" w:cs="Arial"/>
                <w:lang w:eastAsia="en-US"/>
              </w:rPr>
              <w:t xml:space="preserve">habiendo recibido comentarios de 6 asociaciones </w:t>
            </w:r>
            <w:r w:rsidR="00EF5E14">
              <w:rPr>
                <w:rFonts w:eastAsia="ヒラギノ角ゴ Pro W3" w:cs="Arial"/>
                <w:lang w:eastAsia="en-US"/>
              </w:rPr>
              <w:t xml:space="preserve">nacionales </w:t>
            </w:r>
            <w:r w:rsidR="00EF5E14" w:rsidRPr="00EF5E14">
              <w:rPr>
                <w:rFonts w:eastAsia="ヒラギノ角ゴ Pro W3" w:cs="Arial"/>
                <w:lang w:eastAsia="en-US"/>
              </w:rPr>
              <w:t>y 5 empresas</w:t>
            </w:r>
            <w:r w:rsidRPr="003610A6">
              <w:rPr>
                <w:rFonts w:eastAsia="ヒラギノ角ゴ Pro W3" w:cs="Arial"/>
                <w:lang w:eastAsia="en-US"/>
              </w:rPr>
              <w:t>.</w:t>
            </w:r>
          </w:p>
        </w:tc>
      </w:tr>
      <w:tr w:rsidR="00D942A1" w:rsidRPr="009A580E" w:rsidTr="009C0503">
        <w:trPr>
          <w:cantSplit/>
          <w:trHeight w:val="626"/>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Trámite de audiencia</w:t>
            </w:r>
          </w:p>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y de información pública</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2805E4" w:rsidP="00494B1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Pr>
                <w:rFonts w:eastAsia="ヒラギノ角ゴ Pro W3" w:cs="Arial"/>
                <w:lang w:eastAsia="en-US"/>
              </w:rPr>
              <w:t xml:space="preserve">Publicación en </w:t>
            </w:r>
            <w:r w:rsidRPr="003610A6">
              <w:rPr>
                <w:rFonts w:eastAsia="ヒラギノ角ゴ Pro W3" w:cs="Arial"/>
                <w:lang w:eastAsia="en-US"/>
              </w:rPr>
              <w:t xml:space="preserve">la página web del Ministerio de Consumo, desde el </w:t>
            </w:r>
            <w:r w:rsidR="00494B17">
              <w:rPr>
                <w:rFonts w:eastAsia="ヒラギノ角ゴ Pro W3" w:cs="Arial"/>
                <w:lang w:eastAsia="en-US"/>
              </w:rPr>
              <w:t xml:space="preserve">12 de enero al 3 de febrero de </w:t>
            </w:r>
            <w:r w:rsidRPr="00494B17">
              <w:rPr>
                <w:rFonts w:eastAsia="ヒラギノ角ゴ Pro W3" w:cs="Arial"/>
                <w:lang w:eastAsia="en-US"/>
              </w:rPr>
              <w:t>202</w:t>
            </w:r>
            <w:r w:rsidR="00B87CC3" w:rsidRPr="00494B17">
              <w:rPr>
                <w:rFonts w:eastAsia="ヒラギノ角ゴ Pro W3" w:cs="Arial"/>
                <w:lang w:eastAsia="en-US"/>
              </w:rPr>
              <w:t>3</w:t>
            </w:r>
            <w:r w:rsidRPr="003610A6">
              <w:rPr>
                <w:rFonts w:eastAsia="ヒラギノ角ゴ Pro W3" w:cs="Arial"/>
                <w:lang w:eastAsia="en-US"/>
              </w:rPr>
              <w:t>.</w:t>
            </w:r>
            <w:r>
              <w:rPr>
                <w:rFonts w:eastAsia="ヒラギノ角ゴ Pro W3" w:cs="Arial"/>
                <w:lang w:eastAsia="en-US"/>
              </w:rPr>
              <w:t xml:space="preserve"> </w:t>
            </w:r>
            <w:r w:rsidR="00FD6C03">
              <w:rPr>
                <w:rFonts w:eastAsia="ヒラギノ角ゴ Pro W3" w:cs="Arial"/>
                <w:lang w:eastAsia="en-US"/>
              </w:rPr>
              <w:t>Ha habido aportaciones</w:t>
            </w:r>
            <w:r>
              <w:rPr>
                <w:rFonts w:eastAsia="ヒラギノ角ゴ Pro W3" w:cs="Arial"/>
                <w:lang w:eastAsia="en-US"/>
              </w:rPr>
              <w:t>.</w:t>
            </w:r>
          </w:p>
        </w:tc>
      </w:tr>
      <w:tr w:rsidR="00D942A1" w:rsidRPr="009A580E" w:rsidTr="009C0503">
        <w:trPr>
          <w:cantSplit/>
          <w:trHeight w:val="39"/>
        </w:trPr>
        <w:tc>
          <w:tcPr>
            <w:tcW w:w="9220" w:type="dxa"/>
            <w:gridSpan w:val="5"/>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ANALISIS DE IMPACTOS</w:t>
            </w:r>
          </w:p>
        </w:tc>
      </w:tr>
      <w:tr w:rsidR="00D942A1" w:rsidRPr="009A580E" w:rsidTr="009C0503">
        <w:trPr>
          <w:cantSplit/>
          <w:trHeight w:val="108"/>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Adecuación al orden de distribución de competencias</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 xml:space="preserve">Este real decreto se dicta al amparo de lo dispuesto en el artículo </w:t>
            </w:r>
            <w:bookmarkStart w:id="1" w:name="_Hlk97032313"/>
            <w:r w:rsidRPr="001A7DD3">
              <w:rPr>
                <w:rFonts w:eastAsia="ヒラギノ角ゴ Pro W3" w:cs="Arial"/>
                <w:lang w:eastAsia="en-US"/>
              </w:rPr>
              <w:t>149.1.</w:t>
            </w:r>
            <w:r w:rsidR="00494B17">
              <w:rPr>
                <w:rFonts w:eastAsia="ヒラギノ角ゴ Pro W3" w:cs="Arial"/>
                <w:lang w:eastAsia="en-US"/>
              </w:rPr>
              <w:t>13.ª</w:t>
            </w:r>
            <w:r w:rsidRPr="001A7DD3">
              <w:rPr>
                <w:rFonts w:eastAsia="ヒラギノ角ゴ Pro W3" w:cs="Arial"/>
                <w:lang w:eastAsia="en-US"/>
              </w:rPr>
              <w:t xml:space="preserve"> </w:t>
            </w:r>
            <w:r w:rsidR="00494B17">
              <w:rPr>
                <w:rFonts w:eastAsia="ヒラギノ角ゴ Pro W3" w:cs="Arial"/>
                <w:lang w:eastAsia="en-US"/>
              </w:rPr>
              <w:t xml:space="preserve">y </w:t>
            </w:r>
            <w:r w:rsidRPr="001A7DD3">
              <w:rPr>
                <w:rFonts w:eastAsia="ヒラギノ角ゴ Pro W3" w:cs="Arial"/>
                <w:lang w:eastAsia="en-US"/>
              </w:rPr>
              <w:t>16.ª de la Constitución Española, que atribuye al Estado la competencia exclusiva, en materia de bases y coordinación general de la sanidad</w:t>
            </w:r>
            <w:bookmarkEnd w:id="1"/>
            <w:r w:rsidRPr="001A7DD3">
              <w:rPr>
                <w:rFonts w:eastAsia="ヒラギノ角ゴ Pro W3" w:cs="Arial"/>
                <w:lang w:eastAsia="en-US"/>
              </w:rPr>
              <w:t>.</w:t>
            </w:r>
          </w:p>
        </w:tc>
      </w:tr>
      <w:tr w:rsidR="00D942A1" w:rsidRPr="009A580E" w:rsidTr="001765E3">
        <w:trPr>
          <w:cantSplit/>
          <w:trHeight w:val="1319"/>
        </w:trPr>
        <w:tc>
          <w:tcPr>
            <w:tcW w:w="2694" w:type="dxa"/>
            <w:vMerge w:val="restart"/>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Impacto económico y presupuestario</w:t>
            </w: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lang w:eastAsia="en-US"/>
              </w:rPr>
            </w:pPr>
            <w:r w:rsidRPr="001A7DD3">
              <w:rPr>
                <w:rFonts w:eastAsia="Calibri" w:cs="Arial"/>
                <w:lang w:eastAsia="en-US"/>
              </w:rPr>
              <w:t>Efectos sobre la economía en general.</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765E3" w:rsidRDefault="001A008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Pr>
                <w:rFonts w:eastAsia="Calibri" w:cs="Arial"/>
                <w:lang w:eastAsia="en-US"/>
              </w:rPr>
              <w:t>No se espera un impacto económico asociado a la publicación del real decreto.</w:t>
            </w:r>
          </w:p>
        </w:tc>
      </w:tr>
      <w:tr w:rsidR="00D942A1" w:rsidRPr="009A580E" w:rsidTr="009C0503">
        <w:trPr>
          <w:cantSplit/>
          <w:trHeight w:val="247"/>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lang w:eastAsia="en-US"/>
              </w:rPr>
            </w:pPr>
            <w:r w:rsidRPr="001A7DD3">
              <w:rPr>
                <w:rFonts w:eastAsia="Calibri" w:cs="Arial"/>
                <w:lang w:eastAsia="en-US"/>
              </w:rPr>
              <w:t>En relación con la competencia</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D942A1" w:rsidRPr="001A7DD3" w:rsidRDefault="00ED1A5E"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lang w:eastAsia="en-US"/>
              </w:rPr>
            </w:pPr>
            <w:r w:rsidRPr="009A580E">
              <w:rPr>
                <w:rFonts w:cs="Arial"/>
                <w:noProof/>
              </w:rPr>
              <mc:AlternateContent>
                <mc:Choice Requires="wps">
                  <w:drawing>
                    <wp:inline distT="0" distB="0" distL="0" distR="0" wp14:anchorId="692D1052" wp14:editId="00D816B3">
                      <wp:extent cx="165100" cy="177800"/>
                      <wp:effectExtent l="0" t="0" r="25400" b="12700"/>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rsidR="005411C5" w:rsidRDefault="005411C5" w:rsidP="00ED1A5E">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692D1052" id="Rectangle 4"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" fillcolor="black [3213]" strokeweight="1pt">
                      <v:path arrowok="t"/>
                      <v:textbox inset="8pt,8pt,8pt,8pt">
                        <w:txbxContent>
                          <w:p w:rsidR="005411C5" w:rsidRDefault="005411C5" w:rsidP="00ED1A5E">
                            <w:pPr>
                              <w:pStyle w:val="Formatolibre"/>
                              <w:rPr>
                                <w:rFonts w:ascii="Times New Roman" w:hAnsi="Times New Roman"/>
                                <w:color w:val="auto"/>
                                <w:sz w:val="20"/>
                                <w:lang w:val="es-ES" w:eastAsia="es-ES"/>
                              </w:rPr>
                            </w:pPr>
                          </w:p>
                        </w:txbxContent>
                      </v:textbox>
                      <w10:anchorlock/>
                    </v:rect>
                  </w:pict>
                </mc:Fallback>
              </mc:AlternateContent>
            </w:r>
            <w:r w:rsidR="00D942A1" w:rsidRPr="001A7DD3">
              <w:rPr>
                <w:rFonts w:eastAsia="Calibri" w:cs="Arial"/>
                <w:lang w:eastAsia="en-US"/>
              </w:rPr>
              <w:t xml:space="preserve"> la norma no tiene efectos significativos sobre la competencia.</w:t>
            </w:r>
          </w:p>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lang w:eastAsia="en-US"/>
              </w:rPr>
            </w:pPr>
            <w:r w:rsidRPr="001A7DD3">
              <w:rPr>
                <w:rFonts w:eastAsia="Calibri" w:cs="Arial"/>
                <w:noProof/>
              </w:rPr>
              <mc:AlternateContent>
                <mc:Choice Requires="wps">
                  <w:drawing>
                    <wp:inline distT="0" distB="0" distL="0" distR="0" wp14:anchorId="71F07040" wp14:editId="300F40DC">
                      <wp:extent cx="165100" cy="177800"/>
                      <wp:effectExtent l="9525" t="9525" r="6350" b="12700"/>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71F07040" id="Rectangle 28"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" filled="f" strokeweight="1pt">
                      <v:path arrowok="t"/>
                      <v:textbox inset="8pt,8pt,8pt,8pt">
                        <w:txbxContent>
                          <w:p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1A7DD3">
              <w:rPr>
                <w:rFonts w:eastAsia="Calibri" w:cs="Arial"/>
                <w:lang w:eastAsia="en-US"/>
              </w:rPr>
              <w:t xml:space="preserve"> la norma tiene efectos positivos sobre la competencia.</w:t>
            </w:r>
          </w:p>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Calibri" w:cs="Arial"/>
                <w:lang w:eastAsia="en-US"/>
              </w:rPr>
            </w:pPr>
            <w:r w:rsidRPr="001A7DD3">
              <w:rPr>
                <w:rFonts w:eastAsia="Calibri" w:cs="Arial"/>
                <w:noProof/>
              </w:rPr>
              <mc:AlternateContent>
                <mc:Choice Requires="wps">
                  <w:drawing>
                    <wp:inline distT="0" distB="0" distL="0" distR="0" wp14:anchorId="54380A44" wp14:editId="04EEC473">
                      <wp:extent cx="165100" cy="177800"/>
                      <wp:effectExtent l="9525" t="9525" r="6350" b="12700"/>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54380A44" id="Rectangle 33"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" filled="f" strokeweight="1pt">
                      <v:path arrowok="t"/>
                      <v:textbox inset="8pt,8pt,8pt,8pt">
                        <w:txbxContent>
                          <w:p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1A7DD3">
              <w:rPr>
                <w:rFonts w:eastAsia="Calibri" w:cs="Arial"/>
                <w:lang w:eastAsia="en-US"/>
              </w:rPr>
              <w:t xml:space="preserve"> la norma tiene efectos negativos sobre la competencia.</w:t>
            </w:r>
          </w:p>
        </w:tc>
      </w:tr>
      <w:tr w:rsidR="00D942A1" w:rsidRPr="009A580E" w:rsidTr="009C0503">
        <w:trPr>
          <w:cantSplit/>
          <w:trHeight w:val="288"/>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Desde el punto de vista de las cargas administrativas</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FD6C0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noProof/>
                <w:color w:val="000000"/>
              </w:rPr>
              <mc:AlternateContent>
                <mc:Choice Requires="wps">
                  <w:drawing>
                    <wp:inline distT="0" distB="0" distL="0" distR="0" wp14:anchorId="56F318E9" wp14:editId="470F9822">
                      <wp:extent cx="165100" cy="177800"/>
                      <wp:effectExtent l="9525" t="9525" r="6350" b="12700"/>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11C5" w:rsidRDefault="005411C5" w:rsidP="00D942A1">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56F318E9" id="Rectangle 31"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" filled="f" strokeweight="1pt">
                      <v:path arrowok="t"/>
                      <v:textbox inset="8pt,8pt,8pt,8pt">
                        <w:txbxContent>
                          <w:p w:rsidR="005411C5" w:rsidRDefault="005411C5" w:rsidP="00D942A1">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Pr="001A7DD3">
              <w:rPr>
                <w:rFonts w:eastAsia="ヒラギノ角ゴ Pro W3" w:cs="Arial"/>
                <w:lang w:eastAsia="en-US"/>
              </w:rPr>
              <w:t xml:space="preserve"> supone una reducción de cargas administrativas.</w:t>
            </w:r>
          </w:p>
          <w:p w:rsidR="00D942A1" w:rsidRPr="001A7DD3" w:rsidRDefault="00ED1A5E"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noProof/>
                <w:color w:val="000000"/>
              </w:rPr>
              <w:lastRenderedPageBreak/>
              <mc:AlternateContent>
                <mc:Choice Requires="wps">
                  <w:drawing>
                    <wp:inline distT="0" distB="0" distL="0" distR="0" wp14:anchorId="7DEF24D7" wp14:editId="5A654317">
                      <wp:extent cx="165100" cy="177800"/>
                      <wp:effectExtent l="9525" t="9525" r="6350" b="12700"/>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11C5" w:rsidRDefault="005411C5" w:rsidP="00ED1A5E">
                                  <w:pPr>
                                    <w:pStyle w:val="Formatolibre"/>
                                    <w:rPr>
                                      <w:rFonts w:ascii="Times New Roman" w:eastAsia="Times New Roman" w:hAnsi="Times New Roman"/>
                                      <w:color w:val="auto"/>
                                      <w:sz w:val="20"/>
                                      <w:lang w:val="es-ES" w:eastAsia="es-ES" w:bidi="x-none"/>
                                    </w:rPr>
                                  </w:pPr>
                                </w:p>
                              </w:txbxContent>
                            </wps:txbx>
                            <wps:bodyPr rot="0" vert="horz" wrap="square" lIns="101600" tIns="101600" rIns="101600" bIns="101600" anchor="t" anchorCtr="0" upright="1">
                              <a:noAutofit/>
                            </wps:bodyPr>
                          </wps:wsp>
                        </a:graphicData>
                      </a:graphic>
                    </wp:inline>
                  </w:drawing>
                </mc:Choice>
                <mc:Fallback>
                  <w:pict>
                    <v:rect w14:anchorId="7DEF24D7" 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" filled="f" strokeweight="1pt">
                      <v:path arrowok="t"/>
                      <v:textbox inset="8pt,8pt,8pt,8pt">
                        <w:txbxContent>
                          <w:p w:rsidR="005411C5" w:rsidRDefault="005411C5" w:rsidP="00ED1A5E">
                            <w:pPr>
                              <w:pStyle w:val="Formatolibre"/>
                              <w:rPr>
                                <w:rFonts w:ascii="Times New Roman" w:eastAsia="Times New Roman" w:hAnsi="Times New Roman"/>
                                <w:color w:val="auto"/>
                                <w:sz w:val="20"/>
                                <w:lang w:val="es-ES" w:eastAsia="es-ES" w:bidi="x-none"/>
                              </w:rPr>
                            </w:pPr>
                          </w:p>
                        </w:txbxContent>
                      </v:textbox>
                      <w10:anchorlock/>
                    </v:rect>
                  </w:pict>
                </mc:Fallback>
              </mc:AlternateContent>
            </w:r>
            <w:r w:rsidR="00D942A1" w:rsidRPr="001A7DD3">
              <w:rPr>
                <w:rFonts w:eastAsia="ヒラギノ角ゴ Pro W3" w:cs="Arial"/>
                <w:lang w:eastAsia="en-US"/>
              </w:rPr>
              <w:t xml:space="preserve"> incorpora nuevas cargas administrativas. </w:t>
            </w:r>
          </w:p>
          <w:p w:rsidR="00D942A1" w:rsidRPr="001A7DD3" w:rsidRDefault="00ED1A5E"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9A580E">
              <w:rPr>
                <w:rFonts w:cs="Arial"/>
                <w:noProof/>
              </w:rPr>
              <mc:AlternateContent>
                <mc:Choice Requires="wps">
                  <w:drawing>
                    <wp:inline distT="0" distB="0" distL="0" distR="0" wp14:anchorId="79CBB446" wp14:editId="16CFE95A">
                      <wp:extent cx="165100" cy="177800"/>
                      <wp:effectExtent l="0" t="0" r="25400" b="12700"/>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rsidR="005411C5" w:rsidRDefault="005411C5" w:rsidP="00ED1A5E">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79CBB446" 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" fillcolor="black [3213]" strokeweight="1pt">
                      <v:path arrowok="t"/>
                      <v:textbox inset="8pt,8pt,8pt,8pt">
                        <w:txbxContent>
                          <w:p w:rsidR="005411C5" w:rsidRDefault="005411C5" w:rsidP="00ED1A5E">
                            <w:pPr>
                              <w:pStyle w:val="Formatolibre"/>
                              <w:rPr>
                                <w:rFonts w:ascii="Times New Roman" w:hAnsi="Times New Roman"/>
                                <w:color w:val="auto"/>
                                <w:sz w:val="20"/>
                                <w:lang w:val="es-ES" w:eastAsia="es-ES"/>
                              </w:rPr>
                            </w:pPr>
                          </w:p>
                        </w:txbxContent>
                      </v:textbox>
                      <w10:anchorlock/>
                    </v:rect>
                  </w:pict>
                </mc:Fallback>
              </mc:AlternateContent>
            </w:r>
            <w:r w:rsidR="00D942A1" w:rsidRPr="001A7DD3">
              <w:rPr>
                <w:rFonts w:eastAsia="ヒラギノ角ゴ Pro W3" w:cs="Arial"/>
                <w:lang w:eastAsia="en-US"/>
              </w:rPr>
              <w:t xml:space="preserve"> no afecta a las cargas administrativas.</w:t>
            </w:r>
          </w:p>
        </w:tc>
      </w:tr>
      <w:tr w:rsidR="00D942A1" w:rsidRPr="009A580E" w:rsidTr="009C0503">
        <w:trPr>
          <w:cantSplit/>
          <w:trHeight w:val="266"/>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9A580E">
              <w:rPr>
                <w:rFonts w:cs="Arial"/>
              </w:rPr>
              <w:t>Desde el punto de vista del Plan de Recuperación, Transformación y Resiliencia</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D942A1" w:rsidRPr="009A580E" w:rsidRDefault="00D942A1" w:rsidP="009C0503">
            <w:pPr>
              <w:rPr>
                <w:rFonts w:cs="Arial"/>
              </w:rPr>
            </w:pPr>
            <w:r w:rsidRPr="009A580E">
              <w:rPr>
                <w:rFonts w:cs="Arial"/>
                <w:noProof/>
              </w:rPr>
              <mc:AlternateContent>
                <mc:Choice Requires="wps">
                  <w:drawing>
                    <wp:inline distT="0" distB="0" distL="0" distR="0" wp14:anchorId="714A4C6E" wp14:editId="4A62F95E">
                      <wp:extent cx="165100" cy="177800"/>
                      <wp:effectExtent l="0" t="0" r="25400" b="12700"/>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rsidR="005411C5" w:rsidRDefault="005411C5" w:rsidP="00D942A1">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714A4C6E" 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" fillcolor="black [3213]" strokeweight="1pt">
                      <v:path arrowok="t"/>
                      <v:textbox inset="8pt,8pt,8pt,8pt">
                        <w:txbxContent>
                          <w:p w:rsidR="005411C5" w:rsidRDefault="005411C5" w:rsidP="00D942A1">
                            <w:pPr>
                              <w:pStyle w:val="Formatolibre"/>
                              <w:rPr>
                                <w:rFonts w:ascii="Times New Roman" w:hAnsi="Times New Roman"/>
                                <w:color w:val="auto"/>
                                <w:sz w:val="20"/>
                                <w:lang w:val="es-ES" w:eastAsia="es-ES"/>
                              </w:rPr>
                            </w:pPr>
                          </w:p>
                        </w:txbxContent>
                      </v:textbox>
                      <w10:anchorlock/>
                    </v:rect>
                  </w:pict>
                </mc:Fallback>
              </mc:AlternateContent>
            </w:r>
            <w:r w:rsidRPr="009A580E">
              <w:rPr>
                <w:rFonts w:cs="Arial"/>
              </w:rPr>
              <w:t xml:space="preserve"> No figura recogido en dicho plan.</w:t>
            </w:r>
          </w:p>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9A580E">
              <w:rPr>
                <w:rFonts w:cs="Arial"/>
                <w:noProof/>
              </w:rPr>
              <mc:AlternateContent>
                <mc:Choice Requires="wps">
                  <w:drawing>
                    <wp:inline distT="0" distB="0" distL="0" distR="0" wp14:anchorId="52056A15" wp14:editId="34C386CA">
                      <wp:extent cx="165100" cy="177800"/>
                      <wp:effectExtent l="0" t="0" r="25400" b="12700"/>
                      <wp:docPr id="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rsidR="005411C5" w:rsidRDefault="005411C5" w:rsidP="00D942A1"/>
                              </w:txbxContent>
                            </wps:txbx>
                            <wps:bodyPr rot="0" vert="horz" wrap="square" lIns="101600" tIns="101600" rIns="101600" bIns="101600" anchor="t" anchorCtr="0" upright="1">
                              <a:noAutofit/>
                            </wps:bodyPr>
                          </wps:wsp>
                        </a:graphicData>
                      </a:graphic>
                    </wp:inline>
                  </w:drawing>
                </mc:Choice>
                <mc:Fallback>
                  <w:pict>
                    <v:rect w14:anchorId="52056A15" id="Rectangle 45"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" filled="f" strokeweight="1pt">
                      <v:path arrowok="t"/>
                      <v:textbox inset="8pt,8pt,8pt,8pt">
                        <w:txbxContent>
                          <w:p w:rsidR="005411C5" w:rsidRDefault="005411C5" w:rsidP="00D942A1"/>
                        </w:txbxContent>
                      </v:textbox>
                      <w10:anchorlock/>
                    </v:rect>
                  </w:pict>
                </mc:Fallback>
              </mc:AlternateContent>
            </w:r>
            <w:r w:rsidRPr="009A580E">
              <w:rPr>
                <w:rFonts w:cs="Arial"/>
              </w:rPr>
              <w:t xml:space="preserve"> Figura recogida en dicho plan  </w:t>
            </w:r>
          </w:p>
        </w:tc>
      </w:tr>
      <w:tr w:rsidR="00AD757D" w:rsidRPr="009A580E" w:rsidTr="009C0503">
        <w:trPr>
          <w:cantSplit/>
          <w:trHeight w:val="266"/>
        </w:trPr>
        <w:tc>
          <w:tcPr>
            <w:tcW w:w="2694"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rsidR="00AD757D" w:rsidRPr="001A7DD3" w:rsidRDefault="00AD757D" w:rsidP="00AD75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AD757D" w:rsidRPr="001A7DD3" w:rsidRDefault="00AD75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Desde el punto de vista de los presupuestos, la norma</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rsidR="00AD757D" w:rsidRPr="001A7DD3" w:rsidRDefault="00AD757D" w:rsidP="00AD757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765E3">
              <w:rPr>
                <w:rFonts w:eastAsia="ヒラギノ角ゴ Pro W3" w:cs="Arial"/>
                <w:lang w:eastAsia="en-US"/>
              </w:rPr>
              <w:t>No supone incremento del gasto público.</w:t>
            </w:r>
          </w:p>
        </w:tc>
      </w:tr>
      <w:tr w:rsidR="00D942A1" w:rsidRPr="009A580E" w:rsidTr="009C0503">
        <w:trPr>
          <w:cantSplit/>
          <w:trHeight w:val="18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Efectos en la competencia en el mercado</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En la elaboración de esta norma se han tenido en cuenta los principios contenidos en la Ley 20/2013, de 9 de diciembre, de garantía de la unidad de mercado, entre ellos, la necesidad y proporcionalidad de la regulación, no conteniendo previsiones que pudieran considerarse contrarias a la misma.</w:t>
            </w:r>
          </w:p>
        </w:tc>
      </w:tr>
      <w:tr w:rsidR="00D942A1" w:rsidRPr="009A580E" w:rsidTr="009C0503">
        <w:trPr>
          <w:cantSplit/>
          <w:trHeight w:val="189"/>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Impacto de género</w:t>
            </w:r>
          </w:p>
        </w:tc>
        <w:tc>
          <w:tcPr>
            <w:tcW w:w="3332"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 xml:space="preserve">La norma tiene un impacto </w:t>
            </w:r>
          </w:p>
        </w:tc>
        <w:tc>
          <w:tcPr>
            <w:tcW w:w="3194"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 xml:space="preserve">Negativo   </w:t>
            </w:r>
            <w:r w:rsidRPr="001A7DD3">
              <w:rPr>
                <w:rFonts w:eastAsia="ヒラギノ角ゴ Pro W3" w:cs="Arial"/>
                <w:noProof/>
              </w:rPr>
              <mc:AlternateContent>
                <mc:Choice Requires="wps">
                  <w:drawing>
                    <wp:inline distT="0" distB="0" distL="0" distR="0" wp14:anchorId="4C16C115" wp14:editId="1FFA2A55">
                      <wp:extent cx="165100" cy="177800"/>
                      <wp:effectExtent l="9525" t="9525" r="6350" b="12700"/>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11C5" w:rsidRDefault="005411C5" w:rsidP="00D942A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4C16C115" id="Rectangle 22"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u4HbfmwCAAD8BAAADgAAAAAAAAAAAAAAAAAuAgAA&#10;ZHJzL2Uyb0RvYy54bWxQSwECLQAUAAYACAAAACEAr/YCoNoAAAADAQAADwAAAAAAAAAAAAAAAADG&#10;BAAAZHJzL2Rvd25yZXYueG1sUEsFBgAAAAAEAAQA8wAAAM0FAAAAAA==&#10;" filled="f" strokeweight="1pt">
                      <v:path arrowok="t"/>
                      <v:textbox inset="8pt,8pt,8pt,8pt">
                        <w:txbxContent>
                          <w:p w:rsidR="005411C5" w:rsidRDefault="005411C5" w:rsidP="00D942A1">
                            <w:pPr>
                              <w:rPr>
                                <w:lang w:bidi="x-none"/>
                              </w:rPr>
                            </w:pPr>
                          </w:p>
                        </w:txbxContent>
                      </v:textbox>
                      <w10:anchorlock/>
                    </v:rect>
                  </w:pict>
                </mc:Fallback>
              </mc:AlternateContent>
            </w:r>
          </w:p>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 xml:space="preserve">Nulo       </w:t>
            </w:r>
            <w:r w:rsidR="00D619E6">
              <w:rPr>
                <w:rFonts w:eastAsia="ヒラギノ角ゴ Pro W3" w:cs="Arial"/>
                <w:lang w:eastAsia="en-US"/>
              </w:rPr>
              <w:t xml:space="preserve"> </w:t>
            </w:r>
            <w:r w:rsidRPr="001A7DD3">
              <w:rPr>
                <w:rFonts w:eastAsia="ヒラギノ角ゴ Pro W3" w:cs="Arial"/>
                <w:lang w:eastAsia="en-US"/>
              </w:rPr>
              <w:t xml:space="preserve">  </w:t>
            </w:r>
            <w:r w:rsidR="009C0348" w:rsidRPr="009A580E">
              <w:rPr>
                <w:rFonts w:cs="Arial"/>
                <w:noProof/>
              </w:rPr>
              <mc:AlternateContent>
                <mc:Choice Requires="wps">
                  <w:drawing>
                    <wp:inline distT="0" distB="0" distL="0" distR="0" wp14:anchorId="21B02229" wp14:editId="7D1B4FBD">
                      <wp:extent cx="165100" cy="177800"/>
                      <wp:effectExtent l="0" t="0" r="25400" b="1270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rsidR="005411C5" w:rsidRDefault="005411C5" w:rsidP="009C0348">
                                  <w:pPr>
                                    <w:pStyle w:val="Formatolibre"/>
                                    <w:rPr>
                                      <w:rFonts w:ascii="Times New Roman" w:hAnsi="Times New Roman"/>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21B02229" 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" fillcolor="black [3213]" strokeweight="1pt">
                      <v:path arrowok="t"/>
                      <v:textbox inset="8pt,8pt,8pt,8pt">
                        <w:txbxContent>
                          <w:p w:rsidR="005411C5" w:rsidRDefault="005411C5" w:rsidP="009C0348">
                            <w:pPr>
                              <w:pStyle w:val="Formatolibre"/>
                              <w:rPr>
                                <w:rFonts w:ascii="Times New Roman" w:hAnsi="Times New Roman"/>
                                <w:color w:val="auto"/>
                                <w:sz w:val="20"/>
                                <w:lang w:val="es-ES" w:eastAsia="es-ES"/>
                              </w:rPr>
                            </w:pPr>
                          </w:p>
                        </w:txbxContent>
                      </v:textbox>
                      <w10:anchorlock/>
                    </v:rect>
                  </w:pict>
                </mc:Fallback>
              </mc:AlternateContent>
            </w:r>
          </w:p>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 xml:space="preserve">Positivo     </w:t>
            </w:r>
            <w:r w:rsidRPr="001A7DD3">
              <w:rPr>
                <w:rFonts w:eastAsia="ヒラギノ角ゴ Pro W3" w:cs="Arial"/>
                <w:noProof/>
              </w:rPr>
              <mc:AlternateContent>
                <mc:Choice Requires="wps">
                  <w:drawing>
                    <wp:inline distT="0" distB="0" distL="0" distR="0" wp14:anchorId="4846C9CA" wp14:editId="2B0B572B">
                      <wp:extent cx="165100" cy="177800"/>
                      <wp:effectExtent l="0" t="0" r="25400" b="12700"/>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11C5" w:rsidRDefault="005411C5" w:rsidP="00D942A1">
                                  <w:pPr>
                                    <w:rPr>
                                      <w:lang w:bidi="x-none"/>
                                    </w:rPr>
                                  </w:pPr>
                                </w:p>
                              </w:txbxContent>
                            </wps:txbx>
                            <wps:bodyPr rot="0" vert="horz" wrap="square" lIns="101600" tIns="101600" rIns="101600" bIns="101600" anchor="t" anchorCtr="0" upright="1">
                              <a:noAutofit/>
                            </wps:bodyPr>
                          </wps:wsp>
                        </a:graphicData>
                      </a:graphic>
                    </wp:inline>
                  </w:drawing>
                </mc:Choice>
                <mc:Fallback>
                  <w:pict>
                    <v:rect w14:anchorId="4846C9CA" id="Rectangle 24"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VvUIE2wCAAD8BAAADgAAAAAAAAAAAAAAAAAuAgAA&#10;ZHJzL2Uyb0RvYy54bWxQSwECLQAUAAYACAAAACEAr/YCoNoAAAADAQAADwAAAAAAAAAAAAAAAADG&#10;BAAAZHJzL2Rvd25yZXYueG1sUEsFBgAAAAAEAAQA8wAAAM0FAAAAAA==&#10;" filled="f" strokeweight="1pt">
                      <v:path arrowok="t"/>
                      <v:textbox inset="8pt,8pt,8pt,8pt">
                        <w:txbxContent>
                          <w:p w:rsidR="005411C5" w:rsidRDefault="005411C5" w:rsidP="00D942A1">
                            <w:pPr>
                              <w:rPr>
                                <w:lang w:bidi="x-none"/>
                              </w:rPr>
                            </w:pPr>
                          </w:p>
                        </w:txbxContent>
                      </v:textbox>
                      <w10:anchorlock/>
                    </v:rect>
                  </w:pict>
                </mc:Fallback>
              </mc:AlternateContent>
            </w:r>
          </w:p>
        </w:tc>
      </w:tr>
      <w:tr w:rsidR="00D942A1" w:rsidRPr="009A580E" w:rsidTr="009C0503">
        <w:trPr>
          <w:cantSplit/>
          <w:trHeight w:val="141"/>
        </w:trPr>
        <w:tc>
          <w:tcPr>
            <w:tcW w:w="2694"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Otros impactos considerados</w:t>
            </w:r>
          </w:p>
        </w:tc>
        <w:tc>
          <w:tcPr>
            <w:tcW w:w="6526"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 xml:space="preserve">No existen impactos </w:t>
            </w:r>
            <w:r w:rsidR="00AD757D" w:rsidRPr="00AD757D">
              <w:rPr>
                <w:rFonts w:eastAsia="ヒラギノ角ゴ Pro W3" w:cs="Arial"/>
                <w:lang w:eastAsia="en-US"/>
              </w:rPr>
              <w:t>por razón de cambio climático</w:t>
            </w:r>
            <w:r w:rsidRPr="001A7DD3">
              <w:rPr>
                <w:rFonts w:eastAsia="ヒラギノ角ゴ Pro W3" w:cs="Arial"/>
                <w:lang w:eastAsia="en-US"/>
              </w:rPr>
              <w:t>, ni en materia de igualdad de oportunidades, ni discriminación y accesibilidad universal de las personas con discapacidad.</w:t>
            </w:r>
          </w:p>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p>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Asimismo, el proyecto de real decreto no tiene impacto en la infancia ni en la adolescencia, como tampoco en la familia.</w:t>
            </w:r>
          </w:p>
        </w:tc>
      </w:tr>
      <w:tr w:rsidR="00D942A1" w:rsidRPr="009A580E" w:rsidTr="009C0503">
        <w:trPr>
          <w:cantSplit/>
          <w:trHeight w:val="141"/>
        </w:trPr>
        <w:tc>
          <w:tcPr>
            <w:tcW w:w="2694" w:type="dxa"/>
            <w:tcBorders>
              <w:top w:val="single" w:sz="16" w:space="0" w:color="000000"/>
              <w:left w:val="single" w:sz="32" w:space="0" w:color="000000"/>
              <w:bottom w:val="single" w:sz="32" w:space="0" w:color="000000"/>
              <w:right w:val="single" w:sz="16" w:space="0" w:color="000000"/>
            </w:tcBorders>
            <w:shd w:val="clear" w:color="auto" w:fill="E3DFA6"/>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b/>
                <w:lang w:eastAsia="en-US"/>
              </w:rPr>
            </w:pPr>
            <w:r w:rsidRPr="001A7DD3">
              <w:rPr>
                <w:rFonts w:eastAsia="ヒラギノ角ゴ Pro W3" w:cs="Arial"/>
                <w:b/>
                <w:lang w:eastAsia="en-US"/>
              </w:rPr>
              <w:t>Otras consideraciones</w:t>
            </w:r>
          </w:p>
        </w:tc>
        <w:tc>
          <w:tcPr>
            <w:tcW w:w="6526" w:type="dxa"/>
            <w:gridSpan w:val="4"/>
            <w:tcBorders>
              <w:top w:val="single" w:sz="16" w:space="0" w:color="000000"/>
              <w:left w:val="single" w:sz="16" w:space="0" w:color="000000"/>
              <w:bottom w:val="single" w:sz="32" w:space="0" w:color="000000"/>
              <w:right w:val="single" w:sz="32" w:space="0" w:color="000000"/>
            </w:tcBorders>
            <w:shd w:val="clear" w:color="auto" w:fill="EEFFEB"/>
            <w:tcMar>
              <w:top w:w="100" w:type="dxa"/>
              <w:left w:w="100" w:type="dxa"/>
              <w:bottom w:w="100" w:type="dxa"/>
              <w:right w:w="100" w:type="dxa"/>
            </w:tcMar>
          </w:tcPr>
          <w:p w:rsidR="00D942A1" w:rsidRPr="001A7DD3" w:rsidRDefault="00D942A1" w:rsidP="009C050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eastAsia="ヒラギノ角ゴ Pro W3" w:cs="Arial"/>
                <w:lang w:eastAsia="en-US"/>
              </w:rPr>
            </w:pPr>
            <w:r w:rsidRPr="001A7DD3">
              <w:rPr>
                <w:rFonts w:eastAsia="ヒラギノ角ゴ Pro W3" w:cs="Arial"/>
                <w:lang w:eastAsia="en-US"/>
              </w:rPr>
              <w:t>No se considera necesario realizar consideraciones adicionales.</w:t>
            </w:r>
          </w:p>
        </w:tc>
      </w:tr>
    </w:tbl>
    <w:p w:rsidR="00D942A1" w:rsidRDefault="00D942A1" w:rsidP="00D942A1">
      <w:pPr>
        <w:rPr>
          <w:rFonts w:cs="Arial"/>
          <w:b/>
        </w:rPr>
      </w:pPr>
    </w:p>
    <w:p w:rsidR="00D942A1" w:rsidRDefault="00D942A1" w:rsidP="00D942A1">
      <w:pPr>
        <w:rPr>
          <w:rFonts w:cs="Arial"/>
          <w:b/>
        </w:rPr>
      </w:pPr>
      <w:r>
        <w:rPr>
          <w:rFonts w:cs="Arial"/>
          <w:b/>
        </w:rPr>
        <w:br w:type="page"/>
      </w:r>
    </w:p>
    <w:p w:rsidR="00B820E6" w:rsidRDefault="00B820E6" w:rsidP="00B820E6">
      <w:pPr>
        <w:rPr>
          <w:rFonts w:cs="Arial"/>
          <w:bCs/>
          <w:iCs/>
          <w:caps/>
          <w:sz w:val="22"/>
          <w:szCs w:val="22"/>
        </w:rPr>
      </w:pPr>
      <w:r>
        <w:rPr>
          <w:rFonts w:cs="Arial"/>
          <w:bCs/>
          <w:iCs/>
          <w:caps/>
          <w:sz w:val="22"/>
          <w:szCs w:val="22"/>
        </w:rPr>
        <w:lastRenderedPageBreak/>
        <w:t>INDICE</w:t>
      </w:r>
    </w:p>
    <w:p w:rsidR="00B820E6" w:rsidRPr="00C5179C" w:rsidRDefault="00B820E6" w:rsidP="00B820E6">
      <w:pPr>
        <w:rPr>
          <w:rFonts w:cs="Arial"/>
          <w:bCs/>
          <w:iCs/>
          <w:caps/>
          <w:sz w:val="22"/>
          <w:szCs w:val="22"/>
        </w:rPr>
      </w:pPr>
    </w:p>
    <w:p w:rsidR="00B820E6" w:rsidRPr="00C5179C" w:rsidRDefault="00B820E6" w:rsidP="00B820E6">
      <w:pPr>
        <w:pStyle w:val="Ttulo1"/>
        <w:rPr>
          <w:b w:val="0"/>
        </w:rPr>
      </w:pPr>
      <w:r w:rsidRPr="00C5179C">
        <w:rPr>
          <w:b w:val="0"/>
        </w:rPr>
        <w:t>A) OPORTUNIDAD DE LA PROPUESTA</w:t>
      </w:r>
    </w:p>
    <w:p w:rsidR="00B820E6" w:rsidRPr="00C5179C" w:rsidRDefault="00B820E6" w:rsidP="00B820E6">
      <w:pPr>
        <w:ind w:left="360" w:hanging="360"/>
        <w:rPr>
          <w:rFonts w:cs="Arial"/>
          <w:sz w:val="22"/>
          <w:szCs w:val="22"/>
        </w:rPr>
      </w:pPr>
    </w:p>
    <w:p w:rsidR="00B820E6" w:rsidRPr="00C5179C" w:rsidRDefault="00B820E6" w:rsidP="00B820E6">
      <w:pPr>
        <w:pStyle w:val="Ttulo2"/>
        <w:numPr>
          <w:ilvl w:val="0"/>
          <w:numId w:val="22"/>
        </w:numPr>
        <w:rPr>
          <w:b w:val="0"/>
        </w:rPr>
      </w:pPr>
      <w:r w:rsidRPr="00C5179C">
        <w:rPr>
          <w:b w:val="0"/>
        </w:rPr>
        <w:t>MOTIVACIÓN</w:t>
      </w:r>
    </w:p>
    <w:p w:rsidR="00B820E6" w:rsidRPr="00C5179C" w:rsidRDefault="00B820E6" w:rsidP="00B820E6">
      <w:pPr>
        <w:pStyle w:val="Ttulo2"/>
        <w:numPr>
          <w:ilvl w:val="0"/>
          <w:numId w:val="22"/>
        </w:numPr>
        <w:rPr>
          <w:b w:val="0"/>
        </w:rPr>
      </w:pPr>
      <w:r w:rsidRPr="00C5179C">
        <w:rPr>
          <w:b w:val="0"/>
        </w:rPr>
        <w:t>OBJETIVOS</w:t>
      </w:r>
    </w:p>
    <w:p w:rsidR="00B820E6" w:rsidRPr="00C5179C" w:rsidRDefault="00B820E6" w:rsidP="00B820E6">
      <w:pPr>
        <w:pStyle w:val="Ttulo2"/>
        <w:numPr>
          <w:ilvl w:val="0"/>
          <w:numId w:val="22"/>
        </w:numPr>
        <w:rPr>
          <w:b w:val="0"/>
        </w:rPr>
      </w:pPr>
      <w:r w:rsidRPr="00C5179C">
        <w:rPr>
          <w:b w:val="0"/>
        </w:rPr>
        <w:t>ADECUACIÓN A LOS PRINCIPIOS DE BUENA REGULACIÓN</w:t>
      </w:r>
    </w:p>
    <w:p w:rsidR="00B820E6" w:rsidRPr="00C5179C" w:rsidRDefault="00B820E6" w:rsidP="00B820E6">
      <w:pPr>
        <w:pStyle w:val="Ttulo2"/>
        <w:numPr>
          <w:ilvl w:val="0"/>
          <w:numId w:val="22"/>
        </w:numPr>
        <w:rPr>
          <w:b w:val="0"/>
        </w:rPr>
      </w:pPr>
      <w:r w:rsidRPr="00C5179C">
        <w:rPr>
          <w:b w:val="0"/>
        </w:rPr>
        <w:t>ALTERNATIVAS</w:t>
      </w:r>
    </w:p>
    <w:p w:rsidR="00B820E6" w:rsidRPr="00C5179C" w:rsidRDefault="00B820E6" w:rsidP="00B820E6">
      <w:pPr>
        <w:pStyle w:val="Ttulo2"/>
        <w:numPr>
          <w:ilvl w:val="0"/>
          <w:numId w:val="22"/>
        </w:numPr>
        <w:rPr>
          <w:rFonts w:eastAsia="ヒラギノ角ゴ Pro W3"/>
          <w:b w:val="0"/>
          <w:lang w:eastAsia="en-US"/>
        </w:rPr>
      </w:pPr>
      <w:r w:rsidRPr="00C5179C">
        <w:rPr>
          <w:rFonts w:eastAsia="ヒラギノ角ゴ Pro W3"/>
          <w:b w:val="0"/>
          <w:lang w:eastAsia="en-US"/>
        </w:rPr>
        <w:t>INCLUSIÓN EN EL PLAN ANUAL NORMATIVO</w:t>
      </w:r>
    </w:p>
    <w:p w:rsidR="00B820E6" w:rsidRPr="00C5179C" w:rsidRDefault="00B820E6" w:rsidP="00B820E6">
      <w:pPr>
        <w:rPr>
          <w:rFonts w:eastAsia="ヒラギノ角ゴ Pro W3" w:cs="Arial"/>
          <w:sz w:val="22"/>
          <w:szCs w:val="22"/>
          <w:lang w:eastAsia="en-US"/>
        </w:rPr>
      </w:pPr>
    </w:p>
    <w:p w:rsidR="00B820E6" w:rsidRPr="00C5179C" w:rsidRDefault="00B820E6" w:rsidP="00B820E6">
      <w:pPr>
        <w:pStyle w:val="Ttulo1"/>
        <w:rPr>
          <w:b w:val="0"/>
        </w:rPr>
      </w:pPr>
      <w:r w:rsidRPr="00C5179C">
        <w:rPr>
          <w:b w:val="0"/>
        </w:rPr>
        <w:t>B) CONTENIDO Y ANÁLISIS JURÍDICO</w:t>
      </w:r>
    </w:p>
    <w:p w:rsidR="00B820E6" w:rsidRPr="00C5179C" w:rsidRDefault="00B820E6" w:rsidP="00B820E6">
      <w:pPr>
        <w:rPr>
          <w:rFonts w:cs="Arial"/>
          <w:sz w:val="22"/>
          <w:szCs w:val="22"/>
        </w:rPr>
      </w:pPr>
    </w:p>
    <w:p w:rsidR="00B820E6" w:rsidRPr="00C5179C" w:rsidRDefault="00B820E6" w:rsidP="00B820E6">
      <w:pPr>
        <w:pStyle w:val="Ttulo2"/>
        <w:numPr>
          <w:ilvl w:val="0"/>
          <w:numId w:val="23"/>
        </w:numPr>
        <w:rPr>
          <w:b w:val="0"/>
        </w:rPr>
      </w:pPr>
      <w:r w:rsidRPr="00C5179C">
        <w:rPr>
          <w:b w:val="0"/>
        </w:rPr>
        <w:t>CONTENIDO</w:t>
      </w:r>
    </w:p>
    <w:p w:rsidR="00B820E6" w:rsidRPr="00C5179C" w:rsidRDefault="00B820E6" w:rsidP="00B820E6">
      <w:pPr>
        <w:pStyle w:val="Ttulo2"/>
        <w:numPr>
          <w:ilvl w:val="0"/>
          <w:numId w:val="23"/>
        </w:numPr>
        <w:rPr>
          <w:b w:val="0"/>
        </w:rPr>
      </w:pPr>
      <w:r w:rsidRPr="00C5179C">
        <w:rPr>
          <w:b w:val="0"/>
        </w:rPr>
        <w:t>ANÁLISIS JURÍDICO</w:t>
      </w:r>
    </w:p>
    <w:p w:rsidR="00B820E6" w:rsidRPr="00C5179C" w:rsidRDefault="00B820E6" w:rsidP="00B820E6">
      <w:pPr>
        <w:pStyle w:val="Ttulo2"/>
        <w:numPr>
          <w:ilvl w:val="0"/>
          <w:numId w:val="24"/>
        </w:numPr>
        <w:rPr>
          <w:b w:val="0"/>
        </w:rPr>
      </w:pPr>
      <w:r w:rsidRPr="00C5179C">
        <w:rPr>
          <w:b w:val="0"/>
        </w:rPr>
        <w:t xml:space="preserve">Coherencia con el derecho nacional </w:t>
      </w:r>
    </w:p>
    <w:p w:rsidR="00B820E6" w:rsidRPr="00C5179C" w:rsidRDefault="00B820E6" w:rsidP="00B820E6">
      <w:pPr>
        <w:pStyle w:val="Ttulo2"/>
        <w:numPr>
          <w:ilvl w:val="0"/>
          <w:numId w:val="24"/>
        </w:numPr>
        <w:rPr>
          <w:b w:val="0"/>
        </w:rPr>
      </w:pPr>
      <w:r w:rsidRPr="00C5179C">
        <w:rPr>
          <w:b w:val="0"/>
        </w:rPr>
        <w:lastRenderedPageBreak/>
        <w:t>Coherencia con el derecho europeo.</w:t>
      </w:r>
    </w:p>
    <w:p w:rsidR="00B820E6" w:rsidRPr="00C5179C" w:rsidRDefault="00B820E6" w:rsidP="00B820E6">
      <w:pPr>
        <w:pStyle w:val="Ttulo2"/>
        <w:numPr>
          <w:ilvl w:val="0"/>
          <w:numId w:val="24"/>
        </w:numPr>
        <w:rPr>
          <w:b w:val="0"/>
        </w:rPr>
      </w:pPr>
      <w:r w:rsidRPr="00C5179C">
        <w:rPr>
          <w:b w:val="0"/>
        </w:rPr>
        <w:t xml:space="preserve">Normas derogadas </w:t>
      </w:r>
    </w:p>
    <w:p w:rsidR="00B820E6" w:rsidRPr="00C5179C" w:rsidRDefault="00B820E6" w:rsidP="00B820E6">
      <w:pPr>
        <w:pStyle w:val="Ttulo2"/>
        <w:numPr>
          <w:ilvl w:val="0"/>
          <w:numId w:val="24"/>
        </w:numPr>
        <w:rPr>
          <w:b w:val="0"/>
        </w:rPr>
      </w:pPr>
      <w:r w:rsidRPr="00C5179C">
        <w:rPr>
          <w:b w:val="0"/>
        </w:rPr>
        <w:t>Rango normativo</w:t>
      </w:r>
    </w:p>
    <w:p w:rsidR="00B820E6" w:rsidRPr="00C5179C" w:rsidRDefault="00B820E6" w:rsidP="00B820E6">
      <w:pPr>
        <w:pStyle w:val="Ttulo2"/>
        <w:numPr>
          <w:ilvl w:val="0"/>
          <w:numId w:val="24"/>
        </w:numPr>
        <w:rPr>
          <w:b w:val="0"/>
        </w:rPr>
      </w:pPr>
      <w:r w:rsidRPr="00C5179C">
        <w:rPr>
          <w:b w:val="0"/>
        </w:rPr>
        <w:t>Entrada en vigor</w:t>
      </w:r>
    </w:p>
    <w:p w:rsidR="00B820E6" w:rsidRPr="00C5179C" w:rsidRDefault="00B820E6" w:rsidP="00B820E6">
      <w:pPr>
        <w:pStyle w:val="Ttulo2"/>
        <w:numPr>
          <w:ilvl w:val="0"/>
          <w:numId w:val="24"/>
        </w:numPr>
        <w:rPr>
          <w:b w:val="0"/>
        </w:rPr>
      </w:pPr>
      <w:r w:rsidRPr="00C5179C">
        <w:rPr>
          <w:b w:val="0"/>
        </w:rPr>
        <w:t>Vigencia</w:t>
      </w:r>
    </w:p>
    <w:p w:rsidR="00B820E6" w:rsidRPr="00C5179C" w:rsidRDefault="00B820E6" w:rsidP="00B820E6">
      <w:pPr>
        <w:rPr>
          <w:rFonts w:cs="Arial"/>
          <w:color w:val="000000"/>
          <w:sz w:val="22"/>
          <w:szCs w:val="22"/>
        </w:rPr>
      </w:pPr>
    </w:p>
    <w:p w:rsidR="00B820E6" w:rsidRDefault="00B820E6" w:rsidP="00B820E6">
      <w:pPr>
        <w:pStyle w:val="Ttulo1"/>
        <w:rPr>
          <w:b w:val="0"/>
        </w:rPr>
      </w:pPr>
      <w:r w:rsidRPr="00C5179C">
        <w:rPr>
          <w:b w:val="0"/>
        </w:rPr>
        <w:t>C) ADECUACIÓN DE LA NORMA AL ORDEN DE DISTRIBUCIÓN DE COMPETENCIAS</w:t>
      </w:r>
    </w:p>
    <w:p w:rsidR="00B820E6" w:rsidRPr="00C5179C" w:rsidRDefault="00B820E6" w:rsidP="00B820E6"/>
    <w:p w:rsidR="00B820E6" w:rsidRPr="00C5179C" w:rsidRDefault="00B820E6" w:rsidP="00B820E6">
      <w:pPr>
        <w:rPr>
          <w:rFonts w:cs="Arial"/>
          <w:color w:val="000000"/>
          <w:sz w:val="22"/>
          <w:szCs w:val="22"/>
          <w:u w:val="single"/>
        </w:rPr>
      </w:pPr>
      <w:r w:rsidRPr="00C5179C">
        <w:rPr>
          <w:rFonts w:cs="Arial"/>
          <w:sz w:val="22"/>
          <w:szCs w:val="22"/>
          <w:u w:val="single"/>
          <w:lang w:val="pt-PT"/>
        </w:rPr>
        <w:t xml:space="preserve">D) </w:t>
      </w:r>
      <w:r w:rsidRPr="00C5179C">
        <w:rPr>
          <w:rFonts w:cs="Arial"/>
          <w:color w:val="000000"/>
          <w:sz w:val="22"/>
          <w:szCs w:val="22"/>
          <w:u w:val="single"/>
        </w:rPr>
        <w:t>TRAMITACIÓN Y CONSULTAS</w:t>
      </w:r>
    </w:p>
    <w:p w:rsidR="00B820E6" w:rsidRPr="00C5179C" w:rsidRDefault="00B820E6" w:rsidP="00B820E6">
      <w:pPr>
        <w:ind w:right="44"/>
        <w:rPr>
          <w:rFonts w:cs="Arial"/>
          <w:sz w:val="22"/>
          <w:szCs w:val="22"/>
        </w:rPr>
      </w:pPr>
    </w:p>
    <w:p w:rsidR="00B820E6" w:rsidRPr="00C5179C" w:rsidRDefault="00B820E6" w:rsidP="00B820E6">
      <w:pPr>
        <w:pStyle w:val="Ttulo1"/>
        <w:rPr>
          <w:b w:val="0"/>
          <w:lang w:val="pt-PT"/>
        </w:rPr>
      </w:pPr>
      <w:r w:rsidRPr="00C5179C">
        <w:rPr>
          <w:b w:val="0"/>
          <w:lang w:val="pt-PT"/>
        </w:rPr>
        <w:t>E) ANÁLISIS DE IMPACTOS</w:t>
      </w:r>
    </w:p>
    <w:p w:rsidR="00B820E6" w:rsidRPr="00C5179C" w:rsidRDefault="00B820E6" w:rsidP="00B820E6">
      <w:pPr>
        <w:rPr>
          <w:rFonts w:cs="Arial"/>
          <w:sz w:val="22"/>
          <w:szCs w:val="22"/>
          <w:u w:val="single"/>
          <w:lang w:val="pt-PT"/>
        </w:rPr>
      </w:pPr>
    </w:p>
    <w:p w:rsidR="00B820E6" w:rsidRPr="00C5179C" w:rsidRDefault="00B820E6" w:rsidP="00B820E6">
      <w:pPr>
        <w:pStyle w:val="Ttulo2"/>
        <w:numPr>
          <w:ilvl w:val="0"/>
          <w:numId w:val="25"/>
        </w:numPr>
        <w:rPr>
          <w:b w:val="0"/>
        </w:rPr>
      </w:pPr>
      <w:r w:rsidRPr="00C5179C">
        <w:rPr>
          <w:b w:val="0"/>
        </w:rPr>
        <w:t>IMPACTO ECONÓMICO Y PRESUPUESTARIO</w:t>
      </w:r>
    </w:p>
    <w:p w:rsidR="00B820E6" w:rsidRPr="00C5179C" w:rsidRDefault="00B820E6" w:rsidP="00B820E6">
      <w:pPr>
        <w:pStyle w:val="Ttulo2"/>
        <w:numPr>
          <w:ilvl w:val="0"/>
          <w:numId w:val="26"/>
        </w:numPr>
        <w:rPr>
          <w:b w:val="0"/>
        </w:rPr>
      </w:pPr>
      <w:r w:rsidRPr="00C5179C">
        <w:rPr>
          <w:b w:val="0"/>
        </w:rPr>
        <w:t>Impacto económico</w:t>
      </w:r>
    </w:p>
    <w:p w:rsidR="00B820E6" w:rsidRPr="00C5179C" w:rsidRDefault="00B820E6" w:rsidP="00B820E6">
      <w:pPr>
        <w:pStyle w:val="Ttulo2"/>
        <w:numPr>
          <w:ilvl w:val="0"/>
          <w:numId w:val="26"/>
        </w:numPr>
        <w:rPr>
          <w:b w:val="0"/>
        </w:rPr>
      </w:pPr>
      <w:r w:rsidRPr="00C5179C">
        <w:rPr>
          <w:b w:val="0"/>
        </w:rPr>
        <w:t>Impacto presupuestario</w:t>
      </w:r>
    </w:p>
    <w:p w:rsidR="00B820E6" w:rsidRPr="00C5179C" w:rsidRDefault="00B820E6" w:rsidP="00B820E6">
      <w:pPr>
        <w:pStyle w:val="Ttulo2"/>
        <w:numPr>
          <w:ilvl w:val="0"/>
          <w:numId w:val="25"/>
        </w:numPr>
        <w:rPr>
          <w:b w:val="0"/>
        </w:rPr>
      </w:pPr>
      <w:r w:rsidRPr="00C5179C">
        <w:rPr>
          <w:b w:val="0"/>
        </w:rPr>
        <w:lastRenderedPageBreak/>
        <w:t>EFECTOS EN LA COMPETENCIA EN EL MERCADO</w:t>
      </w:r>
    </w:p>
    <w:p w:rsidR="00B820E6" w:rsidRPr="00C5179C" w:rsidRDefault="00B820E6" w:rsidP="00B820E6">
      <w:pPr>
        <w:pStyle w:val="Ttulo2"/>
        <w:numPr>
          <w:ilvl w:val="0"/>
          <w:numId w:val="25"/>
        </w:numPr>
        <w:rPr>
          <w:b w:val="0"/>
        </w:rPr>
      </w:pPr>
      <w:r w:rsidRPr="00C5179C">
        <w:rPr>
          <w:b w:val="0"/>
        </w:rPr>
        <w:t>EFECTOS EN LAS CARGAS ADMINISTRATIVAS</w:t>
      </w:r>
    </w:p>
    <w:p w:rsidR="00B820E6" w:rsidRPr="00C5179C" w:rsidRDefault="00B820E6" w:rsidP="00B820E6">
      <w:pPr>
        <w:pStyle w:val="Ttulo2"/>
        <w:numPr>
          <w:ilvl w:val="0"/>
          <w:numId w:val="25"/>
        </w:numPr>
        <w:rPr>
          <w:b w:val="0"/>
        </w:rPr>
      </w:pPr>
      <w:r w:rsidRPr="00C5179C">
        <w:rPr>
          <w:b w:val="0"/>
        </w:rPr>
        <w:t>IMPACTO POR RAZÓN DE GÉNERO</w:t>
      </w:r>
    </w:p>
    <w:p w:rsidR="00B820E6" w:rsidRPr="00C5179C" w:rsidRDefault="00B820E6" w:rsidP="00B820E6">
      <w:pPr>
        <w:pStyle w:val="Ttulo2"/>
        <w:numPr>
          <w:ilvl w:val="0"/>
          <w:numId w:val="25"/>
        </w:numPr>
        <w:rPr>
          <w:b w:val="0"/>
        </w:rPr>
      </w:pPr>
      <w:r w:rsidRPr="00C5179C">
        <w:rPr>
          <w:b w:val="0"/>
        </w:rPr>
        <w:t xml:space="preserve">IMPACTO EN RELACIÓN CON LA FAMILIA </w:t>
      </w:r>
    </w:p>
    <w:p w:rsidR="00B820E6" w:rsidRPr="00C5179C" w:rsidRDefault="00B820E6" w:rsidP="00B820E6">
      <w:pPr>
        <w:pStyle w:val="Ttulo2"/>
        <w:numPr>
          <w:ilvl w:val="0"/>
          <w:numId w:val="25"/>
        </w:numPr>
        <w:rPr>
          <w:b w:val="0"/>
        </w:rPr>
      </w:pPr>
      <w:r w:rsidRPr="00C5179C">
        <w:rPr>
          <w:b w:val="0"/>
        </w:rPr>
        <w:t>IMPACTO EN RELACIÓN CON LA INFANCIA Y LA ADOLESCENCIA</w:t>
      </w:r>
    </w:p>
    <w:p w:rsidR="00B820E6" w:rsidRPr="00C5179C" w:rsidRDefault="00B820E6" w:rsidP="00B820E6">
      <w:pPr>
        <w:pStyle w:val="Ttulo2"/>
        <w:numPr>
          <w:ilvl w:val="0"/>
          <w:numId w:val="25"/>
        </w:numPr>
        <w:rPr>
          <w:b w:val="0"/>
        </w:rPr>
      </w:pPr>
      <w:r w:rsidRPr="00C5179C">
        <w:rPr>
          <w:b w:val="0"/>
        </w:rPr>
        <w:t>IMPACTO POR RAZÓN DE CAMBIO CLIMÁTICO</w:t>
      </w:r>
    </w:p>
    <w:p w:rsidR="00B820E6" w:rsidRPr="00C5179C" w:rsidRDefault="00B820E6" w:rsidP="00B820E6">
      <w:pPr>
        <w:pStyle w:val="Ttulo2"/>
        <w:numPr>
          <w:ilvl w:val="0"/>
          <w:numId w:val="25"/>
        </w:numPr>
        <w:rPr>
          <w:b w:val="0"/>
        </w:rPr>
      </w:pPr>
      <w:r w:rsidRPr="00C5179C">
        <w:rPr>
          <w:b w:val="0"/>
        </w:rPr>
        <w:t>OTROS IMPACTOS</w:t>
      </w:r>
    </w:p>
    <w:p w:rsidR="00B820E6" w:rsidRPr="00C5179C" w:rsidRDefault="00B820E6" w:rsidP="00B820E6">
      <w:pPr>
        <w:rPr>
          <w:rFonts w:cs="Arial"/>
          <w:iCs/>
          <w:sz w:val="22"/>
          <w:szCs w:val="22"/>
        </w:rPr>
      </w:pPr>
    </w:p>
    <w:p w:rsidR="00B820E6" w:rsidRPr="00C5179C" w:rsidRDefault="00B87CC3" w:rsidP="00B820E6">
      <w:pPr>
        <w:rPr>
          <w:rFonts w:cs="Arial"/>
          <w:iCs/>
          <w:sz w:val="22"/>
          <w:szCs w:val="22"/>
        </w:rPr>
      </w:pPr>
      <w:r>
        <w:rPr>
          <w:rFonts w:cs="Arial"/>
          <w:iCs/>
          <w:sz w:val="22"/>
          <w:szCs w:val="22"/>
        </w:rPr>
        <w:t>F</w:t>
      </w:r>
      <w:r w:rsidR="00B820E6" w:rsidRPr="00C5179C">
        <w:rPr>
          <w:rFonts w:cs="Arial"/>
          <w:iCs/>
          <w:sz w:val="22"/>
          <w:szCs w:val="22"/>
        </w:rPr>
        <w:t>) EVALUACIÓN EX POST</w:t>
      </w:r>
    </w:p>
    <w:p w:rsidR="00B820E6" w:rsidRPr="00C5179C" w:rsidRDefault="00B820E6" w:rsidP="00B820E6">
      <w:pPr>
        <w:rPr>
          <w:rFonts w:cs="Arial"/>
          <w:iCs/>
          <w:sz w:val="22"/>
          <w:szCs w:val="22"/>
        </w:rPr>
      </w:pPr>
    </w:p>
    <w:p w:rsidR="00B820E6" w:rsidRDefault="00B820E6">
      <w:pPr>
        <w:spacing w:after="160" w:line="259" w:lineRule="auto"/>
        <w:jc w:val="left"/>
        <w:rPr>
          <w:rFonts w:cs="Arial"/>
          <w:b/>
          <w:sz w:val="22"/>
          <w:szCs w:val="22"/>
        </w:rPr>
      </w:pPr>
      <w:r>
        <w:rPr>
          <w:rFonts w:cs="Arial"/>
          <w:b/>
          <w:sz w:val="22"/>
          <w:szCs w:val="22"/>
        </w:rPr>
        <w:br w:type="page"/>
      </w:r>
    </w:p>
    <w:p w:rsidR="00D942A1" w:rsidRDefault="00D942A1" w:rsidP="00D942A1">
      <w:pPr>
        <w:rPr>
          <w:rFonts w:cs="Arial"/>
          <w:b/>
          <w:bCs/>
          <w:iCs/>
          <w:caps/>
          <w:sz w:val="22"/>
          <w:szCs w:val="22"/>
        </w:rPr>
      </w:pPr>
      <w:r w:rsidRPr="00DE495A">
        <w:rPr>
          <w:rFonts w:cs="Arial"/>
          <w:b/>
          <w:sz w:val="22"/>
          <w:szCs w:val="22"/>
        </w:rPr>
        <w:lastRenderedPageBreak/>
        <w:t xml:space="preserve">MEMORIA DEL ANÁLISIS DE IMPACTO NORMATIVO DEL </w:t>
      </w:r>
      <w:r w:rsidRPr="00DE495A">
        <w:rPr>
          <w:rFonts w:cs="Arial"/>
          <w:b/>
          <w:bCs/>
          <w:iCs/>
          <w:caps/>
          <w:sz w:val="22"/>
          <w:szCs w:val="22"/>
        </w:rPr>
        <w:t xml:space="preserve">PROYECTO DE REAL DECRETO </w:t>
      </w:r>
      <w:r w:rsidR="001A0082" w:rsidRPr="00752B8F">
        <w:rPr>
          <w:rFonts w:cs="Arial"/>
          <w:b/>
        </w:rPr>
        <w:t>SOBRE COADYUVANTES TECNOLÓGICOS UTILIZADOS EN LOS PROCESOS DE ELABORACIÓN Y OBTENCIÓN DE ALIMENTOS</w:t>
      </w:r>
      <w:r w:rsidRPr="002A2E36">
        <w:rPr>
          <w:rFonts w:cs="Arial"/>
          <w:b/>
          <w:bCs/>
          <w:iCs/>
          <w:caps/>
          <w:sz w:val="22"/>
          <w:szCs w:val="22"/>
        </w:rPr>
        <w:t>.</w:t>
      </w:r>
    </w:p>
    <w:p w:rsidR="00D942A1" w:rsidRPr="00DE495A" w:rsidRDefault="00D942A1" w:rsidP="00D942A1">
      <w:pPr>
        <w:rPr>
          <w:rFonts w:cs="Arial"/>
          <w:b/>
          <w:bCs/>
          <w:iCs/>
          <w:caps/>
          <w:sz w:val="22"/>
          <w:szCs w:val="22"/>
        </w:rPr>
      </w:pPr>
    </w:p>
    <w:p w:rsidR="00D942A1" w:rsidRPr="001765E3" w:rsidRDefault="00D942A1" w:rsidP="001765E3">
      <w:pPr>
        <w:pStyle w:val="Ttulo1"/>
        <w:rPr>
          <w:b w:val="0"/>
        </w:rPr>
      </w:pPr>
      <w:r w:rsidRPr="00E72607">
        <w:t>A) OPORTUNIDAD DE LA PROPUESTA</w:t>
      </w:r>
    </w:p>
    <w:p w:rsidR="00D942A1" w:rsidRPr="00DE495A" w:rsidRDefault="00D942A1" w:rsidP="00D942A1">
      <w:pPr>
        <w:ind w:left="360" w:hanging="360"/>
        <w:rPr>
          <w:rFonts w:cs="Arial"/>
          <w:b/>
          <w:sz w:val="22"/>
          <w:szCs w:val="22"/>
        </w:rPr>
      </w:pPr>
    </w:p>
    <w:p w:rsidR="00D942A1" w:rsidRPr="00E72607" w:rsidRDefault="00D942A1" w:rsidP="001765E3">
      <w:pPr>
        <w:pStyle w:val="Ttulo2"/>
      </w:pPr>
      <w:r w:rsidRPr="00E72607">
        <w:t>1.- MOTIVACIÓN</w:t>
      </w:r>
    </w:p>
    <w:p w:rsidR="00D942A1" w:rsidRDefault="00D942A1" w:rsidP="00D942A1">
      <w:pPr>
        <w:rPr>
          <w:rFonts w:cs="Arial"/>
          <w:color w:val="000000"/>
          <w:sz w:val="22"/>
          <w:szCs w:val="22"/>
        </w:rPr>
      </w:pPr>
    </w:p>
    <w:p w:rsidR="006D05DD" w:rsidRDefault="006D05DD" w:rsidP="006D05DD">
      <w:pPr>
        <w:rPr>
          <w:rFonts w:cs="Arial"/>
          <w:iCs/>
          <w:color w:val="000000"/>
          <w:sz w:val="22"/>
          <w:szCs w:val="22"/>
        </w:rPr>
      </w:pPr>
      <w:r>
        <w:rPr>
          <w:rFonts w:cs="Arial"/>
          <w:iCs/>
          <w:color w:val="000000"/>
          <w:sz w:val="22"/>
          <w:szCs w:val="22"/>
        </w:rPr>
        <w:t>La existencia de un número indete</w:t>
      </w:r>
      <w:r w:rsidR="00B74B75">
        <w:rPr>
          <w:rFonts w:cs="Arial"/>
          <w:iCs/>
          <w:color w:val="000000"/>
          <w:sz w:val="22"/>
          <w:szCs w:val="22"/>
        </w:rPr>
        <w:t>r</w:t>
      </w:r>
      <w:r>
        <w:rPr>
          <w:rFonts w:cs="Arial"/>
          <w:iCs/>
          <w:color w:val="000000"/>
          <w:sz w:val="22"/>
          <w:szCs w:val="22"/>
        </w:rPr>
        <w:t>minado, pero considerable, de normas nacionales (principalmente reales decretos, pero también resoluciones), algunas de las cuales datan del año 1979, que regulan el empleo de determinadas sustancias como coadyuvantes tecnológicos en ciertos ali</w:t>
      </w:r>
      <w:r>
        <w:rPr>
          <w:rFonts w:cs="Arial"/>
          <w:iCs/>
          <w:color w:val="000000"/>
          <w:sz w:val="22"/>
          <w:szCs w:val="22"/>
        </w:rPr>
        <w:lastRenderedPageBreak/>
        <w:t>mentos, y la reiterada modificación de las mismas o superación de determinadas partes de ellas, con motivo de publicaciones posteriores de otras normas de mayor entidad que las derogaron parcialmente de facto, ha dificultado sobre manera el conocimiento de las sustancias que realmente estaban autorizadas y las condiciones de uso que deberían en su caso considerarse, tanto a los operadores económicos alimentarios, como a las autoridades encargadas del control oficial de empresas alimentarias y alimentos.</w:t>
      </w:r>
    </w:p>
    <w:p w:rsidR="006D05DD" w:rsidRDefault="006D05DD" w:rsidP="006D05DD">
      <w:pPr>
        <w:rPr>
          <w:rFonts w:cs="Arial"/>
          <w:iCs/>
          <w:color w:val="000000"/>
          <w:sz w:val="22"/>
          <w:szCs w:val="22"/>
        </w:rPr>
      </w:pPr>
    </w:p>
    <w:p w:rsidR="006D05DD" w:rsidRDefault="006D05DD" w:rsidP="006D05DD">
      <w:pPr>
        <w:rPr>
          <w:rFonts w:cs="Arial"/>
          <w:iCs/>
          <w:color w:val="000000"/>
          <w:sz w:val="22"/>
          <w:szCs w:val="22"/>
        </w:rPr>
      </w:pPr>
      <w:r>
        <w:rPr>
          <w:rFonts w:cs="Arial"/>
          <w:iCs/>
          <w:color w:val="000000"/>
          <w:sz w:val="22"/>
          <w:szCs w:val="22"/>
        </w:rPr>
        <w:t>Con la publicación del real decreto, se pretende facilitar la aplicación de la legislación vigente y se ha advertido la oportunidad para extender las actuaciones a otros sectores que venían demandándolo con justificación.</w:t>
      </w:r>
    </w:p>
    <w:p w:rsidR="006D05DD" w:rsidRDefault="006D05DD" w:rsidP="006D05DD">
      <w:pPr>
        <w:rPr>
          <w:rFonts w:cs="Arial"/>
          <w:iCs/>
          <w:color w:val="000000"/>
          <w:sz w:val="22"/>
          <w:szCs w:val="22"/>
        </w:rPr>
      </w:pPr>
    </w:p>
    <w:p w:rsidR="00D942A1" w:rsidRPr="00311D40" w:rsidRDefault="006D05DD" w:rsidP="006D05DD">
      <w:pPr>
        <w:rPr>
          <w:rFonts w:cs="Arial"/>
          <w:iCs/>
          <w:color w:val="000000"/>
          <w:sz w:val="22"/>
          <w:szCs w:val="22"/>
        </w:rPr>
      </w:pPr>
      <w:r>
        <w:rPr>
          <w:rFonts w:cs="Arial"/>
          <w:iCs/>
          <w:color w:val="000000"/>
          <w:sz w:val="22"/>
          <w:szCs w:val="22"/>
        </w:rPr>
        <w:lastRenderedPageBreak/>
        <w:t>Asimismo, se ha considerado conveniente también establecer un procedimiento que garantice la protección de la seguridad de los consumidores que podrían verse expuestos a los coadyuvantes tecnológicos como consecuencia de los alimentos ingeridos, que se aplique sobre nuevas sustancias que no figuren entre las autorizadas y para las que se desease tal status.</w:t>
      </w:r>
      <w:r w:rsidR="00D942A1" w:rsidRPr="00311D40">
        <w:rPr>
          <w:rFonts w:cs="Arial"/>
          <w:iCs/>
          <w:color w:val="000000"/>
          <w:sz w:val="22"/>
          <w:szCs w:val="22"/>
        </w:rPr>
        <w:t xml:space="preserve"> </w:t>
      </w:r>
    </w:p>
    <w:p w:rsidR="00D942A1" w:rsidRPr="00DE495A" w:rsidRDefault="00D942A1" w:rsidP="00D942A1">
      <w:pPr>
        <w:rPr>
          <w:rFonts w:cs="Arial"/>
          <w:sz w:val="22"/>
          <w:szCs w:val="22"/>
        </w:rPr>
      </w:pPr>
    </w:p>
    <w:p w:rsidR="00D942A1" w:rsidRPr="00DE495A" w:rsidRDefault="00D942A1" w:rsidP="001765E3">
      <w:pPr>
        <w:pStyle w:val="Ttulo2"/>
      </w:pPr>
      <w:r w:rsidRPr="00DE495A">
        <w:t>2.</w:t>
      </w:r>
      <w:r>
        <w:t>-</w:t>
      </w:r>
      <w:r w:rsidRPr="00DE495A">
        <w:t xml:space="preserve"> OBJETIVOS</w:t>
      </w:r>
    </w:p>
    <w:p w:rsidR="00D942A1" w:rsidRPr="00DE495A" w:rsidRDefault="00D942A1" w:rsidP="00D942A1">
      <w:pPr>
        <w:rPr>
          <w:rFonts w:cs="Arial"/>
          <w:sz w:val="22"/>
          <w:szCs w:val="22"/>
        </w:rPr>
      </w:pPr>
    </w:p>
    <w:p w:rsidR="006D05DD" w:rsidRPr="004635EB" w:rsidRDefault="006D05DD" w:rsidP="006D05DD">
      <w:pPr>
        <w:rPr>
          <w:rFonts w:cs="Arial"/>
          <w:color w:val="000000" w:themeColor="text1"/>
          <w:sz w:val="22"/>
          <w:szCs w:val="22"/>
        </w:rPr>
      </w:pPr>
      <w:r w:rsidRPr="004635EB">
        <w:rPr>
          <w:rFonts w:cs="Arial"/>
          <w:color w:val="000000" w:themeColor="text1"/>
          <w:sz w:val="22"/>
          <w:szCs w:val="22"/>
        </w:rPr>
        <w:t xml:space="preserve">El objetivo principal que pretende alcanzarse mediante la medida, es el de facilitar tanto a operadores económicos alimentarios, como a las autoridades encargadas del control oficial de empresas alimentarias y alimentos, el conocimiento de las sustancias que se encuentran realmente </w:t>
      </w:r>
      <w:r w:rsidRPr="004635EB">
        <w:rPr>
          <w:rFonts w:cs="Arial"/>
          <w:color w:val="000000" w:themeColor="text1"/>
          <w:sz w:val="22"/>
          <w:szCs w:val="22"/>
        </w:rPr>
        <w:lastRenderedPageBreak/>
        <w:t>autorizadas como coadyuvantes tecnológicos en los alimentos que se identifican en la parte A del anexo I del real decreto.</w:t>
      </w:r>
    </w:p>
    <w:p w:rsidR="006D05DD" w:rsidRPr="004635EB" w:rsidRDefault="006D05DD" w:rsidP="006D05DD">
      <w:pPr>
        <w:rPr>
          <w:rFonts w:cs="Arial"/>
          <w:color w:val="000000" w:themeColor="text1"/>
          <w:sz w:val="22"/>
          <w:szCs w:val="22"/>
        </w:rPr>
      </w:pPr>
    </w:p>
    <w:p w:rsidR="00D942A1" w:rsidRPr="00725CC3" w:rsidRDefault="006D05DD" w:rsidP="006D05DD">
      <w:pPr>
        <w:rPr>
          <w:rFonts w:cs="Arial"/>
          <w:color w:val="000000"/>
          <w:sz w:val="22"/>
          <w:szCs w:val="22"/>
        </w:rPr>
      </w:pPr>
      <w:r w:rsidRPr="004635EB">
        <w:rPr>
          <w:rFonts w:cs="Arial"/>
          <w:color w:val="000000" w:themeColor="text1"/>
          <w:sz w:val="22"/>
          <w:szCs w:val="22"/>
        </w:rPr>
        <w:t>Al mismo tiempo, pretende aprovecharse la ocasión para incorporar nuevas sustancias que hasta el momento no figuran autorizadas como coadyuvantes tecnológicos en ninguna norma y regular el procedimiento que debería aplicarse para modificar el listado de las sustancias autorizadas.</w:t>
      </w:r>
      <w:r w:rsidR="00BE5D2B">
        <w:rPr>
          <w:rFonts w:cs="Arial"/>
          <w:color w:val="000000"/>
          <w:sz w:val="22"/>
          <w:szCs w:val="22"/>
        </w:rPr>
        <w:t xml:space="preserve"> </w:t>
      </w:r>
    </w:p>
    <w:p w:rsidR="00D942A1" w:rsidRPr="00DE495A" w:rsidRDefault="00D942A1" w:rsidP="00D942A1">
      <w:pPr>
        <w:rPr>
          <w:rFonts w:cs="Arial"/>
          <w:color w:val="000000"/>
          <w:sz w:val="22"/>
          <w:szCs w:val="22"/>
        </w:rPr>
      </w:pPr>
    </w:p>
    <w:p w:rsidR="00D942A1" w:rsidRPr="00DE495A" w:rsidRDefault="00D942A1" w:rsidP="001765E3">
      <w:pPr>
        <w:pStyle w:val="Ttulo2"/>
      </w:pPr>
      <w:r w:rsidRPr="00361F45">
        <w:t>3.- ADECUACIÓN A LOS PRINCIPIOS DE BUENA REGULACIÓN</w:t>
      </w:r>
    </w:p>
    <w:p w:rsidR="00D942A1" w:rsidRPr="00DE495A" w:rsidRDefault="00D942A1" w:rsidP="00D942A1">
      <w:pPr>
        <w:rPr>
          <w:rFonts w:cs="Arial"/>
          <w:b/>
          <w:sz w:val="22"/>
          <w:szCs w:val="22"/>
        </w:rPr>
      </w:pPr>
    </w:p>
    <w:p w:rsidR="00D942A1" w:rsidRDefault="00D942A1" w:rsidP="00D942A1">
      <w:pPr>
        <w:rPr>
          <w:rFonts w:cs="Arial"/>
          <w:sz w:val="22"/>
          <w:szCs w:val="22"/>
        </w:rPr>
      </w:pPr>
      <w:r w:rsidRPr="00FA1817">
        <w:rPr>
          <w:rFonts w:cs="Arial"/>
          <w:sz w:val="22"/>
          <w:szCs w:val="22"/>
        </w:rPr>
        <w:t>Est</w:t>
      </w:r>
      <w:r>
        <w:rPr>
          <w:rFonts w:cs="Arial"/>
          <w:sz w:val="22"/>
          <w:szCs w:val="22"/>
        </w:rPr>
        <w:t>e real decreto</w:t>
      </w:r>
      <w:r w:rsidRPr="00FA1817">
        <w:rPr>
          <w:rFonts w:cs="Arial"/>
          <w:sz w:val="22"/>
          <w:szCs w:val="22"/>
        </w:rPr>
        <w:t xml:space="preserve"> se adecúa a los principios de buena regulación a los que se refiere el artículo 129 de la Ley </w:t>
      </w:r>
      <w:r w:rsidRPr="00FA1817">
        <w:rPr>
          <w:rFonts w:cs="Arial"/>
          <w:sz w:val="22"/>
          <w:szCs w:val="22"/>
        </w:rPr>
        <w:lastRenderedPageBreak/>
        <w:t>39/2015, de 1 de octubre, del Procedimiento Administrativo Común de las Administraciones Públicas, principios de necesidad, eficacia, proporcionalidad, seguridad jurídi</w:t>
      </w:r>
      <w:r>
        <w:rPr>
          <w:rFonts w:cs="Arial"/>
          <w:sz w:val="22"/>
          <w:szCs w:val="22"/>
        </w:rPr>
        <w:t>ca, transparencia y eficiencia.</w:t>
      </w:r>
    </w:p>
    <w:p w:rsidR="00D942A1" w:rsidRDefault="00D942A1" w:rsidP="00D942A1">
      <w:pPr>
        <w:rPr>
          <w:rFonts w:cs="Arial"/>
          <w:sz w:val="22"/>
          <w:szCs w:val="22"/>
        </w:rPr>
      </w:pPr>
    </w:p>
    <w:p w:rsidR="00D942A1" w:rsidRDefault="00D942A1" w:rsidP="00D942A1">
      <w:pPr>
        <w:rPr>
          <w:rFonts w:cs="Arial"/>
          <w:bCs/>
          <w:sz w:val="22"/>
          <w:szCs w:val="22"/>
        </w:rPr>
      </w:pPr>
      <w:r w:rsidRPr="00FA1817">
        <w:rPr>
          <w:rFonts w:cs="Arial"/>
          <w:sz w:val="22"/>
          <w:szCs w:val="22"/>
        </w:rPr>
        <w:t xml:space="preserve">Así, </w:t>
      </w:r>
      <w:r>
        <w:rPr>
          <w:rFonts w:cs="Arial"/>
          <w:sz w:val="22"/>
          <w:szCs w:val="22"/>
        </w:rPr>
        <w:t xml:space="preserve">en relación con los principios de </w:t>
      </w:r>
      <w:r w:rsidRPr="00FA1817">
        <w:rPr>
          <w:rFonts w:cs="Arial"/>
          <w:sz w:val="22"/>
          <w:szCs w:val="22"/>
        </w:rPr>
        <w:t xml:space="preserve">principios de </w:t>
      </w:r>
      <w:r w:rsidRPr="00DC7BCC">
        <w:rPr>
          <w:rFonts w:cs="Arial"/>
          <w:b/>
          <w:sz w:val="22"/>
          <w:szCs w:val="22"/>
        </w:rPr>
        <w:t>necesidad y eficacia</w:t>
      </w:r>
      <w:r>
        <w:rPr>
          <w:rFonts w:cs="Arial"/>
          <w:b/>
          <w:sz w:val="22"/>
          <w:szCs w:val="22"/>
        </w:rPr>
        <w:t>,</w:t>
      </w:r>
      <w:r w:rsidRPr="00FA1817">
        <w:rPr>
          <w:rFonts w:cs="Arial"/>
          <w:sz w:val="22"/>
          <w:szCs w:val="22"/>
        </w:rPr>
        <w:t xml:space="preserve"> </w:t>
      </w:r>
      <w:r>
        <w:rPr>
          <w:rFonts w:cs="Arial"/>
          <w:sz w:val="22"/>
          <w:szCs w:val="22"/>
        </w:rPr>
        <w:t>el real decreto</w:t>
      </w:r>
      <w:r w:rsidRPr="00FA1817">
        <w:rPr>
          <w:rFonts w:cs="Arial"/>
          <w:sz w:val="22"/>
          <w:szCs w:val="22"/>
        </w:rPr>
        <w:t xml:space="preserve"> atiende a </w:t>
      </w:r>
      <w:r>
        <w:rPr>
          <w:rFonts w:cs="Arial"/>
          <w:sz w:val="22"/>
          <w:szCs w:val="22"/>
        </w:rPr>
        <w:t xml:space="preserve">un objetivo de interés general. </w:t>
      </w:r>
      <w:r w:rsidRPr="00B266FB">
        <w:rPr>
          <w:rFonts w:cs="Arial"/>
          <w:bCs/>
          <w:sz w:val="22"/>
          <w:szCs w:val="22"/>
        </w:rPr>
        <w:t>La Ley 14/1986, de 25 de abril, General de Sanidad</w:t>
      </w:r>
      <w:r>
        <w:rPr>
          <w:rFonts w:cs="Arial"/>
          <w:bCs/>
          <w:sz w:val="22"/>
          <w:szCs w:val="22"/>
        </w:rPr>
        <w:t>,</w:t>
      </w:r>
      <w:r w:rsidRPr="00B266FB">
        <w:rPr>
          <w:rFonts w:cs="Arial"/>
          <w:bCs/>
          <w:sz w:val="22"/>
          <w:szCs w:val="22"/>
        </w:rPr>
        <w:t xml:space="preserve"> estableció la obligación de las Administraciones públicas sanitarias de orientar sus actuaciones prioritariamente a la promoción de la salud y la prevención de las enfermedades.</w:t>
      </w:r>
    </w:p>
    <w:p w:rsidR="00D942A1" w:rsidRPr="00B266FB" w:rsidRDefault="00D942A1" w:rsidP="00D942A1">
      <w:pPr>
        <w:autoSpaceDE w:val="0"/>
        <w:autoSpaceDN w:val="0"/>
        <w:adjustRightInd w:val="0"/>
        <w:rPr>
          <w:rFonts w:cs="Arial"/>
          <w:bCs/>
          <w:sz w:val="22"/>
          <w:szCs w:val="22"/>
        </w:rPr>
      </w:pPr>
    </w:p>
    <w:p w:rsidR="00D942A1" w:rsidRDefault="006D05DD" w:rsidP="00D942A1">
      <w:pPr>
        <w:autoSpaceDE w:val="0"/>
        <w:autoSpaceDN w:val="0"/>
        <w:adjustRightInd w:val="0"/>
        <w:rPr>
          <w:rFonts w:cs="Arial"/>
          <w:bCs/>
          <w:sz w:val="22"/>
          <w:szCs w:val="22"/>
        </w:rPr>
      </w:pPr>
      <w:r w:rsidRPr="00B266FB">
        <w:rPr>
          <w:rFonts w:cs="Arial"/>
          <w:bCs/>
          <w:sz w:val="22"/>
          <w:szCs w:val="22"/>
        </w:rPr>
        <w:t xml:space="preserve">La citada </w:t>
      </w:r>
      <w:r>
        <w:rPr>
          <w:rFonts w:cs="Arial"/>
          <w:bCs/>
          <w:sz w:val="22"/>
          <w:szCs w:val="22"/>
        </w:rPr>
        <w:t xml:space="preserve">ley </w:t>
      </w:r>
      <w:r w:rsidRPr="00B266FB">
        <w:rPr>
          <w:rFonts w:cs="Arial"/>
          <w:bCs/>
          <w:sz w:val="22"/>
          <w:szCs w:val="22"/>
        </w:rPr>
        <w:t xml:space="preserve">prevé que las actividades y productos que, directa o indirectamente, puedan tener consecuencias negativas para la salud, sean sometidos </w:t>
      </w:r>
      <w:r>
        <w:rPr>
          <w:rFonts w:cs="Arial"/>
          <w:bCs/>
          <w:sz w:val="22"/>
          <w:szCs w:val="22"/>
        </w:rPr>
        <w:t xml:space="preserve">a control sanitario </w:t>
      </w:r>
      <w:r w:rsidRPr="00B266FB">
        <w:rPr>
          <w:rFonts w:cs="Arial"/>
          <w:bCs/>
          <w:sz w:val="22"/>
          <w:szCs w:val="22"/>
        </w:rPr>
        <w:lastRenderedPageBreak/>
        <w:t>por</w:t>
      </w:r>
      <w:r>
        <w:rPr>
          <w:rFonts w:cs="Arial"/>
          <w:bCs/>
          <w:sz w:val="22"/>
          <w:szCs w:val="22"/>
        </w:rPr>
        <w:t xml:space="preserve"> las Administraciones públicas de tal manera que se </w:t>
      </w:r>
      <w:r w:rsidRPr="00BD7694">
        <w:rPr>
          <w:rFonts w:cs="Arial"/>
          <w:bCs/>
          <w:sz w:val="22"/>
          <w:szCs w:val="22"/>
        </w:rPr>
        <w:t>preven</w:t>
      </w:r>
      <w:r>
        <w:rPr>
          <w:rFonts w:cs="Arial"/>
          <w:bCs/>
          <w:sz w:val="22"/>
          <w:szCs w:val="22"/>
        </w:rPr>
        <w:t xml:space="preserve">ga a los consumidores </w:t>
      </w:r>
      <w:r w:rsidRPr="00BD7694">
        <w:rPr>
          <w:rFonts w:cs="Arial"/>
          <w:bCs/>
          <w:sz w:val="22"/>
          <w:szCs w:val="22"/>
        </w:rPr>
        <w:t xml:space="preserve">de los riesgos </w:t>
      </w:r>
      <w:r>
        <w:rPr>
          <w:rFonts w:cs="Arial"/>
          <w:bCs/>
          <w:sz w:val="22"/>
          <w:szCs w:val="22"/>
        </w:rPr>
        <w:t>que pudiesen</w:t>
      </w:r>
      <w:r w:rsidRPr="00BD7694">
        <w:rPr>
          <w:rFonts w:cs="Arial"/>
          <w:bCs/>
          <w:sz w:val="22"/>
          <w:szCs w:val="22"/>
        </w:rPr>
        <w:t xml:space="preserve"> deriva</w:t>
      </w:r>
      <w:r>
        <w:rPr>
          <w:rFonts w:cs="Arial"/>
          <w:bCs/>
          <w:sz w:val="22"/>
          <w:szCs w:val="22"/>
        </w:rPr>
        <w:t>rse de los productos alimentarios.</w:t>
      </w:r>
    </w:p>
    <w:p w:rsidR="00D942A1" w:rsidRDefault="00D942A1" w:rsidP="00D942A1">
      <w:pPr>
        <w:autoSpaceDE w:val="0"/>
        <w:autoSpaceDN w:val="0"/>
        <w:adjustRightInd w:val="0"/>
        <w:rPr>
          <w:rFonts w:cs="Arial"/>
          <w:bCs/>
          <w:sz w:val="22"/>
          <w:szCs w:val="22"/>
        </w:rPr>
      </w:pPr>
    </w:p>
    <w:p w:rsidR="00D942A1" w:rsidRDefault="00D942A1" w:rsidP="00D942A1">
      <w:pPr>
        <w:autoSpaceDE w:val="0"/>
        <w:autoSpaceDN w:val="0"/>
        <w:adjustRightInd w:val="0"/>
        <w:rPr>
          <w:rFonts w:cs="Arial"/>
          <w:sz w:val="22"/>
          <w:szCs w:val="22"/>
        </w:rPr>
      </w:pPr>
      <w:r w:rsidRPr="00E06578">
        <w:rPr>
          <w:rFonts w:cs="Arial"/>
          <w:sz w:val="22"/>
          <w:szCs w:val="22"/>
        </w:rPr>
        <w:t xml:space="preserve">La Ley 17/2011, de 5 de julio, de seguridad alimentaria y nutrición tiene como objetivo el reconocimiento y la protección efectiva del derecho a la seguridad alimentaria, entendiendo como tal el derecho a conocer los riesgos potenciales que pudieran estar asociados a un alimento y/o a alguno de sus componentes; el derecho a conocer la incidencia de los riesgos emergentes en la seguridad alimentaria y a que las administraciones competentes garanticen la mayor protección posible frente a dichos riesgos. Del reconocimiento de este derecho se deriva el establecimiento de normas en materia de seguridad alimentaria, como aspecto fundamental de la salud pública, en orden </w:t>
      </w:r>
      <w:r w:rsidRPr="00E06578">
        <w:rPr>
          <w:rFonts w:cs="Arial"/>
          <w:sz w:val="22"/>
          <w:szCs w:val="22"/>
        </w:rPr>
        <w:lastRenderedPageBreak/>
        <w:t>a asegurar un nivel elevado de protección de la salud de las personas en relación con los alimentos. Asimismo, entre los fines específicos de esta ley se recoge el establecimiento de instrumentos que contribuyan a generar un alto nivel de seguridad de los alimentos y los piensos y la contribución a la prevención de los riesgos para la salud humana derivados del consumo de alimentos.</w:t>
      </w:r>
    </w:p>
    <w:p w:rsidR="00D942A1" w:rsidRDefault="00D942A1" w:rsidP="00D942A1">
      <w:pPr>
        <w:rPr>
          <w:rFonts w:cs="Arial"/>
          <w:sz w:val="22"/>
          <w:szCs w:val="22"/>
        </w:rPr>
      </w:pPr>
    </w:p>
    <w:p w:rsidR="00D942A1" w:rsidRDefault="00D942A1" w:rsidP="00D942A1">
      <w:pPr>
        <w:rPr>
          <w:rFonts w:cs="Arial"/>
          <w:sz w:val="22"/>
          <w:szCs w:val="22"/>
        </w:rPr>
      </w:pPr>
      <w:r>
        <w:rPr>
          <w:rFonts w:cs="Arial"/>
          <w:sz w:val="22"/>
          <w:szCs w:val="22"/>
        </w:rPr>
        <w:t>P</w:t>
      </w:r>
      <w:r w:rsidRPr="00FA1817">
        <w:rPr>
          <w:rFonts w:cs="Arial"/>
          <w:sz w:val="22"/>
          <w:szCs w:val="22"/>
        </w:rPr>
        <w:t>or otra parte</w:t>
      </w:r>
      <w:r>
        <w:rPr>
          <w:rFonts w:cs="Arial"/>
          <w:sz w:val="22"/>
          <w:szCs w:val="22"/>
        </w:rPr>
        <w:t>,</w:t>
      </w:r>
      <w:r w:rsidRPr="00FA1817">
        <w:rPr>
          <w:rFonts w:cs="Arial"/>
          <w:sz w:val="22"/>
          <w:szCs w:val="22"/>
        </w:rPr>
        <w:t xml:space="preserve"> la regulación prevista </w:t>
      </w:r>
      <w:r>
        <w:rPr>
          <w:rFonts w:cs="Arial"/>
          <w:sz w:val="22"/>
          <w:szCs w:val="22"/>
        </w:rPr>
        <w:t>se considera</w:t>
      </w:r>
      <w:r w:rsidRPr="00FA1817">
        <w:rPr>
          <w:rFonts w:cs="Arial"/>
          <w:b/>
          <w:sz w:val="22"/>
          <w:szCs w:val="22"/>
        </w:rPr>
        <w:t xml:space="preserve"> proporcionada</w:t>
      </w:r>
      <w:r w:rsidRPr="00FA1817">
        <w:rPr>
          <w:rFonts w:cs="Arial"/>
          <w:sz w:val="22"/>
          <w:szCs w:val="22"/>
        </w:rPr>
        <w:t xml:space="preserve"> en el cumplimiento de este propósito, sin afectar en forma alguna a los derec</w:t>
      </w:r>
      <w:r>
        <w:rPr>
          <w:rFonts w:cs="Arial"/>
          <w:sz w:val="22"/>
          <w:szCs w:val="22"/>
        </w:rPr>
        <w:t>hos y deberes de la ciudadanía.</w:t>
      </w:r>
    </w:p>
    <w:p w:rsidR="00D942A1" w:rsidRDefault="00D942A1" w:rsidP="00D942A1">
      <w:pPr>
        <w:rPr>
          <w:rFonts w:cs="Arial"/>
          <w:sz w:val="22"/>
          <w:szCs w:val="22"/>
        </w:rPr>
      </w:pPr>
    </w:p>
    <w:p w:rsidR="00456BEA" w:rsidRDefault="00456BEA" w:rsidP="00456BEA">
      <w:pPr>
        <w:rPr>
          <w:rFonts w:cs="Arial"/>
          <w:sz w:val="22"/>
          <w:szCs w:val="22"/>
        </w:rPr>
      </w:pPr>
      <w:r w:rsidRPr="00FA1817">
        <w:rPr>
          <w:rFonts w:cs="Arial"/>
          <w:sz w:val="22"/>
          <w:szCs w:val="22"/>
        </w:rPr>
        <w:t xml:space="preserve">También contribuye a dotar de mayor </w:t>
      </w:r>
      <w:r w:rsidRPr="00DC7BCC">
        <w:rPr>
          <w:rFonts w:cs="Arial"/>
          <w:b/>
          <w:sz w:val="22"/>
          <w:szCs w:val="22"/>
        </w:rPr>
        <w:t>seguridad jurídica</w:t>
      </w:r>
      <w:r w:rsidRPr="00FA1817">
        <w:rPr>
          <w:rFonts w:cs="Arial"/>
          <w:sz w:val="22"/>
          <w:szCs w:val="22"/>
        </w:rPr>
        <w:t xml:space="preserve"> a los operadores económicos, facilitándoles</w:t>
      </w:r>
      <w:r>
        <w:rPr>
          <w:rFonts w:cs="Arial"/>
          <w:sz w:val="22"/>
          <w:szCs w:val="22"/>
        </w:rPr>
        <w:t xml:space="preserve"> la identificación</w:t>
      </w:r>
      <w:r w:rsidR="00B74B75">
        <w:rPr>
          <w:rFonts w:cs="Arial"/>
          <w:sz w:val="22"/>
          <w:szCs w:val="22"/>
        </w:rPr>
        <w:t>,</w:t>
      </w:r>
      <w:r>
        <w:rPr>
          <w:rFonts w:cs="Arial"/>
          <w:sz w:val="22"/>
          <w:szCs w:val="22"/>
        </w:rPr>
        <w:t xml:space="preserve"> </w:t>
      </w:r>
      <w:r w:rsidR="00B74B75">
        <w:rPr>
          <w:rFonts w:cs="Arial"/>
          <w:sz w:val="22"/>
          <w:szCs w:val="22"/>
        </w:rPr>
        <w:t xml:space="preserve">condiciones de uso </w:t>
      </w:r>
      <w:r>
        <w:rPr>
          <w:rFonts w:cs="Arial"/>
          <w:sz w:val="22"/>
          <w:szCs w:val="22"/>
        </w:rPr>
        <w:t xml:space="preserve">y conocimiento de las sustancias </w:t>
      </w:r>
      <w:r>
        <w:rPr>
          <w:rFonts w:cs="Arial"/>
          <w:sz w:val="22"/>
          <w:szCs w:val="22"/>
        </w:rPr>
        <w:lastRenderedPageBreak/>
        <w:t xml:space="preserve">que se encuentran realmente autorizadas como coadyuvantes tecnológicos. </w:t>
      </w:r>
    </w:p>
    <w:p w:rsidR="00456BEA" w:rsidRDefault="00456BEA" w:rsidP="00456BEA">
      <w:pPr>
        <w:rPr>
          <w:rFonts w:cs="Arial"/>
          <w:sz w:val="22"/>
          <w:szCs w:val="22"/>
        </w:rPr>
      </w:pPr>
    </w:p>
    <w:p w:rsidR="00D942A1" w:rsidRDefault="00D942A1" w:rsidP="00D942A1">
      <w:pPr>
        <w:rPr>
          <w:rFonts w:cs="Arial"/>
          <w:sz w:val="22"/>
          <w:szCs w:val="22"/>
        </w:rPr>
      </w:pPr>
      <w:r w:rsidRPr="00FA1817">
        <w:rPr>
          <w:rFonts w:cs="Arial"/>
          <w:sz w:val="22"/>
          <w:szCs w:val="22"/>
        </w:rPr>
        <w:t xml:space="preserve">En cuanto al principio de </w:t>
      </w:r>
      <w:r w:rsidRPr="00DC7BCC">
        <w:rPr>
          <w:rFonts w:cs="Arial"/>
          <w:b/>
          <w:sz w:val="22"/>
          <w:szCs w:val="22"/>
        </w:rPr>
        <w:t>transparencia</w:t>
      </w:r>
      <w:r w:rsidRPr="00FA1817">
        <w:rPr>
          <w:rFonts w:cs="Arial"/>
          <w:sz w:val="22"/>
          <w:szCs w:val="22"/>
        </w:rPr>
        <w:t xml:space="preserve">, el texto ha sido sometido a los trámites de consulta pública previa y de audiencia e información pública, </w:t>
      </w:r>
      <w:r w:rsidR="00456BEA">
        <w:rPr>
          <w:rFonts w:cs="Arial"/>
          <w:sz w:val="22"/>
          <w:szCs w:val="22"/>
        </w:rPr>
        <w:t xml:space="preserve">así como </w:t>
      </w:r>
      <w:r w:rsidR="00B74B75">
        <w:rPr>
          <w:rFonts w:cs="Arial"/>
          <w:sz w:val="22"/>
          <w:szCs w:val="22"/>
        </w:rPr>
        <w:t xml:space="preserve">a </w:t>
      </w:r>
      <w:r w:rsidR="00B74B75" w:rsidRPr="004635EB">
        <w:rPr>
          <w:rFonts w:eastAsia="ヒラギノ角ゴ Pro W3" w:cs="Arial"/>
          <w:sz w:val="22"/>
          <w:szCs w:val="22"/>
          <w:lang w:eastAsia="en-US"/>
        </w:rPr>
        <w:t>Comunicación a la Comisión Europea en aplicación del procedimiento previsto en la Directiva (UE) 2015/1535 del Parlamento Europeo y del Consejo, de 9 de septiembre de 2015</w:t>
      </w:r>
      <w:r w:rsidR="00B74B75">
        <w:rPr>
          <w:rFonts w:eastAsia="ヒラギノ角ゴ Pro W3" w:cs="Arial"/>
          <w:sz w:val="22"/>
          <w:szCs w:val="22"/>
          <w:lang w:eastAsia="en-US"/>
        </w:rPr>
        <w:t xml:space="preserve">, </w:t>
      </w:r>
      <w:r w:rsidRPr="00FA1817">
        <w:rPr>
          <w:rFonts w:cs="Arial"/>
          <w:sz w:val="22"/>
          <w:szCs w:val="22"/>
        </w:rPr>
        <w:t>dando la oportunidad a todos los interesados de presentar las observac</w:t>
      </w:r>
      <w:r>
        <w:rPr>
          <w:rFonts w:cs="Arial"/>
          <w:sz w:val="22"/>
          <w:szCs w:val="22"/>
        </w:rPr>
        <w:t>iones que consideren oportunas.</w:t>
      </w:r>
    </w:p>
    <w:p w:rsidR="00D942A1" w:rsidRDefault="00D942A1" w:rsidP="00D942A1">
      <w:pPr>
        <w:rPr>
          <w:rFonts w:cs="Arial"/>
          <w:sz w:val="22"/>
          <w:szCs w:val="22"/>
        </w:rPr>
      </w:pPr>
    </w:p>
    <w:p w:rsidR="00D942A1" w:rsidRDefault="00D942A1" w:rsidP="00D942A1">
      <w:pPr>
        <w:rPr>
          <w:rFonts w:cs="Arial"/>
          <w:sz w:val="22"/>
          <w:szCs w:val="22"/>
        </w:rPr>
      </w:pPr>
      <w:r w:rsidRPr="00361F45">
        <w:rPr>
          <w:rFonts w:cs="Arial"/>
          <w:sz w:val="22"/>
          <w:szCs w:val="22"/>
        </w:rPr>
        <w:t xml:space="preserve">Finalmente, en relación con el principio de </w:t>
      </w:r>
      <w:r w:rsidRPr="00361F45">
        <w:rPr>
          <w:rFonts w:cs="Arial"/>
          <w:b/>
          <w:sz w:val="22"/>
          <w:szCs w:val="22"/>
        </w:rPr>
        <w:t>eficiencia</w:t>
      </w:r>
      <w:r w:rsidRPr="00361F45">
        <w:rPr>
          <w:rFonts w:cs="Arial"/>
          <w:sz w:val="22"/>
          <w:szCs w:val="22"/>
        </w:rPr>
        <w:t xml:space="preserve">, </w:t>
      </w:r>
      <w:r w:rsidRPr="008218AF">
        <w:rPr>
          <w:rFonts w:cs="Arial"/>
          <w:sz w:val="22"/>
          <w:szCs w:val="22"/>
        </w:rPr>
        <w:t>la norma no supone más cargas administrativas de las estrictamente necesarias evitando cargas administrativas innecesarias o accesorias.</w:t>
      </w:r>
    </w:p>
    <w:p w:rsidR="00D942A1" w:rsidRPr="00DE495A" w:rsidRDefault="00D942A1" w:rsidP="00D942A1">
      <w:pPr>
        <w:rPr>
          <w:rFonts w:cs="Arial"/>
          <w:b/>
          <w:sz w:val="22"/>
          <w:szCs w:val="22"/>
        </w:rPr>
      </w:pPr>
    </w:p>
    <w:p w:rsidR="00D942A1" w:rsidRPr="001765E3" w:rsidRDefault="00D942A1" w:rsidP="001765E3">
      <w:pPr>
        <w:pStyle w:val="Ttulo2"/>
        <w:rPr>
          <w:b w:val="0"/>
        </w:rPr>
      </w:pPr>
      <w:r w:rsidRPr="00D619E6">
        <w:t>4.- ALTERNATIVAS</w:t>
      </w:r>
    </w:p>
    <w:p w:rsidR="00D942A1" w:rsidRPr="00E72607" w:rsidRDefault="00D942A1" w:rsidP="00D942A1">
      <w:pPr>
        <w:rPr>
          <w:rFonts w:cs="Arial"/>
          <w:sz w:val="22"/>
          <w:szCs w:val="22"/>
        </w:rPr>
      </w:pPr>
    </w:p>
    <w:p w:rsidR="00B74B75" w:rsidRDefault="00B74B75" w:rsidP="00B74B75">
      <w:pPr>
        <w:rPr>
          <w:rFonts w:eastAsia="ヒラギノ角ゴ Pro W3" w:cs="Arial"/>
          <w:sz w:val="22"/>
          <w:szCs w:val="22"/>
          <w:lang w:eastAsia="en-US"/>
        </w:rPr>
      </w:pPr>
      <w:r w:rsidRPr="00B74B75">
        <w:rPr>
          <w:rFonts w:eastAsia="ヒラギノ角ゴ Pro W3" w:cs="Arial"/>
          <w:sz w:val="22"/>
          <w:szCs w:val="22"/>
          <w:lang w:eastAsia="en-US"/>
        </w:rPr>
        <w:t>La alternativa</w:t>
      </w:r>
      <w:r>
        <w:rPr>
          <w:rFonts w:eastAsia="ヒラギノ角ゴ Pro W3" w:cs="Arial"/>
          <w:sz w:val="22"/>
          <w:szCs w:val="22"/>
          <w:lang w:eastAsia="en-US"/>
        </w:rPr>
        <w:t xml:space="preserve"> de n</w:t>
      </w:r>
      <w:r w:rsidRPr="00B74B75">
        <w:rPr>
          <w:rFonts w:eastAsia="ヒラギノ角ゴ Pro W3" w:cs="Arial"/>
          <w:sz w:val="22"/>
          <w:szCs w:val="22"/>
          <w:lang w:eastAsia="en-US"/>
        </w:rPr>
        <w:t>o adoptar ninguna medida y mantener el statu quo vigente</w:t>
      </w:r>
      <w:r>
        <w:rPr>
          <w:rFonts w:eastAsia="ヒラギノ角ゴ Pro W3" w:cs="Arial"/>
          <w:sz w:val="22"/>
          <w:szCs w:val="22"/>
          <w:lang w:eastAsia="en-US"/>
        </w:rPr>
        <w:t xml:space="preserve"> se ha considerado inapropiada</w:t>
      </w:r>
      <w:r w:rsidRPr="00B74B75">
        <w:rPr>
          <w:rFonts w:eastAsia="ヒラギノ角ゴ Pro W3" w:cs="Arial"/>
          <w:sz w:val="22"/>
          <w:szCs w:val="22"/>
          <w:lang w:eastAsia="en-US"/>
        </w:rPr>
        <w:t xml:space="preserve"> dado que se han evidenciado dificultades tanto para la industria alimentaria, como para las autoridades encargadas del control oficial para actuar de acuerdo con la legislación en vigor que no es en todos los casos conocida.</w:t>
      </w:r>
    </w:p>
    <w:p w:rsidR="00B74B75" w:rsidRDefault="00B74B75" w:rsidP="00B74B75">
      <w:pPr>
        <w:rPr>
          <w:rFonts w:eastAsia="ヒラギノ角ゴ Pro W3" w:cs="Arial"/>
          <w:sz w:val="22"/>
          <w:szCs w:val="22"/>
          <w:lang w:eastAsia="en-US"/>
        </w:rPr>
      </w:pPr>
    </w:p>
    <w:p w:rsidR="00B74B75" w:rsidRDefault="00B74B75" w:rsidP="00B74B75">
      <w:pPr>
        <w:rPr>
          <w:rFonts w:eastAsia="ヒラギノ角ゴ Pro W3" w:cs="Arial"/>
          <w:sz w:val="22"/>
          <w:szCs w:val="22"/>
          <w:lang w:eastAsia="en-US"/>
        </w:rPr>
      </w:pPr>
      <w:r>
        <w:rPr>
          <w:rFonts w:eastAsia="ヒラギノ角ゴ Pro W3" w:cs="Arial"/>
          <w:sz w:val="22"/>
          <w:szCs w:val="22"/>
          <w:lang w:eastAsia="en-US"/>
        </w:rPr>
        <w:t>Por otro lado, la alternativa de r</w:t>
      </w:r>
      <w:r w:rsidRPr="00B74B75">
        <w:rPr>
          <w:rFonts w:eastAsia="ヒラギノ角ゴ Pro W3" w:cs="Arial"/>
          <w:sz w:val="22"/>
          <w:szCs w:val="22"/>
          <w:lang w:eastAsia="en-US"/>
        </w:rPr>
        <w:t>egular todo tipo de coadyuvantes tecnológicos</w:t>
      </w:r>
      <w:r>
        <w:rPr>
          <w:rFonts w:eastAsia="ヒラギノ角ゴ Pro W3" w:cs="Arial"/>
          <w:sz w:val="22"/>
          <w:szCs w:val="22"/>
          <w:lang w:eastAsia="en-US"/>
        </w:rPr>
        <w:t>,</w:t>
      </w:r>
      <w:r w:rsidRPr="00B74B75">
        <w:rPr>
          <w:rFonts w:eastAsia="ヒラギノ角ゴ Pro W3" w:cs="Arial"/>
          <w:sz w:val="22"/>
          <w:szCs w:val="22"/>
          <w:lang w:eastAsia="en-US"/>
        </w:rPr>
        <w:t xml:space="preserve"> independientemente del sector alimentario en el que se utilicen</w:t>
      </w:r>
      <w:r>
        <w:rPr>
          <w:rFonts w:eastAsia="ヒラギノ角ゴ Pro W3" w:cs="Arial"/>
          <w:sz w:val="22"/>
          <w:szCs w:val="22"/>
          <w:lang w:eastAsia="en-US"/>
        </w:rPr>
        <w:t>,</w:t>
      </w:r>
      <w:r w:rsidRPr="00B74B75">
        <w:rPr>
          <w:rFonts w:eastAsia="ヒラギノ角ゴ Pro W3" w:cs="Arial"/>
          <w:sz w:val="22"/>
          <w:szCs w:val="22"/>
          <w:lang w:eastAsia="en-US"/>
        </w:rPr>
        <w:t xml:space="preserve"> </w:t>
      </w:r>
      <w:r>
        <w:rPr>
          <w:rFonts w:eastAsia="ヒラギノ角ゴ Pro W3" w:cs="Arial"/>
          <w:sz w:val="22"/>
          <w:szCs w:val="22"/>
          <w:lang w:eastAsia="en-US"/>
        </w:rPr>
        <w:t xml:space="preserve">también </w:t>
      </w:r>
      <w:r w:rsidRPr="00B74B75">
        <w:rPr>
          <w:rFonts w:eastAsia="ヒラギノ角ゴ Pro W3" w:cs="Arial"/>
          <w:sz w:val="22"/>
          <w:szCs w:val="22"/>
          <w:lang w:eastAsia="en-US"/>
        </w:rPr>
        <w:t>se ha considerado inapropiad</w:t>
      </w:r>
      <w:r>
        <w:rPr>
          <w:rFonts w:eastAsia="ヒラギノ角ゴ Pro W3" w:cs="Arial"/>
          <w:sz w:val="22"/>
          <w:szCs w:val="22"/>
          <w:lang w:eastAsia="en-US"/>
        </w:rPr>
        <w:t>a</w:t>
      </w:r>
      <w:r w:rsidRPr="00B74B75">
        <w:rPr>
          <w:rFonts w:eastAsia="ヒラギノ角ゴ Pro W3" w:cs="Arial"/>
          <w:sz w:val="22"/>
          <w:szCs w:val="22"/>
          <w:lang w:eastAsia="en-US"/>
        </w:rPr>
        <w:t xml:space="preserve"> al no disponerse de normas que reflejen los coadyuvantes utilizados en los alimentos de origen animal y que servirían de punto de partida.</w:t>
      </w:r>
    </w:p>
    <w:p w:rsidR="00B74B75" w:rsidRDefault="00B74B75" w:rsidP="00B74B75">
      <w:pPr>
        <w:rPr>
          <w:rFonts w:eastAsia="ヒラギノ角ゴ Pro W3" w:cs="Arial"/>
          <w:sz w:val="22"/>
          <w:szCs w:val="22"/>
          <w:lang w:eastAsia="en-US"/>
        </w:rPr>
      </w:pPr>
    </w:p>
    <w:p w:rsidR="00D942A1" w:rsidRPr="001765E3" w:rsidRDefault="00B74B75" w:rsidP="00D942A1">
      <w:pPr>
        <w:rPr>
          <w:rFonts w:eastAsia="ヒラギノ角ゴ Pro W3" w:cs="Arial"/>
          <w:sz w:val="22"/>
          <w:szCs w:val="22"/>
          <w:lang w:eastAsia="en-US"/>
        </w:rPr>
      </w:pPr>
      <w:r>
        <w:rPr>
          <w:rFonts w:eastAsia="ヒラギノ角ゴ Pro W3" w:cs="Arial"/>
          <w:sz w:val="22"/>
          <w:szCs w:val="22"/>
          <w:lang w:eastAsia="en-US"/>
        </w:rPr>
        <w:t>Por tanto, se considera que la opción más apropiada es la de r</w:t>
      </w:r>
      <w:r w:rsidRPr="004635EB">
        <w:rPr>
          <w:rFonts w:eastAsia="ヒラギノ角ゴ Pro W3" w:cs="Arial"/>
          <w:sz w:val="22"/>
          <w:szCs w:val="22"/>
          <w:lang w:eastAsia="en-US"/>
        </w:rPr>
        <w:t>egular los coadyuvantes tecnológicos utilizados por los sectores de alimentación que ya cuentan con sustancias autorizadas como tales e incorporar aquellos otros sectores que sin presentar una regulación anterior, se han identificado como necesarios</w:t>
      </w:r>
      <w:r w:rsidR="00D942A1" w:rsidRPr="001765E3">
        <w:rPr>
          <w:rFonts w:eastAsia="ヒラギノ角ゴ Pro W3" w:cs="Arial"/>
          <w:sz w:val="22"/>
          <w:szCs w:val="22"/>
          <w:lang w:eastAsia="en-US"/>
        </w:rPr>
        <w:t>.</w:t>
      </w:r>
      <w:r>
        <w:rPr>
          <w:rFonts w:eastAsia="ヒラギノ角ゴ Pro W3" w:cs="Arial"/>
          <w:sz w:val="22"/>
          <w:szCs w:val="22"/>
          <w:lang w:eastAsia="en-US"/>
        </w:rPr>
        <w:t xml:space="preserve"> Al mismo tiempo regular el sector de los coadyuvantes tecnológicos ofrece </w:t>
      </w:r>
      <w:r w:rsidRPr="00FA1817">
        <w:rPr>
          <w:rFonts w:cs="Arial"/>
          <w:sz w:val="22"/>
          <w:szCs w:val="22"/>
        </w:rPr>
        <w:t xml:space="preserve">mayor </w:t>
      </w:r>
      <w:r w:rsidRPr="00B74B75">
        <w:rPr>
          <w:rFonts w:cs="Arial"/>
          <w:sz w:val="22"/>
          <w:szCs w:val="22"/>
        </w:rPr>
        <w:t>seguridad jurídica</w:t>
      </w:r>
      <w:r w:rsidRPr="00FA1817">
        <w:rPr>
          <w:rFonts w:cs="Arial"/>
          <w:sz w:val="22"/>
          <w:szCs w:val="22"/>
        </w:rPr>
        <w:t xml:space="preserve"> a los operadores económicos, facilitándoles</w:t>
      </w:r>
      <w:r>
        <w:rPr>
          <w:rFonts w:cs="Arial"/>
          <w:sz w:val="22"/>
          <w:szCs w:val="22"/>
        </w:rPr>
        <w:t xml:space="preserve"> la identificación, condiciones de uso y conocimiento de los </w:t>
      </w:r>
      <w:r w:rsidR="00B23E29">
        <w:rPr>
          <w:rFonts w:cs="Arial"/>
          <w:sz w:val="22"/>
          <w:szCs w:val="22"/>
        </w:rPr>
        <w:t>mismos.</w:t>
      </w:r>
      <w:r>
        <w:rPr>
          <w:rFonts w:eastAsia="ヒラギノ角ゴ Pro W3" w:cs="Arial"/>
          <w:sz w:val="22"/>
          <w:szCs w:val="22"/>
          <w:lang w:eastAsia="en-US"/>
        </w:rPr>
        <w:t xml:space="preserve"> </w:t>
      </w:r>
    </w:p>
    <w:p w:rsidR="00D942A1" w:rsidRPr="001765E3" w:rsidRDefault="00D942A1" w:rsidP="00D942A1">
      <w:pPr>
        <w:rPr>
          <w:rFonts w:eastAsia="ヒラギノ角ゴ Pro W3" w:cs="Arial"/>
          <w:sz w:val="22"/>
          <w:szCs w:val="22"/>
          <w:lang w:eastAsia="en-US"/>
        </w:rPr>
      </w:pPr>
    </w:p>
    <w:p w:rsidR="00D942A1" w:rsidRPr="001765E3" w:rsidRDefault="00E72607" w:rsidP="001765E3">
      <w:pPr>
        <w:pStyle w:val="Ttulo2"/>
        <w:rPr>
          <w:rFonts w:eastAsia="ヒラギノ角ゴ Pro W3"/>
          <w:b w:val="0"/>
          <w:lang w:eastAsia="en-US"/>
        </w:rPr>
      </w:pPr>
      <w:r w:rsidRPr="00D619E6">
        <w:rPr>
          <w:rFonts w:eastAsia="ヒラギノ角ゴ Pro W3"/>
          <w:lang w:eastAsia="en-US"/>
        </w:rPr>
        <w:t>5.- INCLUSIÓN EN EL PLAN ANUAL NORMATIVO</w:t>
      </w:r>
    </w:p>
    <w:p w:rsidR="00D942A1" w:rsidRPr="001765E3" w:rsidRDefault="00D942A1" w:rsidP="00D942A1">
      <w:pPr>
        <w:rPr>
          <w:rFonts w:eastAsia="ヒラギノ角ゴ Pro W3" w:cs="Arial"/>
          <w:sz w:val="22"/>
          <w:szCs w:val="22"/>
          <w:lang w:eastAsia="en-US"/>
        </w:rPr>
      </w:pPr>
    </w:p>
    <w:p w:rsidR="00D942A1" w:rsidRPr="001765E3" w:rsidRDefault="00D942A1" w:rsidP="001765E3">
      <w:pPr>
        <w:rPr>
          <w:rFonts w:eastAsia="ヒラギノ角ゴ Pro W3" w:cs="Arial"/>
          <w:sz w:val="22"/>
          <w:szCs w:val="22"/>
          <w:lang w:eastAsia="en-US"/>
        </w:rPr>
      </w:pPr>
      <w:r w:rsidRPr="001765E3">
        <w:rPr>
          <w:rFonts w:eastAsia="ヒラギノ角ゴ Pro W3" w:cs="Arial"/>
          <w:sz w:val="22"/>
          <w:szCs w:val="22"/>
          <w:lang w:eastAsia="en-US"/>
        </w:rPr>
        <w:t>Este proyecto se incluye en el Plan Anual Normativo de 2022.</w:t>
      </w:r>
    </w:p>
    <w:p w:rsidR="00D942A1" w:rsidRPr="00E72607" w:rsidRDefault="00D942A1" w:rsidP="00D942A1">
      <w:pPr>
        <w:rPr>
          <w:rFonts w:cs="Arial"/>
          <w:sz w:val="22"/>
          <w:szCs w:val="22"/>
        </w:rPr>
      </w:pPr>
    </w:p>
    <w:p w:rsidR="00D942A1" w:rsidRPr="00DE495A" w:rsidRDefault="00D942A1" w:rsidP="001765E3">
      <w:pPr>
        <w:pStyle w:val="Ttulo1"/>
      </w:pPr>
      <w:r w:rsidRPr="008C76E5">
        <w:t>B</w:t>
      </w:r>
      <w:r>
        <w:t>)</w:t>
      </w:r>
      <w:r w:rsidRPr="008C76E5">
        <w:t xml:space="preserve"> CONTENIDO</w:t>
      </w:r>
      <w:r w:rsidR="00610413">
        <w:t xml:space="preserve"> Y</w:t>
      </w:r>
      <w:r w:rsidRPr="00DE495A">
        <w:t xml:space="preserve"> ANÁLISIS JURÍDICO</w:t>
      </w:r>
    </w:p>
    <w:p w:rsidR="00D942A1" w:rsidRPr="00DE495A" w:rsidRDefault="00D942A1" w:rsidP="00D942A1">
      <w:pPr>
        <w:rPr>
          <w:rFonts w:cs="Arial"/>
          <w:b/>
          <w:sz w:val="22"/>
          <w:szCs w:val="22"/>
        </w:rPr>
      </w:pPr>
    </w:p>
    <w:p w:rsidR="00D942A1" w:rsidRPr="00DE495A" w:rsidRDefault="00D942A1" w:rsidP="001765E3">
      <w:pPr>
        <w:pStyle w:val="Ttulo2"/>
      </w:pPr>
      <w:r w:rsidRPr="00DE495A">
        <w:t>1.- CONTENIDO</w:t>
      </w:r>
    </w:p>
    <w:p w:rsidR="00D942A1" w:rsidRPr="00DE495A" w:rsidRDefault="00D942A1" w:rsidP="00D942A1">
      <w:pPr>
        <w:rPr>
          <w:rFonts w:cs="Arial"/>
          <w:b/>
          <w:sz w:val="22"/>
          <w:szCs w:val="22"/>
        </w:rPr>
      </w:pPr>
    </w:p>
    <w:p w:rsidR="00D942A1" w:rsidRPr="00DE495A" w:rsidRDefault="00D942A1" w:rsidP="00D942A1">
      <w:pPr>
        <w:rPr>
          <w:rFonts w:eastAsia="Calibri" w:cs="Arial"/>
          <w:sz w:val="22"/>
          <w:szCs w:val="22"/>
          <w:lang w:eastAsia="en-US"/>
        </w:rPr>
      </w:pPr>
      <w:r w:rsidRPr="00DE495A">
        <w:rPr>
          <w:rFonts w:cs="Arial"/>
          <w:spacing w:val="-3"/>
          <w:sz w:val="22"/>
          <w:szCs w:val="22"/>
        </w:rPr>
        <w:t xml:space="preserve">El proyecto de </w:t>
      </w:r>
      <w:r>
        <w:rPr>
          <w:rFonts w:cs="Arial"/>
          <w:spacing w:val="-3"/>
          <w:sz w:val="22"/>
          <w:szCs w:val="22"/>
        </w:rPr>
        <w:t>real decreto</w:t>
      </w:r>
      <w:r w:rsidRPr="00DE495A">
        <w:rPr>
          <w:rFonts w:cs="Arial"/>
          <w:spacing w:val="-3"/>
          <w:sz w:val="22"/>
          <w:szCs w:val="22"/>
        </w:rPr>
        <w:t xml:space="preserve"> consta de un</w:t>
      </w:r>
      <w:r w:rsidRPr="00DE495A">
        <w:rPr>
          <w:rFonts w:eastAsia="Calibri" w:cs="Arial"/>
          <w:sz w:val="22"/>
          <w:szCs w:val="22"/>
          <w:lang w:eastAsia="en-US"/>
        </w:rPr>
        <w:t xml:space="preserve"> preámbulo, </w:t>
      </w:r>
      <w:r w:rsidR="00E82AB8">
        <w:rPr>
          <w:rFonts w:eastAsia="Calibri" w:cs="Arial"/>
          <w:sz w:val="22"/>
          <w:szCs w:val="22"/>
          <w:lang w:eastAsia="en-US"/>
        </w:rPr>
        <w:t>cinco</w:t>
      </w:r>
      <w:r w:rsidRPr="00DE495A">
        <w:rPr>
          <w:rFonts w:eastAsia="Calibri" w:cs="Arial"/>
          <w:sz w:val="22"/>
          <w:szCs w:val="22"/>
          <w:lang w:eastAsia="en-US"/>
        </w:rPr>
        <w:t xml:space="preserve"> artículos, </w:t>
      </w:r>
      <w:r>
        <w:rPr>
          <w:rFonts w:eastAsia="Calibri" w:cs="Arial"/>
          <w:sz w:val="22"/>
          <w:szCs w:val="22"/>
          <w:lang w:eastAsia="en-US"/>
        </w:rPr>
        <w:t xml:space="preserve">una disposición </w:t>
      </w:r>
      <w:r w:rsidR="00432D94">
        <w:rPr>
          <w:rFonts w:eastAsia="Calibri" w:cs="Arial"/>
          <w:sz w:val="22"/>
          <w:szCs w:val="22"/>
          <w:lang w:eastAsia="en-US"/>
        </w:rPr>
        <w:t>adicional única</w:t>
      </w:r>
      <w:r w:rsidR="00610413">
        <w:rPr>
          <w:rFonts w:eastAsia="Calibri" w:cs="Arial"/>
          <w:sz w:val="22"/>
          <w:szCs w:val="22"/>
          <w:lang w:eastAsia="en-US"/>
        </w:rPr>
        <w:t>, una disposición derogatoria única</w:t>
      </w:r>
      <w:r w:rsidR="00E82AB8">
        <w:rPr>
          <w:rFonts w:eastAsia="Calibri" w:cs="Arial"/>
          <w:sz w:val="22"/>
          <w:szCs w:val="22"/>
          <w:lang w:eastAsia="en-US"/>
        </w:rPr>
        <w:t>,</w:t>
      </w:r>
      <w:r>
        <w:rPr>
          <w:rFonts w:eastAsia="Calibri" w:cs="Arial"/>
          <w:sz w:val="22"/>
          <w:szCs w:val="22"/>
          <w:lang w:eastAsia="en-US"/>
        </w:rPr>
        <w:t xml:space="preserve"> </w:t>
      </w:r>
      <w:r w:rsidR="00610413">
        <w:rPr>
          <w:rFonts w:eastAsia="Calibri" w:cs="Arial"/>
          <w:sz w:val="22"/>
          <w:szCs w:val="22"/>
          <w:lang w:eastAsia="en-US"/>
        </w:rPr>
        <w:t>tre</w:t>
      </w:r>
      <w:r w:rsidR="00432D94">
        <w:rPr>
          <w:rFonts w:eastAsia="Calibri" w:cs="Arial"/>
          <w:sz w:val="22"/>
          <w:szCs w:val="22"/>
          <w:lang w:eastAsia="en-US"/>
        </w:rPr>
        <w:t xml:space="preserve">s </w:t>
      </w:r>
      <w:r w:rsidRPr="00DE495A">
        <w:rPr>
          <w:rFonts w:eastAsia="Calibri" w:cs="Arial"/>
          <w:sz w:val="22"/>
          <w:szCs w:val="22"/>
          <w:lang w:eastAsia="en-US"/>
        </w:rPr>
        <w:t>disposici</w:t>
      </w:r>
      <w:r>
        <w:rPr>
          <w:rFonts w:eastAsia="Calibri" w:cs="Arial"/>
          <w:sz w:val="22"/>
          <w:szCs w:val="22"/>
          <w:lang w:eastAsia="en-US"/>
        </w:rPr>
        <w:t>o</w:t>
      </w:r>
      <w:r w:rsidRPr="00DE495A">
        <w:rPr>
          <w:rFonts w:eastAsia="Calibri" w:cs="Arial"/>
          <w:sz w:val="22"/>
          <w:szCs w:val="22"/>
          <w:lang w:eastAsia="en-US"/>
        </w:rPr>
        <w:t>n</w:t>
      </w:r>
      <w:r>
        <w:rPr>
          <w:rFonts w:eastAsia="Calibri" w:cs="Arial"/>
          <w:sz w:val="22"/>
          <w:szCs w:val="22"/>
          <w:lang w:eastAsia="en-US"/>
        </w:rPr>
        <w:t>es</w:t>
      </w:r>
      <w:r w:rsidRPr="00DE495A">
        <w:rPr>
          <w:rFonts w:eastAsia="Calibri" w:cs="Arial"/>
          <w:sz w:val="22"/>
          <w:szCs w:val="22"/>
          <w:lang w:eastAsia="en-US"/>
        </w:rPr>
        <w:t xml:space="preserve"> final</w:t>
      </w:r>
      <w:r>
        <w:rPr>
          <w:rFonts w:eastAsia="Calibri" w:cs="Arial"/>
          <w:sz w:val="22"/>
          <w:szCs w:val="22"/>
          <w:lang w:eastAsia="en-US"/>
        </w:rPr>
        <w:t>es</w:t>
      </w:r>
      <w:r w:rsidR="00E82AB8">
        <w:rPr>
          <w:rFonts w:eastAsia="Calibri" w:cs="Arial"/>
          <w:sz w:val="22"/>
          <w:szCs w:val="22"/>
          <w:lang w:eastAsia="en-US"/>
        </w:rPr>
        <w:t xml:space="preserve"> y 2 Anexos</w:t>
      </w:r>
      <w:r>
        <w:rPr>
          <w:rFonts w:eastAsia="Calibri" w:cs="Arial"/>
          <w:sz w:val="22"/>
          <w:szCs w:val="22"/>
          <w:lang w:eastAsia="en-US"/>
        </w:rPr>
        <w:t>. Así, su distribución aborda los siguientes aspectos:</w:t>
      </w:r>
    </w:p>
    <w:p w:rsidR="00D942A1" w:rsidRPr="00DE495A" w:rsidRDefault="00D942A1" w:rsidP="00D942A1">
      <w:pPr>
        <w:rPr>
          <w:rFonts w:eastAsia="Calibri" w:cs="Arial"/>
          <w:sz w:val="22"/>
          <w:szCs w:val="22"/>
          <w:lang w:eastAsia="en-US"/>
        </w:rPr>
      </w:pPr>
    </w:p>
    <w:p w:rsidR="00D942A1" w:rsidRDefault="00D942A1" w:rsidP="00D942A1">
      <w:pPr>
        <w:rPr>
          <w:rFonts w:cs="Arial"/>
          <w:b/>
          <w:color w:val="000000" w:themeColor="text1"/>
          <w:sz w:val="22"/>
          <w:szCs w:val="22"/>
        </w:rPr>
      </w:pPr>
      <w:r w:rsidRPr="00DE495A">
        <w:rPr>
          <w:rFonts w:cs="Arial"/>
          <w:b/>
          <w:color w:val="000000" w:themeColor="text1"/>
          <w:sz w:val="22"/>
          <w:szCs w:val="22"/>
        </w:rPr>
        <w:t>PREÁMBULO</w:t>
      </w:r>
    </w:p>
    <w:p w:rsidR="00D942A1" w:rsidRDefault="00D942A1" w:rsidP="00D942A1">
      <w:pPr>
        <w:rPr>
          <w:rFonts w:cs="Arial"/>
          <w:b/>
          <w:color w:val="000000" w:themeColor="text1"/>
          <w:sz w:val="22"/>
          <w:szCs w:val="22"/>
        </w:rPr>
      </w:pPr>
    </w:p>
    <w:p w:rsidR="00610413" w:rsidRDefault="00610413" w:rsidP="00D942A1">
      <w:pPr>
        <w:rPr>
          <w:rFonts w:eastAsia="Arial" w:cs="Arial"/>
          <w:sz w:val="22"/>
          <w:szCs w:val="22"/>
          <w:lang w:bidi="es-ES"/>
        </w:rPr>
      </w:pPr>
      <w:r w:rsidRPr="00610413">
        <w:rPr>
          <w:rFonts w:cs="Arial"/>
          <w:color w:val="000000" w:themeColor="text1"/>
          <w:sz w:val="22"/>
          <w:szCs w:val="22"/>
        </w:rPr>
        <w:t xml:space="preserve">En el Preámbulo de la norma se indica que </w:t>
      </w:r>
      <w:r w:rsidRPr="00F566B0">
        <w:rPr>
          <w:rFonts w:eastAsia="Arial" w:cs="Arial"/>
          <w:sz w:val="22"/>
          <w:szCs w:val="22"/>
          <w:lang w:bidi="es-ES"/>
        </w:rPr>
        <w:t>no existe en la Unión Europea</w:t>
      </w:r>
      <w:r>
        <w:rPr>
          <w:rFonts w:eastAsia="Arial" w:cs="Arial"/>
          <w:sz w:val="22"/>
          <w:szCs w:val="22"/>
          <w:lang w:bidi="es-ES"/>
        </w:rPr>
        <w:t xml:space="preserve"> una</w:t>
      </w:r>
      <w:r w:rsidRPr="00F566B0">
        <w:rPr>
          <w:rFonts w:eastAsia="Arial" w:cs="Arial"/>
          <w:sz w:val="22"/>
          <w:szCs w:val="22"/>
          <w:lang w:bidi="es-ES"/>
        </w:rPr>
        <w:t xml:space="preserve"> regulación armonizada para los coadyuvantes tecnológicos</w:t>
      </w:r>
      <w:r w:rsidR="00A45807">
        <w:rPr>
          <w:rFonts w:eastAsia="Arial" w:cs="Arial"/>
          <w:sz w:val="22"/>
          <w:szCs w:val="22"/>
          <w:lang w:bidi="es-ES"/>
        </w:rPr>
        <w:t xml:space="preserve"> más allá de la</w:t>
      </w:r>
      <w:r w:rsidR="007E7DE1">
        <w:rPr>
          <w:rFonts w:eastAsia="Arial" w:cs="Arial"/>
          <w:sz w:val="22"/>
          <w:szCs w:val="22"/>
          <w:lang w:bidi="es-ES"/>
        </w:rPr>
        <w:t xml:space="preserve"> </w:t>
      </w:r>
      <w:r w:rsidR="007E7DE1" w:rsidRPr="00F566B0">
        <w:rPr>
          <w:rFonts w:eastAsia="Arial" w:cs="Arial"/>
          <w:sz w:val="22"/>
          <w:szCs w:val="22"/>
          <w:lang w:bidi="es-ES"/>
        </w:rPr>
        <w:t xml:space="preserve">definición se incluyó en el ámbito de aplicación del Reglamento (CE) Nº </w:t>
      </w:r>
      <w:r w:rsidR="007E7DE1" w:rsidRPr="00F566B0">
        <w:rPr>
          <w:rFonts w:eastAsia="Arial" w:cs="Arial"/>
          <w:sz w:val="22"/>
          <w:szCs w:val="22"/>
          <w:lang w:bidi="es-ES"/>
        </w:rPr>
        <w:lastRenderedPageBreak/>
        <w:t xml:space="preserve">1333/2008 del Parlamento Europeo y del Consejo, de 16 de diciembre de 2008, sobre aditivos alimentarios, </w:t>
      </w:r>
      <w:r w:rsidR="00A45807">
        <w:rPr>
          <w:rFonts w:eastAsia="Arial" w:cs="Arial"/>
          <w:sz w:val="22"/>
          <w:szCs w:val="22"/>
          <w:lang w:bidi="es-ES"/>
        </w:rPr>
        <w:t>que, no obstante, los excluye</w:t>
      </w:r>
      <w:r w:rsidR="007E7DE1" w:rsidRPr="00F566B0">
        <w:rPr>
          <w:rFonts w:eastAsia="Arial" w:cs="Arial"/>
          <w:sz w:val="22"/>
          <w:szCs w:val="22"/>
          <w:lang w:bidi="es-ES"/>
        </w:rPr>
        <w:t xml:space="preserve"> de su ámbito de aplicación.</w:t>
      </w:r>
    </w:p>
    <w:p w:rsidR="00A45807" w:rsidRDefault="00A45807" w:rsidP="00D942A1">
      <w:pPr>
        <w:rPr>
          <w:rFonts w:eastAsia="Arial" w:cs="Arial"/>
          <w:sz w:val="22"/>
          <w:szCs w:val="22"/>
          <w:lang w:bidi="es-ES"/>
        </w:rPr>
      </w:pPr>
    </w:p>
    <w:p w:rsidR="00A45807" w:rsidRPr="00A45807" w:rsidRDefault="00A45807" w:rsidP="00A45807">
      <w:pPr>
        <w:rPr>
          <w:rFonts w:cs="Arial"/>
          <w:color w:val="000000" w:themeColor="text1"/>
          <w:sz w:val="22"/>
          <w:szCs w:val="22"/>
        </w:rPr>
      </w:pPr>
      <w:r>
        <w:rPr>
          <w:rFonts w:cs="Arial"/>
          <w:color w:val="000000" w:themeColor="text1"/>
          <w:sz w:val="22"/>
          <w:szCs w:val="22"/>
        </w:rPr>
        <w:t>Asimismo, se indica que e</w:t>
      </w:r>
      <w:r w:rsidRPr="00A45807">
        <w:rPr>
          <w:rFonts w:cs="Arial"/>
          <w:color w:val="000000" w:themeColor="text1"/>
          <w:sz w:val="22"/>
          <w:szCs w:val="22"/>
        </w:rPr>
        <w:t>n España existen numerosas normas sectoriales (reglamentaciones técnico-sanitarias o normas de calidad) que regulan el uso de coadyuvantes tecnológicos. Muchas de ellas están vigentes desde hace más de 35 años y han sufrido profundos cambios como consecuencia de su antigüedad y la necesidad de adaptarlas a la actualidad, o por la aplicación de la normativa de la Unión Europea en materia de higiene, aditivos alimentarios, materiales en contacto con los alimentos, etc. que regula aspectos contenidos en las mismas.</w:t>
      </w:r>
    </w:p>
    <w:p w:rsidR="00A45807" w:rsidRPr="00A45807" w:rsidRDefault="00A45807" w:rsidP="00A45807">
      <w:pPr>
        <w:rPr>
          <w:rFonts w:cs="Arial"/>
          <w:color w:val="000000" w:themeColor="text1"/>
          <w:sz w:val="22"/>
          <w:szCs w:val="22"/>
        </w:rPr>
      </w:pPr>
    </w:p>
    <w:p w:rsidR="00A45807" w:rsidRPr="00610413" w:rsidRDefault="00A45807" w:rsidP="00A45807">
      <w:pPr>
        <w:rPr>
          <w:rFonts w:cs="Arial"/>
          <w:color w:val="000000" w:themeColor="text1"/>
          <w:sz w:val="22"/>
          <w:szCs w:val="22"/>
        </w:rPr>
      </w:pPr>
      <w:r>
        <w:rPr>
          <w:rFonts w:cs="Arial"/>
          <w:color w:val="000000" w:themeColor="text1"/>
          <w:sz w:val="22"/>
          <w:szCs w:val="22"/>
        </w:rPr>
        <w:lastRenderedPageBreak/>
        <w:t>Todo lo cual justifica la necesidad de elaborar un</w:t>
      </w:r>
      <w:r w:rsidRPr="00A45807">
        <w:rPr>
          <w:rFonts w:cs="Arial"/>
          <w:color w:val="000000" w:themeColor="text1"/>
          <w:sz w:val="22"/>
          <w:szCs w:val="22"/>
        </w:rPr>
        <w:t xml:space="preserve"> real decreto </w:t>
      </w:r>
      <w:r>
        <w:rPr>
          <w:rFonts w:cs="Arial"/>
          <w:color w:val="000000" w:themeColor="text1"/>
          <w:sz w:val="22"/>
          <w:szCs w:val="22"/>
        </w:rPr>
        <w:t>con el fin de</w:t>
      </w:r>
      <w:r w:rsidRPr="00A45807">
        <w:rPr>
          <w:rFonts w:cs="Arial"/>
          <w:color w:val="000000" w:themeColor="text1"/>
          <w:sz w:val="22"/>
          <w:szCs w:val="22"/>
        </w:rPr>
        <w:t xml:space="preserve"> unificar en una sola norma el conjunto de coadyuvantes tecnológicos que se encuentran, en el momento de su publicación, autorizados de manera dispersa en un número indeterminado de normas nacionales, con el fin de facilitar su consideración y aplicación por operadores económicos y autoridades de control en el desarrollo de sus correspondientes actividades y así dotarlas de mayor seguridad jurídica.</w:t>
      </w:r>
    </w:p>
    <w:p w:rsidR="00610413" w:rsidRPr="00610413" w:rsidRDefault="00610413" w:rsidP="00D942A1">
      <w:pPr>
        <w:rPr>
          <w:rFonts w:cs="Arial"/>
          <w:color w:val="000000" w:themeColor="text1"/>
          <w:sz w:val="22"/>
          <w:szCs w:val="22"/>
        </w:rPr>
      </w:pPr>
    </w:p>
    <w:p w:rsidR="00D942A1" w:rsidRPr="00DE495A" w:rsidRDefault="00D942A1" w:rsidP="00D942A1">
      <w:pPr>
        <w:rPr>
          <w:rFonts w:cs="Arial"/>
          <w:color w:val="000000" w:themeColor="text1"/>
          <w:sz w:val="22"/>
          <w:szCs w:val="22"/>
        </w:rPr>
      </w:pPr>
      <w:r w:rsidRPr="00DE495A">
        <w:rPr>
          <w:rFonts w:cs="Arial"/>
          <w:b/>
          <w:color w:val="000000" w:themeColor="text1"/>
          <w:sz w:val="22"/>
          <w:szCs w:val="22"/>
        </w:rPr>
        <w:t>A</w:t>
      </w:r>
      <w:r>
        <w:rPr>
          <w:rFonts w:cs="Arial"/>
          <w:b/>
          <w:color w:val="000000" w:themeColor="text1"/>
          <w:sz w:val="22"/>
          <w:szCs w:val="22"/>
        </w:rPr>
        <w:t>RTICULADO</w:t>
      </w:r>
    </w:p>
    <w:p w:rsidR="00D942A1" w:rsidRDefault="00D942A1" w:rsidP="00D942A1">
      <w:pPr>
        <w:rPr>
          <w:rFonts w:cs="Arial"/>
          <w:color w:val="000000" w:themeColor="text1"/>
          <w:sz w:val="22"/>
          <w:szCs w:val="22"/>
        </w:rPr>
      </w:pPr>
    </w:p>
    <w:p w:rsidR="00533B1B" w:rsidRPr="00533B1B" w:rsidRDefault="00D942A1" w:rsidP="00533B1B">
      <w:pPr>
        <w:rPr>
          <w:rFonts w:cs="Arial"/>
          <w:color w:val="000000" w:themeColor="text1"/>
          <w:sz w:val="22"/>
          <w:szCs w:val="22"/>
        </w:rPr>
      </w:pPr>
      <w:r w:rsidRPr="00DE495A">
        <w:rPr>
          <w:rFonts w:cs="Arial"/>
          <w:color w:val="000000" w:themeColor="text1"/>
          <w:sz w:val="22"/>
          <w:szCs w:val="22"/>
        </w:rPr>
        <w:t xml:space="preserve">Artículo 1. </w:t>
      </w:r>
      <w:r w:rsidR="00533B1B" w:rsidRPr="00533B1B">
        <w:rPr>
          <w:rFonts w:cs="Arial"/>
          <w:color w:val="000000" w:themeColor="text1"/>
          <w:sz w:val="22"/>
          <w:szCs w:val="22"/>
        </w:rPr>
        <w:t>Objeto y ámbito de aplicación.</w:t>
      </w:r>
    </w:p>
    <w:p w:rsidR="00533B1B" w:rsidRPr="00533B1B" w:rsidRDefault="00533B1B" w:rsidP="00533B1B">
      <w:pPr>
        <w:rPr>
          <w:rFonts w:cs="Arial"/>
          <w:color w:val="000000" w:themeColor="text1"/>
          <w:sz w:val="22"/>
          <w:szCs w:val="22"/>
        </w:rPr>
      </w:pPr>
    </w:p>
    <w:p w:rsidR="00D942A1" w:rsidRDefault="00533B1B" w:rsidP="00533B1B">
      <w:pPr>
        <w:rPr>
          <w:rFonts w:cs="Arial"/>
          <w:iCs/>
          <w:color w:val="000000" w:themeColor="text1"/>
          <w:sz w:val="22"/>
          <w:szCs w:val="22"/>
        </w:rPr>
      </w:pPr>
      <w:r w:rsidRPr="00533B1B">
        <w:rPr>
          <w:rFonts w:cs="Arial"/>
          <w:color w:val="000000" w:themeColor="text1"/>
          <w:sz w:val="22"/>
          <w:szCs w:val="22"/>
        </w:rPr>
        <w:t>E</w:t>
      </w:r>
      <w:r>
        <w:rPr>
          <w:rFonts w:cs="Arial"/>
          <w:color w:val="000000" w:themeColor="text1"/>
          <w:sz w:val="22"/>
          <w:szCs w:val="22"/>
        </w:rPr>
        <w:t xml:space="preserve">ste artículo recoge el objeto de la norma que es </w:t>
      </w:r>
      <w:r w:rsidRPr="00533B1B">
        <w:rPr>
          <w:rFonts w:cs="Arial"/>
          <w:color w:val="000000" w:themeColor="text1"/>
          <w:sz w:val="22"/>
          <w:szCs w:val="22"/>
        </w:rPr>
        <w:t xml:space="preserve">crear una lista única, establecida en la parte B del Anexo I, con </w:t>
      </w:r>
      <w:r w:rsidRPr="00533B1B">
        <w:rPr>
          <w:rFonts w:cs="Arial"/>
          <w:color w:val="000000" w:themeColor="text1"/>
          <w:sz w:val="22"/>
          <w:szCs w:val="22"/>
        </w:rPr>
        <w:lastRenderedPageBreak/>
        <w:t>los coadyuvantes tecnológicos que se encuentran autorizados en la actualidad</w:t>
      </w:r>
      <w:r>
        <w:rPr>
          <w:rFonts w:cs="Arial"/>
          <w:color w:val="000000" w:themeColor="text1"/>
          <w:sz w:val="22"/>
          <w:szCs w:val="22"/>
        </w:rPr>
        <w:t xml:space="preserve"> y con aquello</w:t>
      </w:r>
      <w:r w:rsidR="001B5928">
        <w:rPr>
          <w:rFonts w:cs="Arial"/>
          <w:color w:val="000000" w:themeColor="text1"/>
          <w:sz w:val="22"/>
          <w:szCs w:val="22"/>
        </w:rPr>
        <w:t>s</w:t>
      </w:r>
      <w:r>
        <w:rPr>
          <w:rFonts w:cs="Arial"/>
          <w:color w:val="000000" w:themeColor="text1"/>
          <w:sz w:val="22"/>
          <w:szCs w:val="22"/>
        </w:rPr>
        <w:t xml:space="preserve"> que, </w:t>
      </w:r>
      <w:r w:rsidRPr="008F78B2">
        <w:rPr>
          <w:rFonts w:eastAsia="Arial" w:cs="Arial"/>
          <w:sz w:val="22"/>
          <w:szCs w:val="22"/>
          <w:lang w:bidi="es-ES"/>
        </w:rPr>
        <w:t xml:space="preserve">aun no encontrándose autorizados </w:t>
      </w:r>
      <w:r w:rsidRPr="008F78B2">
        <w:rPr>
          <w:rFonts w:eastAsia="Arial" w:cs="Arial"/>
          <w:sz w:val="22"/>
          <w:lang w:bidi="es-ES"/>
        </w:rPr>
        <w:t>como tales en normas nacionales, cuenten con el dictamen favorable del Comité Científico de AESAN.</w:t>
      </w:r>
    </w:p>
    <w:p w:rsidR="00D942A1" w:rsidRDefault="00D942A1" w:rsidP="00D942A1">
      <w:pPr>
        <w:rPr>
          <w:rFonts w:cs="Arial"/>
          <w:color w:val="000000" w:themeColor="text1"/>
          <w:sz w:val="22"/>
          <w:szCs w:val="22"/>
        </w:rPr>
      </w:pPr>
    </w:p>
    <w:p w:rsidR="00533B1B" w:rsidRDefault="00D942A1" w:rsidP="00D942A1">
      <w:pPr>
        <w:rPr>
          <w:rFonts w:eastAsia="Arial" w:cs="Arial"/>
          <w:sz w:val="22"/>
          <w:lang w:bidi="es-ES"/>
        </w:rPr>
      </w:pPr>
      <w:r w:rsidRPr="005F0CAC">
        <w:rPr>
          <w:rFonts w:cs="Arial"/>
          <w:color w:val="000000" w:themeColor="text1"/>
          <w:sz w:val="22"/>
          <w:szCs w:val="22"/>
        </w:rPr>
        <w:t>E</w:t>
      </w:r>
      <w:r w:rsidR="00533B1B">
        <w:rPr>
          <w:rFonts w:cs="Arial"/>
          <w:color w:val="000000" w:themeColor="text1"/>
          <w:sz w:val="22"/>
          <w:szCs w:val="22"/>
        </w:rPr>
        <w:t xml:space="preserve">ste artículo también establece el ámbito de aplicación de la norma que son </w:t>
      </w:r>
      <w:r w:rsidR="00533B1B" w:rsidRPr="008F78B2">
        <w:rPr>
          <w:rFonts w:eastAsia="Arial" w:cs="Arial"/>
          <w:sz w:val="22"/>
          <w:lang w:bidi="es-ES"/>
        </w:rPr>
        <w:t>los coadyuvantes tecnológicos utilizados en los procesos de obtención y elaboración de los alimentos identificados en la parte A del anexo I del mismo, tanto si se utilizan por empresas alimentarias, como en el ámbito de las colectividades o doméstico, sin perjuicio de otras normas que pudiesen resultar de aplicación sobre las condiciones para su empleo o etiquetado.</w:t>
      </w:r>
    </w:p>
    <w:p w:rsidR="00494B17" w:rsidRDefault="00494B17">
      <w:pPr>
        <w:spacing w:after="160" w:line="259" w:lineRule="auto"/>
        <w:jc w:val="left"/>
        <w:rPr>
          <w:rFonts w:cs="Arial"/>
          <w:color w:val="000000" w:themeColor="text1"/>
          <w:sz w:val="22"/>
          <w:szCs w:val="22"/>
        </w:rPr>
      </w:pPr>
    </w:p>
    <w:p w:rsidR="00D942A1" w:rsidRPr="005F0CAC" w:rsidRDefault="00D942A1" w:rsidP="00D942A1">
      <w:pPr>
        <w:rPr>
          <w:rFonts w:cs="Arial"/>
          <w:iCs/>
          <w:color w:val="000000" w:themeColor="text1"/>
          <w:sz w:val="22"/>
          <w:szCs w:val="22"/>
        </w:rPr>
      </w:pPr>
      <w:r w:rsidRPr="005F0CAC">
        <w:rPr>
          <w:rFonts w:cs="Arial"/>
          <w:color w:val="000000" w:themeColor="text1"/>
          <w:sz w:val="22"/>
          <w:szCs w:val="22"/>
        </w:rPr>
        <w:t xml:space="preserve">Artículo 2. </w:t>
      </w:r>
      <w:r w:rsidR="00533B1B" w:rsidRPr="00533B1B">
        <w:rPr>
          <w:rFonts w:cs="Arial"/>
          <w:color w:val="000000" w:themeColor="text1"/>
          <w:sz w:val="22"/>
          <w:szCs w:val="22"/>
        </w:rPr>
        <w:t>Definiciones</w:t>
      </w:r>
      <w:r w:rsidRPr="005F0CAC">
        <w:rPr>
          <w:rFonts w:cs="Arial"/>
          <w:iCs/>
          <w:color w:val="000000" w:themeColor="text1"/>
          <w:sz w:val="22"/>
          <w:szCs w:val="22"/>
        </w:rPr>
        <w:t>.</w:t>
      </w:r>
    </w:p>
    <w:p w:rsidR="00D942A1" w:rsidRDefault="00D942A1" w:rsidP="00D942A1">
      <w:pPr>
        <w:rPr>
          <w:rFonts w:cs="Arial"/>
          <w:color w:val="000000" w:themeColor="text1"/>
          <w:sz w:val="22"/>
          <w:szCs w:val="22"/>
        </w:rPr>
      </w:pPr>
    </w:p>
    <w:p w:rsidR="00D942A1" w:rsidRDefault="00D942A1" w:rsidP="00D942A1">
      <w:pPr>
        <w:rPr>
          <w:rFonts w:cs="Arial"/>
          <w:color w:val="000000" w:themeColor="text1"/>
          <w:sz w:val="22"/>
          <w:szCs w:val="22"/>
        </w:rPr>
      </w:pPr>
      <w:r w:rsidRPr="005F0CAC">
        <w:rPr>
          <w:rFonts w:cs="Arial"/>
          <w:color w:val="000000" w:themeColor="text1"/>
          <w:sz w:val="22"/>
          <w:szCs w:val="22"/>
        </w:rPr>
        <w:t xml:space="preserve">En este artículo se </w:t>
      </w:r>
      <w:r w:rsidR="00533B1B">
        <w:rPr>
          <w:rFonts w:cs="Arial"/>
          <w:color w:val="000000" w:themeColor="text1"/>
          <w:sz w:val="22"/>
          <w:szCs w:val="22"/>
        </w:rPr>
        <w:t>recogen las definiciones de coadyuvante tecnológico, empresa alimentaria, colectividades y ámbito doméstico.</w:t>
      </w:r>
    </w:p>
    <w:p w:rsidR="00533B1B" w:rsidRDefault="00533B1B" w:rsidP="00D942A1">
      <w:pPr>
        <w:rPr>
          <w:rFonts w:cs="Arial"/>
          <w:color w:val="000000" w:themeColor="text1"/>
          <w:sz w:val="22"/>
          <w:szCs w:val="22"/>
        </w:rPr>
      </w:pPr>
    </w:p>
    <w:p w:rsidR="00533B1B" w:rsidRDefault="00533B1B" w:rsidP="00533B1B">
      <w:pPr>
        <w:rPr>
          <w:rFonts w:cs="Arial"/>
          <w:color w:val="000000" w:themeColor="text1"/>
          <w:sz w:val="22"/>
          <w:szCs w:val="22"/>
        </w:rPr>
      </w:pPr>
      <w:r>
        <w:rPr>
          <w:rFonts w:cs="Arial"/>
          <w:color w:val="000000" w:themeColor="text1"/>
          <w:sz w:val="22"/>
          <w:szCs w:val="22"/>
        </w:rPr>
        <w:t>Artículo 3</w:t>
      </w:r>
      <w:r w:rsidRPr="005F0CAC">
        <w:rPr>
          <w:rFonts w:cs="Arial"/>
          <w:color w:val="000000" w:themeColor="text1"/>
          <w:sz w:val="22"/>
          <w:szCs w:val="22"/>
        </w:rPr>
        <w:t xml:space="preserve">. </w:t>
      </w:r>
      <w:r w:rsidR="00E750C3" w:rsidRPr="00E750C3">
        <w:rPr>
          <w:rFonts w:cs="Arial"/>
          <w:color w:val="000000" w:themeColor="text1"/>
          <w:sz w:val="22"/>
          <w:szCs w:val="22"/>
        </w:rPr>
        <w:t>Condiciones de uso</w:t>
      </w:r>
      <w:r w:rsidR="00E750C3">
        <w:rPr>
          <w:rFonts w:cs="Arial"/>
          <w:color w:val="000000" w:themeColor="text1"/>
          <w:sz w:val="22"/>
          <w:szCs w:val="22"/>
        </w:rPr>
        <w:t>.</w:t>
      </w:r>
    </w:p>
    <w:p w:rsidR="00E750C3" w:rsidRDefault="00E750C3" w:rsidP="00533B1B">
      <w:pPr>
        <w:rPr>
          <w:rFonts w:cs="Arial"/>
          <w:iCs/>
          <w:color w:val="000000" w:themeColor="text1"/>
          <w:sz w:val="22"/>
          <w:szCs w:val="22"/>
        </w:rPr>
      </w:pPr>
    </w:p>
    <w:p w:rsidR="00E750C3" w:rsidRDefault="00E750C3" w:rsidP="00533B1B">
      <w:pPr>
        <w:rPr>
          <w:rFonts w:cs="Arial"/>
          <w:iCs/>
          <w:color w:val="000000" w:themeColor="text1"/>
          <w:sz w:val="22"/>
          <w:szCs w:val="22"/>
        </w:rPr>
      </w:pPr>
      <w:r>
        <w:rPr>
          <w:rFonts w:cs="Arial"/>
          <w:iCs/>
          <w:color w:val="000000" w:themeColor="text1"/>
          <w:sz w:val="22"/>
          <w:szCs w:val="22"/>
        </w:rPr>
        <w:t>Este artículo establece que l</w:t>
      </w:r>
      <w:r w:rsidRPr="00E750C3">
        <w:rPr>
          <w:rFonts w:cs="Arial"/>
          <w:iCs/>
          <w:color w:val="000000" w:themeColor="text1"/>
          <w:sz w:val="22"/>
          <w:szCs w:val="22"/>
        </w:rPr>
        <w:t>os coadyuvantes tecnológicos identificados en la parte B del anexo I de este real decreto podrán utilizarse en los alimentos o procesos de obtención de los alimentos que figuran en la parte A del propio anexo I y deberán hacerlo cumpliendo los criterios de identidad y pureza que constan en el anexo II</w:t>
      </w:r>
      <w:r>
        <w:rPr>
          <w:rFonts w:cs="Arial"/>
          <w:iCs/>
          <w:color w:val="000000" w:themeColor="text1"/>
          <w:sz w:val="22"/>
          <w:szCs w:val="22"/>
        </w:rPr>
        <w:t xml:space="preserve">. Asimismo, dispone que </w:t>
      </w:r>
      <w:r w:rsidRPr="00E750C3">
        <w:rPr>
          <w:rFonts w:cs="Arial"/>
          <w:iCs/>
          <w:color w:val="000000" w:themeColor="text1"/>
          <w:sz w:val="22"/>
          <w:szCs w:val="22"/>
        </w:rPr>
        <w:t>también podrán utilizarse aquellos coadyuvantes tecnológicos qu</w:t>
      </w:r>
      <w:r>
        <w:rPr>
          <w:rFonts w:cs="Arial"/>
          <w:iCs/>
          <w:color w:val="000000" w:themeColor="text1"/>
          <w:sz w:val="22"/>
          <w:szCs w:val="22"/>
        </w:rPr>
        <w:t xml:space="preserve">e estén legalmente autorizados </w:t>
      </w:r>
      <w:r w:rsidRPr="00E750C3">
        <w:rPr>
          <w:rFonts w:cs="Arial"/>
          <w:iCs/>
          <w:color w:val="000000" w:themeColor="text1"/>
          <w:sz w:val="22"/>
          <w:szCs w:val="22"/>
        </w:rPr>
        <w:t xml:space="preserve">en otros Estados </w:t>
      </w:r>
      <w:r w:rsidRPr="00E750C3">
        <w:rPr>
          <w:rFonts w:cs="Arial"/>
          <w:iCs/>
          <w:color w:val="000000" w:themeColor="text1"/>
          <w:sz w:val="22"/>
          <w:szCs w:val="22"/>
        </w:rPr>
        <w:lastRenderedPageBreak/>
        <w:t>miembros de la Unión Europea, con idénticas restricciones y limitaciones que allí existan</w:t>
      </w:r>
      <w:r>
        <w:rPr>
          <w:rFonts w:cs="Arial"/>
          <w:iCs/>
          <w:color w:val="000000" w:themeColor="text1"/>
          <w:sz w:val="22"/>
          <w:szCs w:val="22"/>
        </w:rPr>
        <w:t xml:space="preserve"> y</w:t>
      </w:r>
      <w:r w:rsidRPr="00E750C3">
        <w:rPr>
          <w:rFonts w:cs="Arial"/>
          <w:iCs/>
          <w:color w:val="000000" w:themeColor="text1"/>
          <w:sz w:val="22"/>
          <w:szCs w:val="22"/>
        </w:rPr>
        <w:t xml:space="preserve"> para ese mismo fin</w:t>
      </w:r>
      <w:r>
        <w:rPr>
          <w:rFonts w:cs="Arial"/>
          <w:iCs/>
          <w:color w:val="000000" w:themeColor="text1"/>
          <w:sz w:val="22"/>
          <w:szCs w:val="22"/>
        </w:rPr>
        <w:t xml:space="preserve">, así como las </w:t>
      </w:r>
      <w:r w:rsidRPr="008F78B2">
        <w:rPr>
          <w:rFonts w:eastAsia="Arial" w:cs="Arial"/>
          <w:sz w:val="22"/>
          <w:szCs w:val="22"/>
          <w:lang w:bidi="es-ES"/>
        </w:rPr>
        <w:t>sustancia</w:t>
      </w:r>
      <w:r>
        <w:rPr>
          <w:rFonts w:eastAsia="Arial" w:cs="Arial"/>
          <w:sz w:val="22"/>
          <w:szCs w:val="22"/>
          <w:lang w:bidi="es-ES"/>
        </w:rPr>
        <w:t>s</w:t>
      </w:r>
      <w:r w:rsidRPr="008F78B2">
        <w:rPr>
          <w:rFonts w:eastAsia="Arial" w:cs="Arial"/>
          <w:sz w:val="22"/>
          <w:szCs w:val="22"/>
          <w:lang w:bidi="es-ES"/>
        </w:rPr>
        <w:t xml:space="preserve"> </w:t>
      </w:r>
      <w:r>
        <w:rPr>
          <w:rFonts w:eastAsia="Arial" w:cs="Arial"/>
          <w:sz w:val="22"/>
          <w:szCs w:val="22"/>
          <w:lang w:bidi="es-ES"/>
        </w:rPr>
        <w:t xml:space="preserve">que </w:t>
      </w:r>
      <w:r w:rsidRPr="008F78B2">
        <w:rPr>
          <w:rFonts w:eastAsia="Arial" w:cs="Arial"/>
          <w:sz w:val="22"/>
          <w:szCs w:val="22"/>
          <w:lang w:bidi="es-ES"/>
        </w:rPr>
        <w:t>se encuentre</w:t>
      </w:r>
      <w:r>
        <w:rPr>
          <w:rFonts w:eastAsia="Arial" w:cs="Arial"/>
          <w:sz w:val="22"/>
          <w:szCs w:val="22"/>
          <w:lang w:bidi="es-ES"/>
        </w:rPr>
        <w:t>n</w:t>
      </w:r>
      <w:r w:rsidRPr="00F566B0">
        <w:rPr>
          <w:rFonts w:eastAsia="Arial" w:cs="Arial"/>
          <w:sz w:val="22"/>
          <w:szCs w:val="22"/>
          <w:lang w:bidi="es-ES"/>
        </w:rPr>
        <w:t xml:space="preserve"> autorizada</w:t>
      </w:r>
      <w:r>
        <w:rPr>
          <w:rFonts w:eastAsia="Arial" w:cs="Arial"/>
          <w:sz w:val="22"/>
          <w:szCs w:val="22"/>
          <w:lang w:bidi="es-ES"/>
        </w:rPr>
        <w:t>s c</w:t>
      </w:r>
      <w:r w:rsidRPr="00F566B0">
        <w:rPr>
          <w:rFonts w:eastAsia="Arial" w:cs="Arial"/>
          <w:sz w:val="22"/>
          <w:szCs w:val="22"/>
          <w:lang w:bidi="es-ES"/>
        </w:rPr>
        <w:t>omo aditivo alimentario</w:t>
      </w:r>
      <w:r>
        <w:rPr>
          <w:rFonts w:cs="Arial"/>
          <w:iCs/>
          <w:color w:val="000000" w:themeColor="text1"/>
          <w:sz w:val="22"/>
          <w:szCs w:val="22"/>
        </w:rPr>
        <w:t>.</w:t>
      </w:r>
    </w:p>
    <w:p w:rsidR="00E750C3" w:rsidRDefault="00E750C3" w:rsidP="00533B1B">
      <w:pPr>
        <w:rPr>
          <w:rFonts w:cs="Arial"/>
          <w:iCs/>
          <w:color w:val="000000" w:themeColor="text1"/>
          <w:sz w:val="22"/>
          <w:szCs w:val="22"/>
        </w:rPr>
      </w:pPr>
    </w:p>
    <w:p w:rsidR="00B87CC3" w:rsidRDefault="00E750C3" w:rsidP="00B87CC3">
      <w:pPr>
        <w:rPr>
          <w:rFonts w:cs="Arial"/>
          <w:color w:val="000000" w:themeColor="text1"/>
          <w:sz w:val="22"/>
          <w:szCs w:val="22"/>
        </w:rPr>
      </w:pPr>
      <w:r>
        <w:rPr>
          <w:rFonts w:cs="Arial"/>
          <w:color w:val="000000" w:themeColor="text1"/>
          <w:sz w:val="22"/>
          <w:szCs w:val="22"/>
        </w:rPr>
        <w:t>Artículo 4</w:t>
      </w:r>
      <w:r w:rsidRPr="005F0CAC">
        <w:rPr>
          <w:rFonts w:cs="Arial"/>
          <w:color w:val="000000" w:themeColor="text1"/>
          <w:sz w:val="22"/>
          <w:szCs w:val="22"/>
        </w:rPr>
        <w:t xml:space="preserve">. </w:t>
      </w:r>
      <w:r w:rsidR="00B87CC3" w:rsidRPr="00E750C3">
        <w:rPr>
          <w:rFonts w:cs="Arial"/>
          <w:color w:val="000000" w:themeColor="text1"/>
          <w:sz w:val="22"/>
          <w:szCs w:val="22"/>
        </w:rPr>
        <w:t>Etiquetado de los coadyuvantes tecnológicos</w:t>
      </w:r>
      <w:r w:rsidR="00B87CC3">
        <w:rPr>
          <w:rFonts w:cs="Arial"/>
          <w:color w:val="000000" w:themeColor="text1"/>
          <w:sz w:val="22"/>
          <w:szCs w:val="22"/>
        </w:rPr>
        <w:t>.</w:t>
      </w:r>
    </w:p>
    <w:p w:rsidR="00B87CC3" w:rsidRDefault="00B87CC3" w:rsidP="00B87CC3">
      <w:pPr>
        <w:rPr>
          <w:rFonts w:cs="Arial"/>
          <w:color w:val="000000" w:themeColor="text1"/>
          <w:sz w:val="22"/>
          <w:szCs w:val="22"/>
        </w:rPr>
      </w:pPr>
    </w:p>
    <w:p w:rsidR="00B87CC3" w:rsidRDefault="00B87CC3" w:rsidP="00B87CC3">
      <w:pPr>
        <w:rPr>
          <w:rFonts w:eastAsia="Arial" w:cs="Arial"/>
          <w:sz w:val="22"/>
          <w:szCs w:val="22"/>
          <w:lang w:bidi="es-ES"/>
        </w:rPr>
      </w:pPr>
      <w:r>
        <w:rPr>
          <w:rFonts w:cs="Arial"/>
          <w:iCs/>
          <w:color w:val="000000" w:themeColor="text1"/>
          <w:sz w:val="22"/>
          <w:szCs w:val="22"/>
        </w:rPr>
        <w:t xml:space="preserve">Este artículo establece la </w:t>
      </w:r>
      <w:r w:rsidRPr="00F566B0">
        <w:rPr>
          <w:rFonts w:eastAsia="Arial" w:cs="Arial"/>
          <w:sz w:val="22"/>
          <w:szCs w:val="22"/>
          <w:lang w:bidi="es-ES"/>
        </w:rPr>
        <w:t xml:space="preserve">información </w:t>
      </w:r>
      <w:r>
        <w:rPr>
          <w:rFonts w:eastAsia="Arial" w:cs="Arial"/>
          <w:sz w:val="22"/>
          <w:szCs w:val="22"/>
          <w:lang w:bidi="es-ES"/>
        </w:rPr>
        <w:t xml:space="preserve">que </w:t>
      </w:r>
      <w:r w:rsidRPr="00F566B0">
        <w:rPr>
          <w:rFonts w:eastAsia="Arial" w:cs="Arial"/>
          <w:sz w:val="22"/>
          <w:szCs w:val="22"/>
          <w:lang w:bidi="es-ES"/>
        </w:rPr>
        <w:t>deberá figurar</w:t>
      </w:r>
      <w:r w:rsidRPr="00E750C3">
        <w:rPr>
          <w:rFonts w:eastAsia="Arial" w:cs="Arial"/>
          <w:sz w:val="22"/>
          <w:szCs w:val="22"/>
          <w:lang w:bidi="es-ES"/>
        </w:rPr>
        <w:t xml:space="preserve"> </w:t>
      </w:r>
      <w:r w:rsidRPr="00F566B0">
        <w:rPr>
          <w:rFonts w:eastAsia="Arial" w:cs="Arial"/>
          <w:sz w:val="22"/>
          <w:szCs w:val="22"/>
          <w:lang w:bidi="es-ES"/>
        </w:rPr>
        <w:t>en el envase o recipiente donde se comercialicen los coadyuvantes tecnológicos</w:t>
      </w:r>
      <w:r>
        <w:rPr>
          <w:rFonts w:eastAsia="Arial" w:cs="Arial"/>
          <w:sz w:val="22"/>
          <w:szCs w:val="22"/>
          <w:lang w:bidi="es-ES"/>
        </w:rPr>
        <w:t>, s</w:t>
      </w:r>
      <w:r w:rsidRPr="00F566B0">
        <w:rPr>
          <w:rFonts w:eastAsia="Arial" w:cs="Arial"/>
          <w:sz w:val="22"/>
          <w:szCs w:val="22"/>
          <w:lang w:bidi="es-ES"/>
        </w:rPr>
        <w:t>in perjuicio de las indicaciones previstas en otra normativa que pudiera ser de aplicación</w:t>
      </w:r>
      <w:r>
        <w:rPr>
          <w:rFonts w:eastAsia="Arial" w:cs="Arial"/>
          <w:sz w:val="22"/>
          <w:szCs w:val="22"/>
          <w:lang w:bidi="es-ES"/>
        </w:rPr>
        <w:t>.</w:t>
      </w:r>
    </w:p>
    <w:p w:rsidR="00B87CC3" w:rsidRDefault="00B87CC3" w:rsidP="00533B1B">
      <w:pPr>
        <w:rPr>
          <w:rFonts w:eastAsia="Arial" w:cs="Arial"/>
          <w:sz w:val="22"/>
          <w:szCs w:val="22"/>
          <w:lang w:bidi="es-ES"/>
        </w:rPr>
      </w:pPr>
    </w:p>
    <w:p w:rsidR="00E750C3" w:rsidRDefault="00B87CC3" w:rsidP="00533B1B">
      <w:pPr>
        <w:rPr>
          <w:rFonts w:cs="Arial"/>
          <w:color w:val="000000" w:themeColor="text1"/>
          <w:sz w:val="22"/>
          <w:szCs w:val="22"/>
        </w:rPr>
      </w:pPr>
      <w:r>
        <w:rPr>
          <w:rFonts w:eastAsia="Arial" w:cs="Arial"/>
          <w:sz w:val="22"/>
          <w:szCs w:val="22"/>
          <w:lang w:bidi="es-ES"/>
        </w:rPr>
        <w:t xml:space="preserve">Artículo 5. </w:t>
      </w:r>
      <w:r w:rsidR="002C0CEF" w:rsidRPr="006B64A7">
        <w:rPr>
          <w:rFonts w:eastAsia="Arial" w:cs="Arial"/>
          <w:sz w:val="22"/>
          <w:szCs w:val="22"/>
          <w:lang w:bidi="es-ES"/>
        </w:rPr>
        <w:t>Condiciones de las empresas dedicadas a la fabricación, envasado o distribución de coadyuvantes tecnológicos</w:t>
      </w:r>
      <w:r w:rsidR="002C0CEF">
        <w:rPr>
          <w:rFonts w:eastAsia="Arial" w:cs="Arial"/>
          <w:sz w:val="22"/>
          <w:szCs w:val="22"/>
          <w:lang w:bidi="es-ES"/>
        </w:rPr>
        <w:t>.</w:t>
      </w:r>
    </w:p>
    <w:p w:rsidR="00E750C3" w:rsidRDefault="00E750C3" w:rsidP="00533B1B">
      <w:pPr>
        <w:rPr>
          <w:rFonts w:cs="Arial"/>
          <w:color w:val="000000" w:themeColor="text1"/>
          <w:sz w:val="22"/>
          <w:szCs w:val="22"/>
        </w:rPr>
      </w:pPr>
    </w:p>
    <w:p w:rsidR="00E750C3" w:rsidRDefault="002C0CEF" w:rsidP="00533B1B">
      <w:pPr>
        <w:rPr>
          <w:rFonts w:eastAsia="Arial" w:cs="Arial"/>
          <w:sz w:val="22"/>
          <w:szCs w:val="22"/>
          <w:lang w:bidi="es-ES"/>
        </w:rPr>
      </w:pPr>
      <w:r>
        <w:rPr>
          <w:rFonts w:eastAsia="Arial" w:cs="Arial"/>
          <w:sz w:val="22"/>
          <w:szCs w:val="22"/>
          <w:lang w:bidi="es-ES"/>
        </w:rPr>
        <w:t xml:space="preserve">En este artículo se establece que las empresas dedicadas a la </w:t>
      </w:r>
      <w:r w:rsidRPr="006B64A7">
        <w:rPr>
          <w:rFonts w:eastAsia="Arial" w:cs="Arial"/>
          <w:sz w:val="22"/>
          <w:szCs w:val="22"/>
          <w:lang w:bidi="es-ES"/>
        </w:rPr>
        <w:t>fabricación, envasado o distribución de coadyuvantes tecnológicos</w:t>
      </w:r>
      <w:r>
        <w:rPr>
          <w:rFonts w:eastAsia="Arial" w:cs="Arial"/>
          <w:sz w:val="22"/>
          <w:szCs w:val="22"/>
          <w:lang w:bidi="es-ES"/>
        </w:rPr>
        <w:t xml:space="preserve"> deberán cumplir con lo dispuesto en el </w:t>
      </w:r>
      <w:r w:rsidRPr="006B64A7">
        <w:rPr>
          <w:rFonts w:eastAsia="Arial" w:cs="Arial"/>
          <w:sz w:val="22"/>
          <w:szCs w:val="22"/>
          <w:lang w:bidi="es-ES"/>
        </w:rPr>
        <w:t>Real Decreto 191/2011, de 18 de febrero, sobre Registro General Sanitario de Empresas Alimentarias y Alimentos</w:t>
      </w:r>
      <w:r>
        <w:rPr>
          <w:rFonts w:eastAsia="Arial" w:cs="Arial"/>
          <w:sz w:val="22"/>
          <w:szCs w:val="22"/>
          <w:lang w:bidi="es-ES"/>
        </w:rPr>
        <w:t xml:space="preserve">, en el </w:t>
      </w:r>
      <w:r w:rsidRPr="00F566B0">
        <w:rPr>
          <w:rFonts w:eastAsia="Arial" w:cs="Arial"/>
          <w:sz w:val="22"/>
          <w:szCs w:val="22"/>
          <w:lang w:bidi="es-ES"/>
        </w:rPr>
        <w:t xml:space="preserve">Reglamento (CE) Nº 178/2002, por el que se establecen los principios y los requisitos generales de la legislación alimentaria, se crea la Autoridad Europea de Seguridad Alimentaria y se fijan procedimientos relativos a la seguridad alimentaria y </w:t>
      </w:r>
      <w:r>
        <w:rPr>
          <w:rFonts w:eastAsia="Arial" w:cs="Arial"/>
          <w:sz w:val="22"/>
          <w:szCs w:val="22"/>
          <w:lang w:bidi="es-ES"/>
        </w:rPr>
        <w:t xml:space="preserve">en </w:t>
      </w:r>
      <w:r w:rsidRPr="00F566B0">
        <w:rPr>
          <w:rFonts w:eastAsia="Arial" w:cs="Arial"/>
          <w:sz w:val="22"/>
          <w:szCs w:val="22"/>
          <w:lang w:bidi="es-ES"/>
        </w:rPr>
        <w:t>el Reglamento (CE) Nº 852/2004, relativo a la higiene de los productos alimenticios.</w:t>
      </w:r>
    </w:p>
    <w:p w:rsidR="00D942A1" w:rsidRPr="00CF6048" w:rsidRDefault="00D942A1" w:rsidP="00D942A1">
      <w:pPr>
        <w:rPr>
          <w:rFonts w:cs="Arial"/>
          <w:color w:val="000000" w:themeColor="text1"/>
          <w:sz w:val="22"/>
          <w:szCs w:val="22"/>
        </w:rPr>
      </w:pPr>
    </w:p>
    <w:p w:rsidR="00D942A1" w:rsidRPr="00725CC3" w:rsidRDefault="00D942A1" w:rsidP="00D942A1">
      <w:pPr>
        <w:rPr>
          <w:rFonts w:cs="Arial"/>
          <w:color w:val="000000" w:themeColor="text1"/>
          <w:sz w:val="22"/>
          <w:szCs w:val="22"/>
        </w:rPr>
      </w:pPr>
      <w:r w:rsidRPr="00725CC3">
        <w:rPr>
          <w:rFonts w:cs="Arial"/>
          <w:b/>
          <w:color w:val="000000" w:themeColor="text1"/>
          <w:sz w:val="22"/>
          <w:szCs w:val="22"/>
        </w:rPr>
        <w:t xml:space="preserve">DISPOSICIÓN </w:t>
      </w:r>
      <w:r w:rsidR="00432D94">
        <w:rPr>
          <w:rFonts w:cs="Arial"/>
          <w:b/>
          <w:color w:val="000000" w:themeColor="text1"/>
          <w:sz w:val="22"/>
          <w:szCs w:val="22"/>
        </w:rPr>
        <w:t>ADICIONAL ÚNICA</w:t>
      </w:r>
      <w:r w:rsidRPr="00725CC3">
        <w:rPr>
          <w:rFonts w:cs="Arial"/>
          <w:b/>
          <w:color w:val="000000" w:themeColor="text1"/>
          <w:sz w:val="22"/>
          <w:szCs w:val="22"/>
        </w:rPr>
        <w:t>.</w:t>
      </w:r>
      <w:r>
        <w:rPr>
          <w:rFonts w:cs="Arial"/>
          <w:b/>
          <w:color w:val="000000" w:themeColor="text1"/>
          <w:sz w:val="22"/>
          <w:szCs w:val="22"/>
        </w:rPr>
        <w:t xml:space="preserve"> </w:t>
      </w:r>
      <w:r w:rsidR="006B64A7" w:rsidRPr="006B64A7">
        <w:rPr>
          <w:rFonts w:cs="Arial"/>
          <w:color w:val="000000" w:themeColor="text1"/>
          <w:sz w:val="22"/>
          <w:szCs w:val="22"/>
        </w:rPr>
        <w:t>Cláusula de reconocimiento mutuo</w:t>
      </w:r>
      <w:r w:rsidRPr="001E5920">
        <w:rPr>
          <w:rFonts w:cs="Arial"/>
          <w:color w:val="000000" w:themeColor="text1"/>
          <w:sz w:val="22"/>
          <w:szCs w:val="22"/>
        </w:rPr>
        <w:t>.</w:t>
      </w:r>
    </w:p>
    <w:p w:rsidR="00D942A1" w:rsidRDefault="00D942A1" w:rsidP="00D942A1">
      <w:pPr>
        <w:rPr>
          <w:rFonts w:cs="Arial"/>
          <w:b/>
          <w:color w:val="000000" w:themeColor="text1"/>
          <w:sz w:val="22"/>
          <w:szCs w:val="22"/>
        </w:rPr>
      </w:pPr>
    </w:p>
    <w:p w:rsidR="00D942A1" w:rsidRDefault="006B64A7" w:rsidP="00D942A1">
      <w:pPr>
        <w:rPr>
          <w:rFonts w:cs="Arial"/>
          <w:color w:val="000000" w:themeColor="text1"/>
          <w:sz w:val="22"/>
          <w:szCs w:val="22"/>
        </w:rPr>
      </w:pPr>
      <w:r w:rsidRPr="00725CC3">
        <w:rPr>
          <w:rFonts w:cs="Arial"/>
          <w:b/>
          <w:color w:val="000000" w:themeColor="text1"/>
          <w:sz w:val="22"/>
          <w:szCs w:val="22"/>
        </w:rPr>
        <w:lastRenderedPageBreak/>
        <w:t xml:space="preserve">DISPOSICIÓN </w:t>
      </w:r>
      <w:r>
        <w:rPr>
          <w:rFonts w:cs="Arial"/>
          <w:b/>
          <w:color w:val="000000" w:themeColor="text1"/>
          <w:sz w:val="22"/>
          <w:szCs w:val="22"/>
        </w:rPr>
        <w:t>DEROGATORIA ÚNICA</w:t>
      </w:r>
      <w:r w:rsidRPr="00725CC3">
        <w:rPr>
          <w:rFonts w:cs="Arial"/>
          <w:b/>
          <w:color w:val="000000" w:themeColor="text1"/>
          <w:sz w:val="22"/>
          <w:szCs w:val="22"/>
        </w:rPr>
        <w:t>.</w:t>
      </w:r>
      <w:r>
        <w:rPr>
          <w:rFonts w:cs="Arial"/>
          <w:b/>
          <w:color w:val="000000" w:themeColor="text1"/>
          <w:sz w:val="22"/>
          <w:szCs w:val="22"/>
        </w:rPr>
        <w:t xml:space="preserve"> </w:t>
      </w:r>
      <w:r w:rsidRPr="006B64A7">
        <w:rPr>
          <w:rFonts w:cs="Arial"/>
          <w:color w:val="000000" w:themeColor="text1"/>
          <w:sz w:val="22"/>
          <w:szCs w:val="22"/>
        </w:rPr>
        <w:t>Derogación normativa</w:t>
      </w:r>
      <w:r>
        <w:rPr>
          <w:rFonts w:cs="Arial"/>
          <w:color w:val="000000" w:themeColor="text1"/>
          <w:sz w:val="22"/>
          <w:szCs w:val="22"/>
        </w:rPr>
        <w:t>.</w:t>
      </w:r>
    </w:p>
    <w:p w:rsidR="006B64A7" w:rsidRDefault="006B64A7" w:rsidP="00D942A1">
      <w:pPr>
        <w:rPr>
          <w:rFonts w:cs="Arial"/>
          <w:b/>
          <w:color w:val="000000" w:themeColor="text1"/>
          <w:sz w:val="22"/>
          <w:szCs w:val="22"/>
        </w:rPr>
      </w:pPr>
    </w:p>
    <w:p w:rsidR="00D942A1" w:rsidRDefault="00D942A1" w:rsidP="00D942A1">
      <w:pPr>
        <w:rPr>
          <w:rFonts w:cs="Arial"/>
          <w:color w:val="000000" w:themeColor="text1"/>
          <w:sz w:val="22"/>
          <w:szCs w:val="22"/>
        </w:rPr>
      </w:pPr>
      <w:r w:rsidRPr="00DE495A">
        <w:rPr>
          <w:rFonts w:cs="Arial"/>
          <w:b/>
          <w:color w:val="000000" w:themeColor="text1"/>
          <w:sz w:val="22"/>
          <w:szCs w:val="22"/>
        </w:rPr>
        <w:t>DISPOSICIÓN FINAL</w:t>
      </w:r>
      <w:r>
        <w:rPr>
          <w:rFonts w:cs="Arial"/>
          <w:b/>
          <w:color w:val="000000" w:themeColor="text1"/>
          <w:sz w:val="22"/>
          <w:szCs w:val="22"/>
        </w:rPr>
        <w:t xml:space="preserve"> </w:t>
      </w:r>
      <w:r w:rsidR="000C79EA">
        <w:rPr>
          <w:rFonts w:cs="Arial"/>
          <w:b/>
          <w:color w:val="000000" w:themeColor="text1"/>
          <w:sz w:val="22"/>
          <w:szCs w:val="22"/>
        </w:rPr>
        <w:t>PRIMERA</w:t>
      </w:r>
      <w:r>
        <w:rPr>
          <w:rFonts w:cs="Arial"/>
          <w:b/>
          <w:color w:val="000000" w:themeColor="text1"/>
          <w:sz w:val="22"/>
          <w:szCs w:val="22"/>
        </w:rPr>
        <w:t xml:space="preserve">. </w:t>
      </w:r>
      <w:r w:rsidR="006B64A7">
        <w:rPr>
          <w:rFonts w:cs="Arial"/>
          <w:color w:val="000000" w:themeColor="text1"/>
          <w:sz w:val="22"/>
          <w:szCs w:val="22"/>
        </w:rPr>
        <w:t>Título competencial</w:t>
      </w:r>
      <w:r>
        <w:rPr>
          <w:rFonts w:cs="Arial"/>
          <w:color w:val="000000" w:themeColor="text1"/>
          <w:sz w:val="22"/>
          <w:szCs w:val="22"/>
        </w:rPr>
        <w:t>.</w:t>
      </w:r>
    </w:p>
    <w:p w:rsidR="00D942A1" w:rsidRDefault="00D942A1" w:rsidP="00D942A1">
      <w:pPr>
        <w:rPr>
          <w:rFonts w:cs="Arial"/>
          <w:b/>
          <w:color w:val="000000" w:themeColor="text1"/>
          <w:sz w:val="22"/>
          <w:szCs w:val="22"/>
        </w:rPr>
      </w:pPr>
    </w:p>
    <w:p w:rsidR="00D942A1" w:rsidRDefault="00D942A1" w:rsidP="00D942A1">
      <w:pPr>
        <w:rPr>
          <w:rFonts w:cs="Arial"/>
          <w:color w:val="000000" w:themeColor="text1"/>
          <w:sz w:val="22"/>
          <w:szCs w:val="22"/>
        </w:rPr>
      </w:pPr>
      <w:r w:rsidRPr="00DE495A">
        <w:rPr>
          <w:rFonts w:cs="Arial"/>
          <w:b/>
          <w:color w:val="000000" w:themeColor="text1"/>
          <w:sz w:val="22"/>
          <w:szCs w:val="22"/>
        </w:rPr>
        <w:t>DISPOSICIÓN FINAL</w:t>
      </w:r>
      <w:r>
        <w:rPr>
          <w:rFonts w:cs="Arial"/>
          <w:b/>
          <w:color w:val="000000" w:themeColor="text1"/>
          <w:sz w:val="22"/>
          <w:szCs w:val="22"/>
        </w:rPr>
        <w:t xml:space="preserve"> </w:t>
      </w:r>
      <w:r w:rsidR="000C79EA">
        <w:rPr>
          <w:rFonts w:cs="Arial"/>
          <w:b/>
          <w:color w:val="000000" w:themeColor="text1"/>
          <w:sz w:val="22"/>
          <w:szCs w:val="22"/>
        </w:rPr>
        <w:t>SEGUNDA</w:t>
      </w:r>
      <w:r>
        <w:rPr>
          <w:rFonts w:cs="Arial"/>
          <w:b/>
          <w:color w:val="000000" w:themeColor="text1"/>
          <w:sz w:val="22"/>
          <w:szCs w:val="22"/>
        </w:rPr>
        <w:t xml:space="preserve">. </w:t>
      </w:r>
      <w:r w:rsidR="006B64A7" w:rsidRPr="006B64A7">
        <w:rPr>
          <w:rFonts w:cs="Arial"/>
          <w:color w:val="000000" w:themeColor="text1"/>
          <w:sz w:val="22"/>
          <w:szCs w:val="22"/>
        </w:rPr>
        <w:t>Facultades de desarrollo</w:t>
      </w:r>
      <w:r w:rsidRPr="00FB1D03">
        <w:rPr>
          <w:rFonts w:cs="Arial"/>
          <w:color w:val="000000" w:themeColor="text1"/>
          <w:sz w:val="22"/>
          <w:szCs w:val="22"/>
        </w:rPr>
        <w:t>.</w:t>
      </w:r>
    </w:p>
    <w:p w:rsidR="006B64A7" w:rsidRDefault="006B64A7" w:rsidP="00D942A1">
      <w:pPr>
        <w:rPr>
          <w:rFonts w:cs="Arial"/>
          <w:color w:val="000000" w:themeColor="text1"/>
          <w:sz w:val="22"/>
          <w:szCs w:val="22"/>
        </w:rPr>
      </w:pPr>
    </w:p>
    <w:p w:rsidR="006B64A7" w:rsidRDefault="006B64A7" w:rsidP="00D942A1">
      <w:pPr>
        <w:rPr>
          <w:rFonts w:cs="Arial"/>
          <w:color w:val="000000" w:themeColor="text1"/>
          <w:sz w:val="22"/>
          <w:szCs w:val="22"/>
        </w:rPr>
      </w:pPr>
      <w:r w:rsidRPr="00DE495A">
        <w:rPr>
          <w:rFonts w:cs="Arial"/>
          <w:b/>
          <w:color w:val="000000" w:themeColor="text1"/>
          <w:sz w:val="22"/>
          <w:szCs w:val="22"/>
        </w:rPr>
        <w:t>DISPOSICIÓN FINAL</w:t>
      </w:r>
      <w:r>
        <w:rPr>
          <w:rFonts w:cs="Arial"/>
          <w:b/>
          <w:color w:val="000000" w:themeColor="text1"/>
          <w:sz w:val="22"/>
          <w:szCs w:val="22"/>
        </w:rPr>
        <w:t xml:space="preserve"> TERCERA. </w:t>
      </w:r>
      <w:r w:rsidRPr="006B64A7">
        <w:rPr>
          <w:rFonts w:cs="Arial"/>
          <w:color w:val="000000" w:themeColor="text1"/>
          <w:sz w:val="22"/>
          <w:szCs w:val="22"/>
        </w:rPr>
        <w:t>Entrada en vigor</w:t>
      </w:r>
      <w:r>
        <w:rPr>
          <w:rFonts w:cs="Arial"/>
          <w:color w:val="000000" w:themeColor="text1"/>
          <w:sz w:val="22"/>
          <w:szCs w:val="22"/>
        </w:rPr>
        <w:t>.</w:t>
      </w:r>
    </w:p>
    <w:p w:rsidR="007022ED" w:rsidRDefault="007022ED" w:rsidP="00D942A1">
      <w:pPr>
        <w:rPr>
          <w:rFonts w:cs="Arial"/>
          <w:color w:val="000000" w:themeColor="text1"/>
          <w:sz w:val="22"/>
          <w:szCs w:val="22"/>
        </w:rPr>
      </w:pPr>
    </w:p>
    <w:p w:rsidR="007022ED" w:rsidRPr="005059CA" w:rsidRDefault="007022ED" w:rsidP="00D942A1">
      <w:pPr>
        <w:rPr>
          <w:rFonts w:cs="Arial"/>
          <w:b/>
          <w:color w:val="000000" w:themeColor="text1"/>
          <w:sz w:val="22"/>
          <w:szCs w:val="22"/>
        </w:rPr>
      </w:pPr>
      <w:r w:rsidRPr="005059CA">
        <w:rPr>
          <w:rFonts w:cs="Arial"/>
          <w:b/>
          <w:color w:val="000000" w:themeColor="text1"/>
          <w:sz w:val="22"/>
          <w:szCs w:val="22"/>
        </w:rPr>
        <w:t>ANEXO</w:t>
      </w:r>
      <w:r w:rsidR="005059CA">
        <w:rPr>
          <w:rFonts w:cs="Arial"/>
          <w:b/>
          <w:color w:val="000000" w:themeColor="text1"/>
          <w:sz w:val="22"/>
          <w:szCs w:val="22"/>
        </w:rPr>
        <w:t>S</w:t>
      </w:r>
      <w:r w:rsidRPr="005059CA">
        <w:rPr>
          <w:rFonts w:cs="Arial"/>
          <w:b/>
          <w:color w:val="000000" w:themeColor="text1"/>
          <w:sz w:val="22"/>
          <w:szCs w:val="22"/>
        </w:rPr>
        <w:t>.</w:t>
      </w:r>
    </w:p>
    <w:p w:rsidR="007022ED" w:rsidRPr="005059CA" w:rsidRDefault="007022ED" w:rsidP="00D942A1">
      <w:pPr>
        <w:rPr>
          <w:rFonts w:cs="Arial"/>
          <w:b/>
          <w:color w:val="000000" w:themeColor="text1"/>
          <w:sz w:val="22"/>
          <w:szCs w:val="22"/>
        </w:rPr>
      </w:pPr>
    </w:p>
    <w:p w:rsidR="005059CA" w:rsidRDefault="005059CA" w:rsidP="00D942A1">
      <w:pPr>
        <w:rPr>
          <w:rFonts w:cs="Arial"/>
          <w:color w:val="000000" w:themeColor="text1"/>
          <w:sz w:val="22"/>
          <w:szCs w:val="22"/>
        </w:rPr>
      </w:pPr>
      <w:r w:rsidRPr="005059CA">
        <w:rPr>
          <w:rFonts w:cs="Arial"/>
          <w:color w:val="000000" w:themeColor="text1"/>
          <w:sz w:val="22"/>
          <w:szCs w:val="22"/>
        </w:rPr>
        <w:t>Anexo I Parte A. Lista de alimentos</w:t>
      </w:r>
      <w:r>
        <w:rPr>
          <w:rFonts w:cs="Arial"/>
          <w:color w:val="000000" w:themeColor="text1"/>
          <w:sz w:val="22"/>
          <w:szCs w:val="22"/>
        </w:rPr>
        <w:t>.</w:t>
      </w:r>
    </w:p>
    <w:p w:rsidR="005059CA" w:rsidRDefault="005059CA" w:rsidP="00D942A1">
      <w:pPr>
        <w:rPr>
          <w:rFonts w:cs="Arial"/>
          <w:color w:val="000000" w:themeColor="text1"/>
          <w:sz w:val="22"/>
          <w:szCs w:val="22"/>
        </w:rPr>
      </w:pPr>
    </w:p>
    <w:p w:rsidR="007022ED" w:rsidRPr="005059CA" w:rsidRDefault="007022ED" w:rsidP="00D942A1">
      <w:pPr>
        <w:rPr>
          <w:rFonts w:cs="Arial"/>
          <w:color w:val="000000" w:themeColor="text1"/>
          <w:sz w:val="22"/>
          <w:szCs w:val="22"/>
        </w:rPr>
      </w:pPr>
      <w:r w:rsidRPr="005059CA">
        <w:rPr>
          <w:rFonts w:cs="Arial"/>
          <w:color w:val="000000" w:themeColor="text1"/>
          <w:sz w:val="22"/>
          <w:szCs w:val="22"/>
        </w:rPr>
        <w:t>E</w:t>
      </w:r>
      <w:r w:rsidR="005059CA">
        <w:rPr>
          <w:rFonts w:cs="Arial"/>
          <w:color w:val="000000" w:themeColor="text1"/>
          <w:sz w:val="22"/>
          <w:szCs w:val="22"/>
        </w:rPr>
        <w:t>n la parte A del Anexo I se e</w:t>
      </w:r>
      <w:r w:rsidRPr="005059CA">
        <w:rPr>
          <w:rFonts w:cs="Arial"/>
          <w:color w:val="000000" w:themeColor="text1"/>
          <w:sz w:val="22"/>
          <w:szCs w:val="22"/>
        </w:rPr>
        <w:t xml:space="preserve">stablece la lista de los alimentos incluidos en el ámbito de aplicación del presente </w:t>
      </w:r>
      <w:r w:rsidRPr="005059CA">
        <w:rPr>
          <w:rFonts w:cs="Arial"/>
          <w:color w:val="000000" w:themeColor="text1"/>
          <w:sz w:val="22"/>
          <w:szCs w:val="22"/>
        </w:rPr>
        <w:lastRenderedPageBreak/>
        <w:t>real decreto, junto con una referencia, si existe, a la legislación que los define.</w:t>
      </w:r>
    </w:p>
    <w:p w:rsidR="007022ED" w:rsidRPr="005059CA" w:rsidRDefault="007022ED" w:rsidP="00D942A1">
      <w:pPr>
        <w:rPr>
          <w:rFonts w:cs="Arial"/>
          <w:color w:val="000000" w:themeColor="text1"/>
          <w:sz w:val="22"/>
          <w:szCs w:val="22"/>
        </w:rPr>
      </w:pPr>
    </w:p>
    <w:p w:rsidR="005059CA" w:rsidRDefault="005059CA" w:rsidP="00D942A1">
      <w:pPr>
        <w:rPr>
          <w:rFonts w:cs="Arial"/>
          <w:color w:val="000000" w:themeColor="text1"/>
          <w:sz w:val="22"/>
          <w:szCs w:val="22"/>
        </w:rPr>
      </w:pPr>
      <w:r w:rsidRPr="005059CA">
        <w:rPr>
          <w:rFonts w:cs="Arial"/>
          <w:color w:val="000000" w:themeColor="text1"/>
          <w:sz w:val="22"/>
          <w:szCs w:val="22"/>
        </w:rPr>
        <w:t xml:space="preserve">Anexo I </w:t>
      </w:r>
      <w:r w:rsidR="007022ED" w:rsidRPr="005059CA">
        <w:rPr>
          <w:rFonts w:cs="Arial"/>
          <w:color w:val="000000" w:themeColor="text1"/>
          <w:sz w:val="22"/>
          <w:szCs w:val="22"/>
        </w:rPr>
        <w:t>P</w:t>
      </w:r>
      <w:r w:rsidRPr="005059CA">
        <w:rPr>
          <w:rFonts w:cs="Arial"/>
          <w:color w:val="000000" w:themeColor="text1"/>
          <w:sz w:val="22"/>
          <w:szCs w:val="22"/>
        </w:rPr>
        <w:t>arte</w:t>
      </w:r>
      <w:r w:rsidR="007022ED" w:rsidRPr="005059CA">
        <w:rPr>
          <w:rFonts w:cs="Arial"/>
          <w:color w:val="000000" w:themeColor="text1"/>
          <w:sz w:val="22"/>
          <w:szCs w:val="22"/>
        </w:rPr>
        <w:t xml:space="preserve"> B. </w:t>
      </w:r>
      <w:r w:rsidRPr="005059CA">
        <w:rPr>
          <w:rFonts w:cs="Arial"/>
          <w:color w:val="000000" w:themeColor="text1"/>
          <w:sz w:val="22"/>
          <w:szCs w:val="22"/>
        </w:rPr>
        <w:t>Lista de coadyuvantes tecnológicos.</w:t>
      </w:r>
    </w:p>
    <w:p w:rsidR="005059CA" w:rsidRDefault="005059CA" w:rsidP="00D942A1">
      <w:pPr>
        <w:rPr>
          <w:rFonts w:cs="Arial"/>
          <w:color w:val="000000" w:themeColor="text1"/>
          <w:sz w:val="22"/>
          <w:szCs w:val="22"/>
        </w:rPr>
      </w:pPr>
    </w:p>
    <w:p w:rsidR="007022ED" w:rsidRDefault="005059CA" w:rsidP="00D942A1">
      <w:pPr>
        <w:rPr>
          <w:rFonts w:cs="Arial"/>
          <w:color w:val="000000" w:themeColor="text1"/>
          <w:sz w:val="22"/>
          <w:szCs w:val="22"/>
        </w:rPr>
      </w:pPr>
      <w:r>
        <w:rPr>
          <w:rFonts w:cs="Arial"/>
          <w:color w:val="000000" w:themeColor="text1"/>
          <w:sz w:val="22"/>
          <w:szCs w:val="22"/>
        </w:rPr>
        <w:t>En la parte B del Anexo I se establece la lista de los coadyuvantes tecnológicos incluidos en el ámbito de aplicación de la norma.</w:t>
      </w:r>
    </w:p>
    <w:p w:rsidR="005059CA" w:rsidRDefault="005059CA" w:rsidP="00D942A1">
      <w:pPr>
        <w:rPr>
          <w:rFonts w:cs="Arial"/>
          <w:color w:val="000000" w:themeColor="text1"/>
          <w:sz w:val="22"/>
          <w:szCs w:val="22"/>
        </w:rPr>
      </w:pPr>
    </w:p>
    <w:p w:rsidR="005059CA" w:rsidRDefault="005059CA" w:rsidP="00D942A1">
      <w:pPr>
        <w:rPr>
          <w:rFonts w:cs="Arial"/>
          <w:color w:val="000000" w:themeColor="text1"/>
          <w:sz w:val="22"/>
          <w:szCs w:val="22"/>
        </w:rPr>
      </w:pPr>
      <w:r>
        <w:rPr>
          <w:rFonts w:cs="Arial"/>
          <w:color w:val="000000" w:themeColor="text1"/>
          <w:sz w:val="22"/>
          <w:szCs w:val="22"/>
        </w:rPr>
        <w:t>A</w:t>
      </w:r>
      <w:r w:rsidRPr="005059CA">
        <w:rPr>
          <w:rFonts w:cs="Arial"/>
          <w:color w:val="000000" w:themeColor="text1"/>
          <w:sz w:val="22"/>
          <w:szCs w:val="22"/>
        </w:rPr>
        <w:t xml:space="preserve">nexo </w:t>
      </w:r>
      <w:r>
        <w:rPr>
          <w:rFonts w:cs="Arial"/>
          <w:color w:val="000000" w:themeColor="text1"/>
          <w:sz w:val="22"/>
          <w:szCs w:val="22"/>
        </w:rPr>
        <w:t>II</w:t>
      </w:r>
      <w:r w:rsidRPr="005059CA">
        <w:rPr>
          <w:rFonts w:cs="Arial"/>
          <w:color w:val="000000" w:themeColor="text1"/>
          <w:sz w:val="22"/>
          <w:szCs w:val="22"/>
        </w:rPr>
        <w:t xml:space="preserve">. </w:t>
      </w:r>
      <w:r>
        <w:rPr>
          <w:rFonts w:cs="Arial"/>
          <w:color w:val="000000" w:themeColor="text1"/>
          <w:sz w:val="22"/>
          <w:szCs w:val="22"/>
        </w:rPr>
        <w:t>C</w:t>
      </w:r>
      <w:r w:rsidRPr="005059CA">
        <w:rPr>
          <w:rFonts w:cs="Arial"/>
          <w:color w:val="000000" w:themeColor="text1"/>
          <w:sz w:val="22"/>
          <w:szCs w:val="22"/>
        </w:rPr>
        <w:t>riterios de identidad y pureza de los coadyuvantes tecnológicos.</w:t>
      </w:r>
    </w:p>
    <w:p w:rsidR="005059CA" w:rsidRDefault="005059CA" w:rsidP="00D942A1">
      <w:pPr>
        <w:rPr>
          <w:rFonts w:cs="Arial"/>
          <w:color w:val="000000" w:themeColor="text1"/>
          <w:sz w:val="22"/>
          <w:szCs w:val="22"/>
        </w:rPr>
      </w:pPr>
    </w:p>
    <w:p w:rsidR="005059CA" w:rsidRPr="00DE495A" w:rsidRDefault="005059CA" w:rsidP="00D942A1">
      <w:pPr>
        <w:rPr>
          <w:rFonts w:cs="Arial"/>
          <w:b/>
          <w:color w:val="000000" w:themeColor="text1"/>
          <w:sz w:val="22"/>
          <w:szCs w:val="22"/>
        </w:rPr>
      </w:pPr>
      <w:r>
        <w:rPr>
          <w:rFonts w:cs="Arial"/>
          <w:color w:val="000000" w:themeColor="text1"/>
          <w:sz w:val="22"/>
          <w:szCs w:val="22"/>
        </w:rPr>
        <w:t xml:space="preserve">En el Anexo II se establecen los </w:t>
      </w:r>
      <w:r w:rsidRPr="005059CA">
        <w:rPr>
          <w:rFonts w:cs="Arial"/>
          <w:color w:val="000000" w:themeColor="text1"/>
          <w:sz w:val="22"/>
          <w:szCs w:val="22"/>
        </w:rPr>
        <w:t xml:space="preserve">criterios de identidad y pureza </w:t>
      </w:r>
      <w:r>
        <w:rPr>
          <w:rFonts w:cs="Arial"/>
          <w:color w:val="000000" w:themeColor="text1"/>
          <w:sz w:val="22"/>
          <w:szCs w:val="22"/>
        </w:rPr>
        <w:t xml:space="preserve">que </w:t>
      </w:r>
      <w:r w:rsidRPr="005059CA">
        <w:rPr>
          <w:rFonts w:cs="Arial"/>
          <w:color w:val="000000" w:themeColor="text1"/>
          <w:sz w:val="22"/>
          <w:szCs w:val="22"/>
        </w:rPr>
        <w:t xml:space="preserve">deben cumplir </w:t>
      </w:r>
      <w:r>
        <w:rPr>
          <w:rFonts w:cs="Arial"/>
          <w:color w:val="000000" w:themeColor="text1"/>
          <w:sz w:val="22"/>
          <w:szCs w:val="22"/>
        </w:rPr>
        <w:t xml:space="preserve">las </w:t>
      </w:r>
      <w:r w:rsidRPr="005059CA">
        <w:rPr>
          <w:rFonts w:cs="Arial"/>
          <w:color w:val="000000" w:themeColor="text1"/>
          <w:sz w:val="22"/>
          <w:szCs w:val="22"/>
        </w:rPr>
        <w:t>sustancias utilizadas como coadyuvantes tecnológicos</w:t>
      </w:r>
      <w:r>
        <w:rPr>
          <w:rFonts w:cs="Arial"/>
          <w:color w:val="000000" w:themeColor="text1"/>
          <w:sz w:val="22"/>
          <w:szCs w:val="22"/>
        </w:rPr>
        <w:t>.</w:t>
      </w:r>
      <w:r w:rsidRPr="005059CA">
        <w:rPr>
          <w:rFonts w:cs="Arial"/>
          <w:color w:val="000000" w:themeColor="text1"/>
          <w:sz w:val="22"/>
          <w:szCs w:val="22"/>
        </w:rPr>
        <w:t xml:space="preserve"> </w:t>
      </w:r>
    </w:p>
    <w:p w:rsidR="006B64A7" w:rsidRPr="00DE495A" w:rsidRDefault="006B64A7" w:rsidP="00D942A1">
      <w:pPr>
        <w:rPr>
          <w:rFonts w:cs="Arial"/>
          <w:sz w:val="22"/>
          <w:szCs w:val="22"/>
        </w:rPr>
      </w:pPr>
    </w:p>
    <w:p w:rsidR="00D942A1" w:rsidRPr="00DE495A" w:rsidRDefault="00D942A1" w:rsidP="001765E3">
      <w:pPr>
        <w:pStyle w:val="Ttulo2"/>
      </w:pPr>
      <w:r w:rsidRPr="00D924A3">
        <w:lastRenderedPageBreak/>
        <w:t>2.- ANÁLISIS JURÍDICO</w:t>
      </w:r>
    </w:p>
    <w:p w:rsidR="00D942A1" w:rsidRPr="00DE495A" w:rsidRDefault="00D942A1" w:rsidP="00D942A1">
      <w:pPr>
        <w:rPr>
          <w:rFonts w:eastAsia="ヒラギノ角ゴ Pro W3" w:cs="Arial"/>
          <w:sz w:val="22"/>
          <w:szCs w:val="22"/>
          <w:lang w:eastAsia="en-US"/>
        </w:rPr>
      </w:pPr>
    </w:p>
    <w:p w:rsidR="00D942A1" w:rsidRPr="00E72607" w:rsidRDefault="001C0323" w:rsidP="001765E3">
      <w:pPr>
        <w:pStyle w:val="Ttulo3"/>
      </w:pPr>
      <w:r w:rsidRPr="005F0CAC">
        <w:t>Coherencia con el derecho nacional</w:t>
      </w:r>
      <w:r w:rsidRPr="00E72607">
        <w:t xml:space="preserve"> </w:t>
      </w:r>
    </w:p>
    <w:p w:rsidR="00D942A1" w:rsidRPr="005F0CAC" w:rsidRDefault="00D942A1" w:rsidP="00D942A1">
      <w:pPr>
        <w:ind w:left="360"/>
        <w:rPr>
          <w:rFonts w:cs="Arial"/>
          <w:sz w:val="22"/>
          <w:szCs w:val="22"/>
        </w:rPr>
      </w:pPr>
    </w:p>
    <w:p w:rsidR="00AF2CA4" w:rsidRPr="005F0CAC" w:rsidRDefault="00AF2CA4" w:rsidP="00AF2CA4">
      <w:pPr>
        <w:rPr>
          <w:rFonts w:cs="Arial"/>
          <w:color w:val="000000"/>
          <w:sz w:val="22"/>
          <w:szCs w:val="22"/>
        </w:rPr>
      </w:pPr>
      <w:r w:rsidRPr="005F0CAC">
        <w:rPr>
          <w:rFonts w:cs="Arial"/>
          <w:color w:val="000000"/>
          <w:sz w:val="22"/>
          <w:szCs w:val="22"/>
        </w:rPr>
        <w:t>Relación con las normas de rango superior: esta norma emana de la Constitución Española</w:t>
      </w:r>
      <w:r>
        <w:rPr>
          <w:rFonts w:cs="Arial"/>
          <w:color w:val="000000"/>
          <w:sz w:val="22"/>
          <w:szCs w:val="22"/>
        </w:rPr>
        <w:t>,</w:t>
      </w:r>
    </w:p>
    <w:p w:rsidR="00AF2CA4" w:rsidRPr="005F0CAC" w:rsidRDefault="00AF2CA4" w:rsidP="00AF2CA4">
      <w:pPr>
        <w:rPr>
          <w:rFonts w:cs="Arial"/>
          <w:color w:val="000000"/>
          <w:sz w:val="22"/>
          <w:szCs w:val="22"/>
        </w:rPr>
      </w:pPr>
      <w:r w:rsidRPr="005F0CAC">
        <w:rPr>
          <w:rFonts w:cs="Arial"/>
          <w:color w:val="000000"/>
          <w:sz w:val="22"/>
          <w:szCs w:val="22"/>
        </w:rPr>
        <w:t xml:space="preserve">de su artículo 149.1. </w:t>
      </w:r>
      <w:r w:rsidR="00494B17">
        <w:rPr>
          <w:rFonts w:cs="Arial"/>
          <w:color w:val="000000"/>
          <w:sz w:val="22"/>
          <w:szCs w:val="22"/>
        </w:rPr>
        <w:t xml:space="preserve">13.ª y </w:t>
      </w:r>
      <w:r w:rsidRPr="005F0CAC">
        <w:rPr>
          <w:rFonts w:cs="Arial"/>
          <w:color w:val="000000"/>
          <w:sz w:val="22"/>
          <w:szCs w:val="22"/>
        </w:rPr>
        <w:t>16.ª</w:t>
      </w:r>
      <w:r>
        <w:rPr>
          <w:rFonts w:cs="Arial"/>
          <w:color w:val="000000"/>
          <w:sz w:val="22"/>
          <w:szCs w:val="22"/>
        </w:rPr>
        <w:t>,</w:t>
      </w:r>
      <w:r w:rsidRPr="005F0CAC">
        <w:rPr>
          <w:rFonts w:cs="Arial"/>
          <w:color w:val="000000"/>
          <w:sz w:val="22"/>
          <w:szCs w:val="22"/>
        </w:rPr>
        <w:t xml:space="preserve"> y está en perfecta armonía con lo que señala sobre las competencias del Estado en materia de bases y coordinación general de sanidad.</w:t>
      </w:r>
    </w:p>
    <w:p w:rsidR="00AF2CA4" w:rsidRPr="005F0CAC" w:rsidRDefault="00AF2CA4" w:rsidP="00AF2CA4">
      <w:pPr>
        <w:rPr>
          <w:rFonts w:cs="Arial"/>
          <w:color w:val="000000"/>
          <w:sz w:val="22"/>
          <w:szCs w:val="22"/>
        </w:rPr>
      </w:pPr>
    </w:p>
    <w:p w:rsidR="00AF2CA4" w:rsidRPr="005F0CAC" w:rsidRDefault="00AF2CA4" w:rsidP="00AF2CA4">
      <w:pPr>
        <w:rPr>
          <w:rFonts w:cs="Arial"/>
          <w:color w:val="000000"/>
          <w:sz w:val="22"/>
          <w:szCs w:val="22"/>
        </w:rPr>
      </w:pPr>
      <w:r w:rsidRPr="005F0CAC">
        <w:rPr>
          <w:rFonts w:cs="Arial"/>
          <w:color w:val="000000"/>
          <w:sz w:val="22"/>
          <w:szCs w:val="22"/>
        </w:rPr>
        <w:t>Así mismo está conforme con lo descrito en:</w:t>
      </w:r>
    </w:p>
    <w:p w:rsidR="00AF2CA4" w:rsidRPr="005F0CAC" w:rsidRDefault="00AF2CA4" w:rsidP="00AF2CA4">
      <w:pPr>
        <w:rPr>
          <w:rFonts w:cs="Arial"/>
          <w:color w:val="000000"/>
          <w:sz w:val="22"/>
          <w:szCs w:val="22"/>
        </w:rPr>
      </w:pPr>
    </w:p>
    <w:p w:rsidR="00AF2CA4" w:rsidRPr="001465AC" w:rsidRDefault="00AF2CA4" w:rsidP="00AF2CA4">
      <w:pPr>
        <w:pStyle w:val="Prrafodelista"/>
        <w:numPr>
          <w:ilvl w:val="0"/>
          <w:numId w:val="7"/>
        </w:numPr>
        <w:contextualSpacing w:val="0"/>
        <w:jc w:val="both"/>
        <w:rPr>
          <w:rFonts w:ascii="Arial" w:eastAsia="ヒラギノ角ゴ Pro W3" w:hAnsi="Arial" w:cs="Arial"/>
          <w:bCs/>
          <w:sz w:val="22"/>
          <w:szCs w:val="22"/>
          <w:lang w:eastAsia="en-US"/>
        </w:rPr>
      </w:pPr>
      <w:r w:rsidRPr="001465AC">
        <w:rPr>
          <w:rFonts w:ascii="Arial" w:eastAsia="ヒラギノ角ゴ Pro W3" w:hAnsi="Arial" w:cs="Arial"/>
          <w:bCs/>
          <w:sz w:val="22"/>
          <w:szCs w:val="22"/>
          <w:lang w:eastAsia="en-US"/>
        </w:rPr>
        <w:t xml:space="preserve">Ley 14/1986, de 25 de abril, General de Sanidad, en concreto sobre los requisitos técnicos y condiciones mínimas en materia de control sanitario del medio ambiente y la determinación de los requisitos sanitarios de </w:t>
      </w:r>
      <w:r w:rsidRPr="001465AC">
        <w:rPr>
          <w:rFonts w:ascii="Arial" w:eastAsia="ヒラギノ角ゴ Pro W3" w:hAnsi="Arial" w:cs="Arial"/>
          <w:bCs/>
          <w:sz w:val="22"/>
          <w:szCs w:val="22"/>
          <w:lang w:eastAsia="en-US"/>
        </w:rPr>
        <w:lastRenderedPageBreak/>
        <w:t>las reglamentaciones técnico-sanitarias de servicios o productos directa o indirectamente relacionados con el uso y consumo humanos.</w:t>
      </w:r>
    </w:p>
    <w:p w:rsidR="00AF2CA4" w:rsidRPr="005F0CAC" w:rsidRDefault="00AF2CA4" w:rsidP="00AF2CA4">
      <w:pPr>
        <w:rPr>
          <w:rFonts w:cs="Arial"/>
          <w:color w:val="000000"/>
          <w:sz w:val="22"/>
          <w:szCs w:val="22"/>
        </w:rPr>
      </w:pPr>
    </w:p>
    <w:p w:rsidR="00AF2CA4" w:rsidRPr="001465AC" w:rsidRDefault="00AF2CA4" w:rsidP="00AF2CA4">
      <w:pPr>
        <w:pStyle w:val="Prrafodelista"/>
        <w:numPr>
          <w:ilvl w:val="0"/>
          <w:numId w:val="7"/>
        </w:numPr>
        <w:contextualSpacing w:val="0"/>
        <w:jc w:val="both"/>
        <w:rPr>
          <w:rFonts w:ascii="Arial" w:eastAsia="ヒラギノ角ゴ Pro W3" w:hAnsi="Arial" w:cs="Arial"/>
          <w:bCs/>
          <w:sz w:val="22"/>
          <w:szCs w:val="22"/>
          <w:lang w:eastAsia="en-US"/>
        </w:rPr>
      </w:pPr>
      <w:r w:rsidRPr="001465AC">
        <w:rPr>
          <w:rFonts w:ascii="Arial" w:eastAsia="ヒラギノ角ゴ Pro W3" w:hAnsi="Arial" w:cs="Arial"/>
          <w:bCs/>
          <w:sz w:val="22"/>
          <w:szCs w:val="22"/>
          <w:lang w:eastAsia="en-US"/>
        </w:rPr>
        <w:t>Ley 17/2011, de 5 de julio, de seguridad alimentaria y nutrición.</w:t>
      </w:r>
    </w:p>
    <w:p w:rsidR="00AF2CA4" w:rsidRPr="003604AB" w:rsidRDefault="00AF2CA4" w:rsidP="00AF2CA4">
      <w:pPr>
        <w:pStyle w:val="Prrafodelista"/>
        <w:ind w:left="0"/>
        <w:rPr>
          <w:rFonts w:asciiTheme="minorHAnsi" w:hAnsiTheme="minorHAnsi" w:cs="Arial"/>
          <w:color w:val="000000"/>
          <w:sz w:val="22"/>
          <w:szCs w:val="22"/>
        </w:rPr>
      </w:pPr>
    </w:p>
    <w:p w:rsidR="00AF2CA4" w:rsidRPr="005F0CAC" w:rsidRDefault="00AF2CA4" w:rsidP="00AF2CA4">
      <w:pPr>
        <w:autoSpaceDE w:val="0"/>
        <w:autoSpaceDN w:val="0"/>
        <w:adjustRightInd w:val="0"/>
        <w:rPr>
          <w:rFonts w:cs="Arial"/>
          <w:sz w:val="22"/>
          <w:szCs w:val="22"/>
        </w:rPr>
      </w:pPr>
      <w:r w:rsidRPr="005F0CAC">
        <w:rPr>
          <w:rFonts w:cs="Arial"/>
          <w:sz w:val="22"/>
          <w:szCs w:val="22"/>
        </w:rPr>
        <w:t>Coherencia con el resto del ordenamiento jurídico: la presente disposición está en total coherencia con la legislación de ámbito nacional previa.</w:t>
      </w:r>
    </w:p>
    <w:p w:rsidR="00AF2CA4" w:rsidRPr="005F0CAC" w:rsidRDefault="00AF2CA4" w:rsidP="00AF2CA4">
      <w:pPr>
        <w:autoSpaceDE w:val="0"/>
        <w:autoSpaceDN w:val="0"/>
        <w:adjustRightInd w:val="0"/>
        <w:rPr>
          <w:rFonts w:cs="Arial"/>
          <w:sz w:val="22"/>
          <w:szCs w:val="22"/>
        </w:rPr>
      </w:pPr>
    </w:p>
    <w:p w:rsidR="00D942A1" w:rsidRDefault="00AF2CA4" w:rsidP="00AF2CA4">
      <w:pPr>
        <w:rPr>
          <w:rFonts w:cs="Arial"/>
          <w:sz w:val="22"/>
          <w:szCs w:val="22"/>
        </w:rPr>
      </w:pPr>
      <w:r w:rsidRPr="005F0CAC">
        <w:rPr>
          <w:rFonts w:cs="Arial"/>
          <w:sz w:val="22"/>
          <w:szCs w:val="22"/>
        </w:rPr>
        <w:t xml:space="preserve">Legislación de las </w:t>
      </w:r>
      <w:r w:rsidR="00683AA4">
        <w:rPr>
          <w:rFonts w:cs="Arial"/>
          <w:sz w:val="22"/>
          <w:szCs w:val="22"/>
        </w:rPr>
        <w:t>c</w:t>
      </w:r>
      <w:r w:rsidRPr="005F0CAC">
        <w:rPr>
          <w:rFonts w:cs="Arial"/>
          <w:sz w:val="22"/>
          <w:szCs w:val="22"/>
        </w:rPr>
        <w:t xml:space="preserve">omunidades </w:t>
      </w:r>
      <w:r w:rsidR="00683AA4">
        <w:rPr>
          <w:rFonts w:cs="Arial"/>
          <w:sz w:val="22"/>
          <w:szCs w:val="22"/>
        </w:rPr>
        <w:t>a</w:t>
      </w:r>
      <w:r w:rsidRPr="005F0CAC">
        <w:rPr>
          <w:rFonts w:cs="Arial"/>
          <w:sz w:val="22"/>
          <w:szCs w:val="22"/>
        </w:rPr>
        <w:t>utónomas y Ciudades de Ceuta y Melilla: esta regulación</w:t>
      </w:r>
      <w:r>
        <w:rPr>
          <w:rFonts w:cs="Arial"/>
          <w:sz w:val="22"/>
          <w:szCs w:val="22"/>
        </w:rPr>
        <w:t xml:space="preserve"> </w:t>
      </w:r>
      <w:r w:rsidRPr="005F0CAC">
        <w:rPr>
          <w:rFonts w:cs="Arial"/>
          <w:sz w:val="22"/>
          <w:szCs w:val="22"/>
        </w:rPr>
        <w:t xml:space="preserve">no invade las competencias de las </w:t>
      </w:r>
      <w:r w:rsidR="00683AA4">
        <w:rPr>
          <w:rFonts w:cs="Arial"/>
          <w:sz w:val="22"/>
          <w:szCs w:val="22"/>
        </w:rPr>
        <w:t>c</w:t>
      </w:r>
      <w:r w:rsidRPr="005F0CAC">
        <w:rPr>
          <w:rFonts w:cs="Arial"/>
          <w:sz w:val="22"/>
          <w:szCs w:val="22"/>
        </w:rPr>
        <w:t xml:space="preserve">omunidades </w:t>
      </w:r>
      <w:r w:rsidR="00683AA4">
        <w:rPr>
          <w:rFonts w:cs="Arial"/>
          <w:sz w:val="22"/>
          <w:szCs w:val="22"/>
        </w:rPr>
        <w:t>a</w:t>
      </w:r>
      <w:r w:rsidRPr="005F0CAC">
        <w:rPr>
          <w:rFonts w:cs="Arial"/>
          <w:sz w:val="22"/>
          <w:szCs w:val="22"/>
        </w:rPr>
        <w:t xml:space="preserve">utónomas o de las dos </w:t>
      </w:r>
      <w:r w:rsidR="00683AA4">
        <w:rPr>
          <w:rFonts w:cs="Arial"/>
          <w:sz w:val="22"/>
          <w:szCs w:val="22"/>
        </w:rPr>
        <w:t>c</w:t>
      </w:r>
      <w:r w:rsidRPr="005F0CAC">
        <w:rPr>
          <w:rFonts w:cs="Arial"/>
          <w:sz w:val="22"/>
          <w:szCs w:val="22"/>
        </w:rPr>
        <w:t>iudades</w:t>
      </w:r>
      <w:r>
        <w:rPr>
          <w:rFonts w:cs="Arial"/>
          <w:sz w:val="22"/>
          <w:szCs w:val="22"/>
        </w:rPr>
        <w:t xml:space="preserve"> </w:t>
      </w:r>
      <w:r w:rsidR="00683AA4">
        <w:rPr>
          <w:rFonts w:cs="Arial"/>
          <w:sz w:val="22"/>
          <w:szCs w:val="22"/>
        </w:rPr>
        <w:t>a</w:t>
      </w:r>
      <w:r w:rsidRPr="005F0CAC">
        <w:rPr>
          <w:rFonts w:cs="Arial"/>
          <w:sz w:val="22"/>
          <w:szCs w:val="22"/>
        </w:rPr>
        <w:t>utónomas.</w:t>
      </w:r>
    </w:p>
    <w:p w:rsidR="00D942A1" w:rsidRPr="005F0CAC" w:rsidRDefault="00D942A1" w:rsidP="00D942A1">
      <w:pPr>
        <w:ind w:left="360"/>
        <w:rPr>
          <w:rFonts w:cs="Arial"/>
          <w:sz w:val="22"/>
          <w:szCs w:val="22"/>
        </w:rPr>
      </w:pPr>
    </w:p>
    <w:p w:rsidR="00D942A1" w:rsidRPr="005F0CAC" w:rsidRDefault="001C0323" w:rsidP="001765E3">
      <w:pPr>
        <w:pStyle w:val="Ttulo3"/>
      </w:pPr>
      <w:r w:rsidRPr="005F0CAC">
        <w:rPr>
          <w:rFonts w:eastAsia="ヒラギノ角ゴ Pro W3"/>
          <w:lang w:eastAsia="en-US"/>
        </w:rPr>
        <w:lastRenderedPageBreak/>
        <w:t>Coherencia con el derecho europeo</w:t>
      </w:r>
      <w:r w:rsidR="00D942A1" w:rsidRPr="005F0CAC">
        <w:t>.</w:t>
      </w:r>
    </w:p>
    <w:p w:rsidR="00D942A1" w:rsidRPr="005F0CAC" w:rsidRDefault="00D942A1" w:rsidP="00D942A1">
      <w:pPr>
        <w:rPr>
          <w:rFonts w:cs="Arial"/>
          <w:color w:val="000000"/>
          <w:sz w:val="22"/>
          <w:szCs w:val="22"/>
        </w:rPr>
      </w:pPr>
    </w:p>
    <w:p w:rsidR="00AF2CA4" w:rsidRPr="005F0CAC" w:rsidRDefault="00AF2CA4" w:rsidP="00AF2CA4">
      <w:pPr>
        <w:rPr>
          <w:rFonts w:eastAsia="ヒラギノ角ゴ Pro W3" w:cs="Arial"/>
          <w:sz w:val="22"/>
          <w:szCs w:val="22"/>
          <w:lang w:eastAsia="en-US"/>
        </w:rPr>
      </w:pPr>
      <w:r w:rsidRPr="005F0CAC">
        <w:rPr>
          <w:rFonts w:cs="Arial"/>
          <w:sz w:val="22"/>
          <w:szCs w:val="22"/>
        </w:rPr>
        <w:t>El proyecto está en coherencia con el derecho europeo, en concreto con:</w:t>
      </w:r>
    </w:p>
    <w:p w:rsidR="00AF2CA4" w:rsidRPr="005F0CAC" w:rsidRDefault="00AF2CA4" w:rsidP="00AF2CA4">
      <w:pPr>
        <w:rPr>
          <w:rFonts w:eastAsia="ヒラギノ角ゴ Pro W3" w:cs="Arial"/>
          <w:b/>
          <w:bCs/>
          <w:sz w:val="22"/>
          <w:szCs w:val="22"/>
          <w:lang w:eastAsia="en-US"/>
        </w:rPr>
      </w:pPr>
    </w:p>
    <w:p w:rsidR="00AF2CA4" w:rsidRPr="005F0CAC" w:rsidRDefault="00AF2CA4" w:rsidP="00AF2CA4">
      <w:pPr>
        <w:pStyle w:val="Prrafodelista"/>
        <w:numPr>
          <w:ilvl w:val="0"/>
          <w:numId w:val="7"/>
        </w:numPr>
        <w:contextualSpacing w:val="0"/>
        <w:jc w:val="both"/>
        <w:rPr>
          <w:rFonts w:ascii="Arial" w:eastAsia="ヒラギノ角ゴ Pro W3" w:hAnsi="Arial" w:cs="Arial"/>
          <w:bCs/>
          <w:sz w:val="22"/>
          <w:szCs w:val="22"/>
          <w:lang w:eastAsia="en-US"/>
        </w:rPr>
      </w:pPr>
      <w:r>
        <w:rPr>
          <w:rFonts w:ascii="Arial" w:eastAsia="ヒラギノ角ゴ Pro W3" w:hAnsi="Arial" w:cs="Arial"/>
          <w:bCs/>
          <w:sz w:val="22"/>
          <w:szCs w:val="22"/>
          <w:lang w:eastAsia="en-US"/>
        </w:rPr>
        <w:t>R</w:t>
      </w:r>
      <w:r w:rsidRPr="00AF2CA4">
        <w:rPr>
          <w:rFonts w:ascii="Arial" w:eastAsia="ヒラギノ角ゴ Pro W3" w:hAnsi="Arial" w:cs="Arial"/>
          <w:bCs/>
          <w:sz w:val="22"/>
          <w:szCs w:val="22"/>
          <w:lang w:eastAsia="en-US"/>
        </w:rPr>
        <w:t>eglamento (CE) n</w:t>
      </w:r>
      <w:r>
        <w:rPr>
          <w:rFonts w:ascii="Arial" w:eastAsia="ヒラギノ角ゴ Pro W3" w:hAnsi="Arial" w:cs="Arial"/>
          <w:bCs/>
          <w:sz w:val="22"/>
          <w:szCs w:val="22"/>
          <w:lang w:eastAsia="en-US"/>
        </w:rPr>
        <w:t>.º</w:t>
      </w:r>
      <w:r w:rsidRPr="00AF2CA4">
        <w:rPr>
          <w:rFonts w:ascii="Arial" w:eastAsia="ヒラギノ角ゴ Pro W3" w:hAnsi="Arial" w:cs="Arial"/>
          <w:bCs/>
          <w:sz w:val="22"/>
          <w:szCs w:val="22"/>
          <w:lang w:eastAsia="en-US"/>
        </w:rPr>
        <w:t xml:space="preserve"> 1333/2008 del Parlamento Europeo y del Consejo, de 16 de diciembre de 2008, sobre aditivos alimentarios</w:t>
      </w:r>
      <w:r w:rsidRPr="005F0CAC">
        <w:rPr>
          <w:rFonts w:ascii="Arial" w:eastAsia="ヒラギノ角ゴ Pro W3" w:hAnsi="Arial" w:cs="Arial"/>
          <w:bCs/>
          <w:sz w:val="22"/>
          <w:szCs w:val="22"/>
          <w:lang w:eastAsia="en-US"/>
        </w:rPr>
        <w:t>.</w:t>
      </w:r>
    </w:p>
    <w:p w:rsidR="00AF2CA4" w:rsidRPr="005F0CAC" w:rsidRDefault="00AF2CA4" w:rsidP="00AF2CA4">
      <w:pPr>
        <w:rPr>
          <w:rFonts w:eastAsia="ヒラギノ角ゴ Pro W3" w:cs="Arial"/>
          <w:bCs/>
          <w:sz w:val="22"/>
          <w:szCs w:val="22"/>
          <w:lang w:eastAsia="en-US"/>
        </w:rPr>
      </w:pPr>
    </w:p>
    <w:p w:rsidR="00AF2CA4" w:rsidRPr="005F0CAC" w:rsidRDefault="00AF2CA4" w:rsidP="00AF2CA4">
      <w:pPr>
        <w:pStyle w:val="Prrafodelista"/>
        <w:numPr>
          <w:ilvl w:val="0"/>
          <w:numId w:val="7"/>
        </w:numPr>
        <w:contextualSpacing w:val="0"/>
        <w:jc w:val="both"/>
        <w:rPr>
          <w:rFonts w:ascii="Arial" w:eastAsia="ヒラギノ角ゴ Pro W3" w:hAnsi="Arial" w:cs="Arial"/>
          <w:bCs/>
          <w:sz w:val="22"/>
          <w:szCs w:val="22"/>
          <w:lang w:eastAsia="en-US"/>
        </w:rPr>
      </w:pPr>
      <w:r w:rsidRPr="005F0CAC">
        <w:rPr>
          <w:rFonts w:ascii="Arial" w:eastAsia="ヒラギノ角ゴ Pro W3" w:hAnsi="Arial" w:cs="Arial"/>
          <w:bCs/>
          <w:sz w:val="22"/>
          <w:szCs w:val="22"/>
          <w:lang w:eastAsia="en-US"/>
        </w:rPr>
        <w:t>Reglamento (CE) n.º 178/2002, de 28 de enero de 2002, por el que se establecen los principios y los requisitos generales de la legislación alimentaria, se crea la Autoridad Europea de Seguridad Alimentaria y se fijan procedimientos relativos a la seguridad alimentaria.</w:t>
      </w:r>
    </w:p>
    <w:p w:rsidR="00AF2CA4" w:rsidRPr="005F0CAC" w:rsidRDefault="00AF2CA4" w:rsidP="00AF2CA4">
      <w:pPr>
        <w:rPr>
          <w:rFonts w:eastAsia="ヒラギノ角ゴ Pro W3" w:cs="Arial"/>
          <w:bCs/>
          <w:sz w:val="22"/>
          <w:szCs w:val="22"/>
          <w:lang w:eastAsia="en-US"/>
        </w:rPr>
      </w:pPr>
    </w:p>
    <w:p w:rsidR="00AF2CA4" w:rsidRDefault="00AF2CA4" w:rsidP="00AF2CA4">
      <w:pPr>
        <w:pStyle w:val="Prrafodelista"/>
        <w:numPr>
          <w:ilvl w:val="0"/>
          <w:numId w:val="7"/>
        </w:numPr>
        <w:contextualSpacing w:val="0"/>
        <w:jc w:val="both"/>
        <w:rPr>
          <w:rFonts w:ascii="Arial" w:eastAsia="ヒラギノ角ゴ Pro W3" w:hAnsi="Arial" w:cs="Arial"/>
          <w:bCs/>
          <w:sz w:val="22"/>
          <w:szCs w:val="22"/>
          <w:lang w:eastAsia="en-US"/>
        </w:rPr>
      </w:pPr>
      <w:r w:rsidRPr="005F0CAC">
        <w:rPr>
          <w:rFonts w:ascii="Arial" w:eastAsia="ヒラギノ角ゴ Pro W3" w:hAnsi="Arial" w:cs="Arial"/>
          <w:bCs/>
          <w:sz w:val="22"/>
          <w:szCs w:val="22"/>
          <w:lang w:eastAsia="en-US"/>
        </w:rPr>
        <w:lastRenderedPageBreak/>
        <w:t>Reglamento (CE) n.º 852/2004, de 29 de abril de 2004, del Parlamento Europeo y del Consejo, relativo a la higiene de los productos alimenticios.</w:t>
      </w:r>
    </w:p>
    <w:p w:rsidR="00EC7F63" w:rsidRPr="00EC7F63" w:rsidRDefault="00EC7F63" w:rsidP="00EC7F63">
      <w:pPr>
        <w:pStyle w:val="Prrafodelista"/>
        <w:rPr>
          <w:rFonts w:ascii="Arial" w:eastAsia="ヒラギノ角ゴ Pro W3" w:hAnsi="Arial" w:cs="Arial"/>
          <w:bCs/>
          <w:sz w:val="22"/>
          <w:szCs w:val="22"/>
          <w:lang w:eastAsia="en-US"/>
        </w:rPr>
      </w:pPr>
    </w:p>
    <w:p w:rsidR="00D942A1" w:rsidRPr="005F0CAC" w:rsidRDefault="001C0323" w:rsidP="001765E3">
      <w:pPr>
        <w:pStyle w:val="Ttulo3"/>
        <w:rPr>
          <w:rFonts w:eastAsia="ヒラギノ角ゴ Pro W3"/>
          <w:lang w:eastAsia="en-US"/>
        </w:rPr>
      </w:pPr>
      <w:r w:rsidRPr="00E72607">
        <w:t>Normas derogadas</w:t>
      </w:r>
      <w:r w:rsidRPr="005F0CAC">
        <w:rPr>
          <w:rFonts w:eastAsia="ヒラギノ角ゴ Pro W3"/>
          <w:lang w:eastAsia="en-US"/>
        </w:rPr>
        <w:t xml:space="preserve"> </w:t>
      </w:r>
    </w:p>
    <w:p w:rsidR="00D942A1" w:rsidRPr="005F0CAC" w:rsidRDefault="00D942A1" w:rsidP="00D942A1">
      <w:pPr>
        <w:rPr>
          <w:rFonts w:eastAsia="ヒラギノ角ゴ Pro W3" w:cs="Arial"/>
          <w:b/>
          <w:bCs/>
          <w:sz w:val="22"/>
          <w:szCs w:val="22"/>
          <w:lang w:eastAsia="en-US"/>
        </w:rPr>
      </w:pPr>
    </w:p>
    <w:p w:rsidR="001C0323" w:rsidRDefault="001C0323" w:rsidP="001C0323">
      <w:pPr>
        <w:rPr>
          <w:rFonts w:cs="Arial"/>
          <w:sz w:val="22"/>
          <w:szCs w:val="22"/>
        </w:rPr>
      </w:pPr>
      <w:r w:rsidRPr="001C0323">
        <w:rPr>
          <w:rFonts w:cs="Arial"/>
          <w:sz w:val="22"/>
          <w:szCs w:val="22"/>
        </w:rPr>
        <w:t>Con la entrada en vigor de esto real decreto se deroga un número considerable de normas o partes de las mismas que autorizan el empleo de coadyuvantes tecnológicos en los alimento</w:t>
      </w:r>
      <w:r>
        <w:rPr>
          <w:rFonts w:cs="Arial"/>
          <w:sz w:val="22"/>
          <w:szCs w:val="22"/>
        </w:rPr>
        <w:t>s. En particular las siguientes:</w:t>
      </w:r>
    </w:p>
    <w:p w:rsidR="001C0323" w:rsidRDefault="001C0323" w:rsidP="00D942A1">
      <w:pPr>
        <w:rPr>
          <w:rFonts w:cs="Arial"/>
          <w:sz w:val="22"/>
          <w:szCs w:val="22"/>
        </w:rPr>
      </w:pPr>
    </w:p>
    <w:p w:rsidR="00AF2CA4" w:rsidRPr="00AF2CA4" w:rsidRDefault="00AF706C" w:rsidP="00AF2CA4">
      <w:pPr>
        <w:numPr>
          <w:ilvl w:val="0"/>
          <w:numId w:val="20"/>
        </w:numPr>
        <w:rPr>
          <w:rFonts w:cs="Arial"/>
          <w:sz w:val="22"/>
          <w:szCs w:val="22"/>
        </w:rPr>
      </w:pPr>
      <w:r w:rsidRPr="00AF2CA4">
        <w:rPr>
          <w:rFonts w:cs="Arial"/>
          <w:sz w:val="22"/>
          <w:szCs w:val="22"/>
        </w:rPr>
        <w:t>A</w:t>
      </w:r>
      <w:r w:rsidR="00B50D39">
        <w:rPr>
          <w:rFonts w:cs="Arial"/>
          <w:sz w:val="22"/>
          <w:szCs w:val="22"/>
        </w:rPr>
        <w:t>rtículo 7, a</w:t>
      </w:r>
      <w:r w:rsidRPr="00AF2CA4">
        <w:rPr>
          <w:rFonts w:cs="Arial"/>
          <w:sz w:val="22"/>
          <w:szCs w:val="22"/>
        </w:rPr>
        <w:t>partado 7</w:t>
      </w:r>
      <w:r w:rsidR="00B50D39">
        <w:rPr>
          <w:rFonts w:cs="Arial"/>
          <w:sz w:val="22"/>
          <w:szCs w:val="22"/>
        </w:rPr>
        <w:t>,</w:t>
      </w:r>
      <w:r w:rsidRPr="00AF2CA4">
        <w:rPr>
          <w:rFonts w:cs="Arial"/>
          <w:sz w:val="22"/>
          <w:szCs w:val="22"/>
        </w:rPr>
        <w:t xml:space="preserve"> del Real Decreto 1798/2010, de 30 de diciembre, por el que se regula la explotación y comercialización de aguas minerales naturales y aguas de manantial envasadas para consumo humano.</w:t>
      </w:r>
    </w:p>
    <w:p w:rsidR="00AF2CA4" w:rsidRPr="00AF2CA4" w:rsidRDefault="00AF2CA4" w:rsidP="00AF2CA4">
      <w:pPr>
        <w:numPr>
          <w:ilvl w:val="0"/>
          <w:numId w:val="20"/>
        </w:numPr>
        <w:rPr>
          <w:rFonts w:cs="Arial"/>
          <w:sz w:val="22"/>
          <w:szCs w:val="22"/>
        </w:rPr>
      </w:pPr>
      <w:r w:rsidRPr="00AF2CA4">
        <w:rPr>
          <w:rFonts w:cs="Arial"/>
          <w:sz w:val="22"/>
          <w:szCs w:val="22"/>
        </w:rPr>
        <w:lastRenderedPageBreak/>
        <w:t>A</w:t>
      </w:r>
      <w:r w:rsidR="00B50D39">
        <w:rPr>
          <w:rFonts w:cs="Arial"/>
          <w:sz w:val="22"/>
          <w:szCs w:val="22"/>
        </w:rPr>
        <w:t>rtículo 6, a</w:t>
      </w:r>
      <w:r w:rsidRPr="00AF2CA4">
        <w:rPr>
          <w:rFonts w:cs="Arial"/>
          <w:sz w:val="22"/>
          <w:szCs w:val="22"/>
        </w:rPr>
        <w:t>partado 4</w:t>
      </w:r>
      <w:r w:rsidR="00B50D39">
        <w:rPr>
          <w:rFonts w:cs="Arial"/>
          <w:sz w:val="22"/>
          <w:szCs w:val="22"/>
        </w:rPr>
        <w:t>,</w:t>
      </w:r>
      <w:r w:rsidRPr="00AF2CA4">
        <w:rPr>
          <w:rFonts w:cs="Arial"/>
          <w:sz w:val="22"/>
          <w:szCs w:val="22"/>
        </w:rPr>
        <w:t xml:space="preserve"> del Real Decreto 1799/2010, de 30 de diciembre, por el que se regula el proceso de elaboración y comercialización de aguas preparadas envasadas para el consumo humano.</w:t>
      </w:r>
    </w:p>
    <w:p w:rsidR="00AF2CA4" w:rsidRPr="00AF2CA4" w:rsidRDefault="00AF2CA4" w:rsidP="00AF2CA4">
      <w:pPr>
        <w:numPr>
          <w:ilvl w:val="0"/>
          <w:numId w:val="20"/>
        </w:numPr>
        <w:rPr>
          <w:rFonts w:cs="Arial"/>
          <w:sz w:val="22"/>
          <w:szCs w:val="22"/>
        </w:rPr>
      </w:pPr>
      <w:r w:rsidRPr="00AF2CA4">
        <w:rPr>
          <w:rFonts w:cs="Arial"/>
          <w:sz w:val="22"/>
          <w:szCs w:val="22"/>
        </w:rPr>
        <w:t>Resolución de 2 de diciembre de 1982 (rectificada), de la Subsecretaría para la Sanidad, por la que se aprueba la lista positiva de aditivos y coadyuvantes tecnológicos para uso en la elaboración de cerveza.</w:t>
      </w:r>
    </w:p>
    <w:p w:rsidR="00AF2CA4" w:rsidRPr="00AF2CA4" w:rsidRDefault="00AF2CA4" w:rsidP="00AF2CA4">
      <w:pPr>
        <w:numPr>
          <w:ilvl w:val="0"/>
          <w:numId w:val="20"/>
        </w:numPr>
        <w:rPr>
          <w:rFonts w:cs="Arial"/>
          <w:sz w:val="22"/>
          <w:szCs w:val="22"/>
        </w:rPr>
      </w:pPr>
      <w:r w:rsidRPr="00AF2CA4">
        <w:rPr>
          <w:rFonts w:cs="Arial"/>
          <w:sz w:val="22"/>
          <w:szCs w:val="22"/>
        </w:rPr>
        <w:t>Art</w:t>
      </w:r>
      <w:r w:rsidR="00B50D39">
        <w:rPr>
          <w:rFonts w:cs="Arial"/>
          <w:sz w:val="22"/>
          <w:szCs w:val="22"/>
        </w:rPr>
        <w:t>ículo</w:t>
      </w:r>
      <w:r w:rsidRPr="00AF2CA4">
        <w:rPr>
          <w:rFonts w:cs="Arial"/>
          <w:sz w:val="22"/>
          <w:szCs w:val="22"/>
        </w:rPr>
        <w:t xml:space="preserve"> 6</w:t>
      </w:r>
      <w:r w:rsidR="00B50D39">
        <w:rPr>
          <w:rFonts w:cs="Arial"/>
          <w:sz w:val="22"/>
          <w:szCs w:val="22"/>
        </w:rPr>
        <w:t xml:space="preserve">, apartados </w:t>
      </w:r>
      <w:r w:rsidRPr="00AF2CA4">
        <w:rPr>
          <w:rFonts w:cs="Arial"/>
          <w:sz w:val="22"/>
          <w:szCs w:val="22"/>
        </w:rPr>
        <w:t>5</w:t>
      </w:r>
      <w:r w:rsidR="00B50D39">
        <w:rPr>
          <w:rFonts w:cs="Arial"/>
          <w:sz w:val="22"/>
          <w:szCs w:val="22"/>
        </w:rPr>
        <w:t xml:space="preserve"> y 6</w:t>
      </w:r>
      <w:r w:rsidRPr="00AF2CA4">
        <w:rPr>
          <w:rFonts w:cs="Arial"/>
          <w:sz w:val="22"/>
          <w:szCs w:val="22"/>
        </w:rPr>
        <w:t xml:space="preserve">, </w:t>
      </w:r>
      <w:r w:rsidR="00B50D39">
        <w:rPr>
          <w:rFonts w:cs="Arial"/>
          <w:sz w:val="22"/>
          <w:szCs w:val="22"/>
        </w:rPr>
        <w:t>y artículo 8</w:t>
      </w:r>
      <w:r w:rsidRPr="00AF2CA4">
        <w:rPr>
          <w:rFonts w:cs="Arial"/>
          <w:sz w:val="22"/>
          <w:szCs w:val="22"/>
        </w:rPr>
        <w:t xml:space="preserve">, </w:t>
      </w:r>
      <w:r w:rsidR="00B50D39">
        <w:rPr>
          <w:rFonts w:cs="Arial"/>
          <w:sz w:val="22"/>
          <w:szCs w:val="22"/>
        </w:rPr>
        <w:t xml:space="preserve">apartados </w:t>
      </w:r>
      <w:r w:rsidRPr="00AF2CA4">
        <w:rPr>
          <w:rFonts w:cs="Arial"/>
          <w:sz w:val="22"/>
          <w:szCs w:val="22"/>
        </w:rPr>
        <w:t>6</w:t>
      </w:r>
      <w:r w:rsidR="00055850">
        <w:rPr>
          <w:rFonts w:cs="Arial"/>
          <w:sz w:val="22"/>
          <w:szCs w:val="22"/>
        </w:rPr>
        <w:t>,</w:t>
      </w:r>
      <w:r w:rsidRPr="00AF2CA4">
        <w:rPr>
          <w:rFonts w:cs="Arial"/>
          <w:sz w:val="22"/>
          <w:szCs w:val="22"/>
        </w:rPr>
        <w:t xml:space="preserve"> 7 </w:t>
      </w:r>
      <w:r w:rsidR="00055850">
        <w:rPr>
          <w:rFonts w:cs="Arial"/>
          <w:sz w:val="22"/>
          <w:szCs w:val="22"/>
        </w:rPr>
        <w:t xml:space="preserve">y 11 </w:t>
      </w:r>
      <w:r w:rsidRPr="00AF2CA4">
        <w:rPr>
          <w:rFonts w:cs="Arial"/>
          <w:sz w:val="22"/>
          <w:szCs w:val="22"/>
        </w:rPr>
        <w:t>del Real Decreto 72/2017, por el que se aprueba la norma de calidad de las diferentes categorías de la sidra natural y de la sidra.</w:t>
      </w:r>
    </w:p>
    <w:p w:rsidR="00AF2CA4" w:rsidRPr="00AF2CA4" w:rsidRDefault="00AF2CA4" w:rsidP="00AF2CA4">
      <w:pPr>
        <w:numPr>
          <w:ilvl w:val="0"/>
          <w:numId w:val="20"/>
        </w:numPr>
        <w:rPr>
          <w:rFonts w:cs="Arial"/>
          <w:sz w:val="22"/>
          <w:szCs w:val="22"/>
        </w:rPr>
      </w:pPr>
      <w:r w:rsidRPr="00AF2CA4">
        <w:rPr>
          <w:rFonts w:cs="Arial"/>
          <w:sz w:val="22"/>
          <w:szCs w:val="22"/>
        </w:rPr>
        <w:t>Art</w:t>
      </w:r>
      <w:r w:rsidR="00B50D39">
        <w:rPr>
          <w:rFonts w:cs="Arial"/>
          <w:sz w:val="22"/>
          <w:szCs w:val="22"/>
        </w:rPr>
        <w:t>ículo</w:t>
      </w:r>
      <w:r w:rsidRPr="00AF2CA4">
        <w:rPr>
          <w:rFonts w:cs="Arial"/>
          <w:sz w:val="22"/>
          <w:szCs w:val="22"/>
        </w:rPr>
        <w:t xml:space="preserve"> 3</w:t>
      </w:r>
      <w:r w:rsidR="00B50D39">
        <w:rPr>
          <w:rFonts w:cs="Arial"/>
          <w:sz w:val="22"/>
          <w:szCs w:val="22"/>
        </w:rPr>
        <w:t>, apartado</w:t>
      </w:r>
      <w:r w:rsidRPr="00AF2CA4">
        <w:rPr>
          <w:rFonts w:cs="Arial"/>
          <w:sz w:val="22"/>
          <w:szCs w:val="22"/>
        </w:rPr>
        <w:t>12</w:t>
      </w:r>
      <w:r w:rsidR="00B50D39">
        <w:rPr>
          <w:rFonts w:cs="Arial"/>
          <w:sz w:val="22"/>
          <w:szCs w:val="22"/>
        </w:rPr>
        <w:t>,</w:t>
      </w:r>
      <w:r w:rsidRPr="00AF2CA4">
        <w:rPr>
          <w:rFonts w:cs="Arial"/>
          <w:sz w:val="22"/>
          <w:szCs w:val="22"/>
        </w:rPr>
        <w:t xml:space="preserve"> del Real Decreto 650/2011, de 9 de mayo, por el que se aprueba la reglamentación técnico-sanitaria en materia de bebidas refrescantes.</w:t>
      </w:r>
    </w:p>
    <w:p w:rsidR="00AF2CA4" w:rsidRPr="00AF2CA4" w:rsidRDefault="00AF2CA4" w:rsidP="00AF2CA4">
      <w:pPr>
        <w:numPr>
          <w:ilvl w:val="0"/>
          <w:numId w:val="20"/>
        </w:numPr>
        <w:rPr>
          <w:rFonts w:cs="Arial"/>
          <w:sz w:val="22"/>
          <w:szCs w:val="22"/>
        </w:rPr>
      </w:pPr>
      <w:r w:rsidRPr="00AF2CA4">
        <w:rPr>
          <w:rFonts w:cs="Arial"/>
          <w:sz w:val="22"/>
          <w:szCs w:val="22"/>
        </w:rPr>
        <w:lastRenderedPageBreak/>
        <w:t>Art</w:t>
      </w:r>
      <w:r w:rsidR="00B50D39">
        <w:rPr>
          <w:rFonts w:cs="Arial"/>
          <w:sz w:val="22"/>
          <w:szCs w:val="22"/>
        </w:rPr>
        <w:t>ículo</w:t>
      </w:r>
      <w:r w:rsidRPr="00AF2CA4">
        <w:rPr>
          <w:rFonts w:cs="Arial"/>
          <w:sz w:val="22"/>
          <w:szCs w:val="22"/>
        </w:rPr>
        <w:t xml:space="preserve"> 6</w:t>
      </w:r>
      <w:r w:rsidR="00B50D39">
        <w:rPr>
          <w:rFonts w:cs="Arial"/>
          <w:sz w:val="22"/>
          <w:szCs w:val="22"/>
        </w:rPr>
        <w:t xml:space="preserve">, apartado </w:t>
      </w:r>
      <w:r w:rsidRPr="00AF2CA4">
        <w:rPr>
          <w:rFonts w:cs="Arial"/>
          <w:sz w:val="22"/>
          <w:szCs w:val="22"/>
        </w:rPr>
        <w:t>4</w:t>
      </w:r>
      <w:r w:rsidR="00B50D39">
        <w:rPr>
          <w:rFonts w:cs="Arial"/>
          <w:sz w:val="22"/>
          <w:szCs w:val="22"/>
        </w:rPr>
        <w:t>,</w:t>
      </w:r>
      <w:r w:rsidRPr="00AF2CA4">
        <w:rPr>
          <w:rFonts w:cs="Arial"/>
          <w:sz w:val="22"/>
          <w:szCs w:val="22"/>
        </w:rPr>
        <w:t xml:space="preserve"> del Real Decreto 1338/1988, de 28 de octubre, por el que se aprueba la Reglamentación Técnico-Sanitaria para la Elaboración y Venta de Horchata de Chufa.</w:t>
      </w:r>
    </w:p>
    <w:p w:rsidR="00AF2CA4" w:rsidRPr="00AF2CA4" w:rsidRDefault="00AF2CA4" w:rsidP="00AF2CA4">
      <w:pPr>
        <w:numPr>
          <w:ilvl w:val="0"/>
          <w:numId w:val="20"/>
        </w:numPr>
        <w:rPr>
          <w:rFonts w:cs="Arial"/>
          <w:sz w:val="22"/>
          <w:szCs w:val="22"/>
        </w:rPr>
      </w:pPr>
      <w:r w:rsidRPr="00AF2CA4">
        <w:rPr>
          <w:rFonts w:cs="Arial"/>
          <w:sz w:val="22"/>
          <w:szCs w:val="22"/>
        </w:rPr>
        <w:t>Art</w:t>
      </w:r>
      <w:r w:rsidR="00B50D39">
        <w:rPr>
          <w:rFonts w:cs="Arial"/>
          <w:sz w:val="22"/>
          <w:szCs w:val="22"/>
        </w:rPr>
        <w:t>ículo</w:t>
      </w:r>
      <w:r w:rsidRPr="00AF2CA4">
        <w:rPr>
          <w:rFonts w:cs="Arial"/>
          <w:sz w:val="22"/>
          <w:szCs w:val="22"/>
        </w:rPr>
        <w:t xml:space="preserve"> 4</w:t>
      </w:r>
      <w:r w:rsidR="00B50D39">
        <w:rPr>
          <w:rFonts w:cs="Arial"/>
          <w:sz w:val="22"/>
          <w:szCs w:val="22"/>
        </w:rPr>
        <w:t>, apartado</w:t>
      </w:r>
      <w:r w:rsidR="005411C5">
        <w:rPr>
          <w:rFonts w:cs="Arial"/>
          <w:sz w:val="22"/>
          <w:szCs w:val="22"/>
        </w:rPr>
        <w:t>s 1, 2,</w:t>
      </w:r>
      <w:r w:rsidR="00B50D39">
        <w:rPr>
          <w:rFonts w:cs="Arial"/>
          <w:sz w:val="22"/>
          <w:szCs w:val="22"/>
        </w:rPr>
        <w:t xml:space="preserve"> </w:t>
      </w:r>
      <w:r w:rsidRPr="00AF2CA4">
        <w:rPr>
          <w:rFonts w:cs="Arial"/>
          <w:sz w:val="22"/>
          <w:szCs w:val="22"/>
        </w:rPr>
        <w:t>5</w:t>
      </w:r>
      <w:r w:rsidR="005411C5">
        <w:rPr>
          <w:rFonts w:cs="Arial"/>
          <w:sz w:val="22"/>
          <w:szCs w:val="22"/>
        </w:rPr>
        <w:t xml:space="preserve"> y 8</w:t>
      </w:r>
      <w:r w:rsidRPr="00AF2CA4">
        <w:rPr>
          <w:rFonts w:cs="Arial"/>
          <w:sz w:val="22"/>
          <w:szCs w:val="22"/>
        </w:rPr>
        <w:t xml:space="preserve"> del Real Decreto 661/2012, de 13 de abril, por el que se establece la norma de calidad para la elaboración y la comercialización de los vinagres.</w:t>
      </w:r>
    </w:p>
    <w:p w:rsidR="00AF2CA4" w:rsidRPr="00AF2CA4" w:rsidRDefault="00AF2CA4" w:rsidP="00AF2CA4">
      <w:pPr>
        <w:numPr>
          <w:ilvl w:val="0"/>
          <w:numId w:val="20"/>
        </w:numPr>
        <w:rPr>
          <w:rFonts w:cs="Arial"/>
          <w:sz w:val="22"/>
          <w:szCs w:val="22"/>
        </w:rPr>
      </w:pPr>
      <w:r w:rsidRPr="00AF2CA4">
        <w:rPr>
          <w:rFonts w:cs="Arial"/>
          <w:sz w:val="22"/>
          <w:szCs w:val="22"/>
        </w:rPr>
        <w:t>Apartado 5 y anexo del Real Decreto 1052/2003, de 1 de agosto, por el que se aprueba la Reglamentación Técnico-Sanitaria sobre determinados azúcares destinados a la alimentación humana.</w:t>
      </w:r>
    </w:p>
    <w:p w:rsidR="00AF2CA4" w:rsidRPr="00AF2CA4" w:rsidRDefault="00AF2CA4" w:rsidP="00AF2CA4">
      <w:pPr>
        <w:numPr>
          <w:ilvl w:val="0"/>
          <w:numId w:val="20"/>
        </w:numPr>
        <w:rPr>
          <w:rFonts w:cs="Arial"/>
          <w:sz w:val="22"/>
          <w:szCs w:val="22"/>
        </w:rPr>
      </w:pPr>
      <w:r w:rsidRPr="00AF2CA4">
        <w:rPr>
          <w:rFonts w:cs="Arial"/>
          <w:sz w:val="22"/>
          <w:szCs w:val="22"/>
        </w:rPr>
        <w:t>Art</w:t>
      </w:r>
      <w:r w:rsidR="00B50D39">
        <w:rPr>
          <w:rFonts w:cs="Arial"/>
          <w:sz w:val="22"/>
          <w:szCs w:val="22"/>
        </w:rPr>
        <w:t>ículo</w:t>
      </w:r>
      <w:r w:rsidRPr="00AF2CA4">
        <w:rPr>
          <w:rFonts w:cs="Arial"/>
          <w:sz w:val="22"/>
          <w:szCs w:val="22"/>
        </w:rPr>
        <w:t xml:space="preserve"> 11 del Real Decreto 380/1984, de 25 de enero, por el que se aprueba la Reglamentación Técnico-Sanitaria para la Elaboración y Venta de Jarabes.</w:t>
      </w:r>
    </w:p>
    <w:p w:rsidR="00AF2CA4" w:rsidRPr="00AF2CA4" w:rsidRDefault="00AF2CA4" w:rsidP="00AF2CA4">
      <w:pPr>
        <w:numPr>
          <w:ilvl w:val="0"/>
          <w:numId w:val="20"/>
        </w:numPr>
        <w:rPr>
          <w:rFonts w:cs="Arial"/>
          <w:sz w:val="22"/>
          <w:szCs w:val="22"/>
        </w:rPr>
      </w:pPr>
      <w:r w:rsidRPr="00AF2CA4">
        <w:rPr>
          <w:rFonts w:cs="Arial"/>
          <w:sz w:val="22"/>
          <w:szCs w:val="22"/>
        </w:rPr>
        <w:lastRenderedPageBreak/>
        <w:t>Art</w:t>
      </w:r>
      <w:r w:rsidR="00B50D39">
        <w:rPr>
          <w:rFonts w:cs="Arial"/>
          <w:sz w:val="22"/>
          <w:szCs w:val="22"/>
        </w:rPr>
        <w:t>ículo</w:t>
      </w:r>
      <w:r w:rsidRPr="00AF2CA4">
        <w:rPr>
          <w:rFonts w:cs="Arial"/>
          <w:sz w:val="22"/>
          <w:szCs w:val="22"/>
        </w:rPr>
        <w:t xml:space="preserve"> 28</w:t>
      </w:r>
      <w:r w:rsidR="00B50D39">
        <w:rPr>
          <w:rFonts w:cs="Arial"/>
          <w:sz w:val="22"/>
          <w:szCs w:val="22"/>
        </w:rPr>
        <w:t xml:space="preserve">, apartados </w:t>
      </w:r>
      <w:r w:rsidRPr="00AF2CA4">
        <w:rPr>
          <w:rFonts w:cs="Arial"/>
          <w:sz w:val="22"/>
          <w:szCs w:val="22"/>
        </w:rPr>
        <w:t xml:space="preserve">5.b), </w:t>
      </w:r>
      <w:r w:rsidR="00B50D39">
        <w:rPr>
          <w:rFonts w:cs="Arial"/>
          <w:sz w:val="22"/>
          <w:szCs w:val="22"/>
        </w:rPr>
        <w:t>5.</w:t>
      </w:r>
      <w:r w:rsidRPr="00AF2CA4">
        <w:rPr>
          <w:rFonts w:cs="Arial"/>
          <w:sz w:val="22"/>
          <w:szCs w:val="22"/>
        </w:rPr>
        <w:t xml:space="preserve">c) y </w:t>
      </w:r>
      <w:r w:rsidR="00B50D39">
        <w:rPr>
          <w:rFonts w:cs="Arial"/>
          <w:sz w:val="22"/>
          <w:szCs w:val="22"/>
        </w:rPr>
        <w:t>5.</w:t>
      </w:r>
      <w:r w:rsidRPr="00AF2CA4">
        <w:rPr>
          <w:rFonts w:cs="Arial"/>
          <w:sz w:val="22"/>
          <w:szCs w:val="22"/>
        </w:rPr>
        <w:t xml:space="preserve">d) del Real Decreto 1011/1981, de 10 de abril, por el que se aprueba la Reglamentación Técnico-Sanitaria para la elaboración, circulación y comercio de grasas comestibles (animales, vegetales y anhidras), margarinas, </w:t>
      </w:r>
      <w:proofErr w:type="spellStart"/>
      <w:r w:rsidRPr="00AF2CA4">
        <w:rPr>
          <w:rFonts w:cs="Arial"/>
          <w:sz w:val="22"/>
          <w:szCs w:val="22"/>
        </w:rPr>
        <w:t>minarinas</w:t>
      </w:r>
      <w:proofErr w:type="spellEnd"/>
      <w:r w:rsidRPr="00AF2CA4">
        <w:rPr>
          <w:rFonts w:cs="Arial"/>
          <w:sz w:val="22"/>
          <w:szCs w:val="22"/>
        </w:rPr>
        <w:t xml:space="preserve"> y preparados grasos.</w:t>
      </w:r>
    </w:p>
    <w:p w:rsidR="00AF2CA4" w:rsidRPr="00AF2CA4" w:rsidRDefault="00AF2CA4" w:rsidP="00AF2CA4">
      <w:pPr>
        <w:numPr>
          <w:ilvl w:val="0"/>
          <w:numId w:val="20"/>
        </w:numPr>
        <w:rPr>
          <w:rFonts w:cs="Arial"/>
          <w:sz w:val="22"/>
          <w:szCs w:val="22"/>
        </w:rPr>
      </w:pPr>
      <w:r w:rsidRPr="00AF2CA4">
        <w:rPr>
          <w:rFonts w:cs="Arial"/>
          <w:sz w:val="22"/>
          <w:szCs w:val="22"/>
        </w:rPr>
        <w:t>Art</w:t>
      </w:r>
      <w:r w:rsidR="00B50D39">
        <w:rPr>
          <w:rFonts w:cs="Arial"/>
          <w:sz w:val="22"/>
          <w:szCs w:val="22"/>
        </w:rPr>
        <w:t>ículo</w:t>
      </w:r>
      <w:r w:rsidRPr="00AF2CA4">
        <w:rPr>
          <w:rFonts w:cs="Arial"/>
          <w:sz w:val="22"/>
          <w:szCs w:val="22"/>
        </w:rPr>
        <w:t xml:space="preserve"> 12 del Real Decreto 308/2019, de 26 de abril, por el que se aprueba la norma de calidad para el pan.</w:t>
      </w:r>
    </w:p>
    <w:p w:rsidR="00AF2CA4" w:rsidRPr="00AF2CA4" w:rsidRDefault="00AF2CA4" w:rsidP="00AF2CA4">
      <w:pPr>
        <w:numPr>
          <w:ilvl w:val="0"/>
          <w:numId w:val="20"/>
        </w:numPr>
        <w:rPr>
          <w:rFonts w:cs="Arial"/>
          <w:sz w:val="22"/>
          <w:szCs w:val="22"/>
        </w:rPr>
      </w:pPr>
      <w:r w:rsidRPr="00AF2CA4">
        <w:rPr>
          <w:rFonts w:cs="Arial"/>
          <w:sz w:val="22"/>
          <w:szCs w:val="22"/>
        </w:rPr>
        <w:t>Resolución de 1 de agosto de 1979 de la Secretaría de Estado para la Sanidad por la que se aprueba la lista positiva de aditivos autorizados para uso en la elaboración de productos de confitería, pastelería, bollería, repostería y galletería.</w:t>
      </w:r>
    </w:p>
    <w:p w:rsidR="00AF2CA4" w:rsidRPr="00AF2CA4" w:rsidRDefault="00AF2CA4" w:rsidP="00AF2CA4">
      <w:pPr>
        <w:numPr>
          <w:ilvl w:val="0"/>
          <w:numId w:val="20"/>
        </w:numPr>
        <w:rPr>
          <w:rFonts w:cs="Arial"/>
          <w:sz w:val="22"/>
          <w:szCs w:val="22"/>
        </w:rPr>
      </w:pPr>
      <w:r w:rsidRPr="00AF2CA4">
        <w:rPr>
          <w:rFonts w:cs="Arial"/>
          <w:sz w:val="22"/>
          <w:szCs w:val="22"/>
        </w:rPr>
        <w:lastRenderedPageBreak/>
        <w:t>Resolución de 28 de septiembre de 1983, de la Subsecretaría, por la que se aprueba la lista positiva de aditivos y coadyuvantes tecnológicos para uso en la elaboración de aceitunas de mesa.</w:t>
      </w:r>
    </w:p>
    <w:p w:rsidR="00AF2CA4" w:rsidRPr="00AF2CA4" w:rsidRDefault="00AF2CA4" w:rsidP="00AF2CA4">
      <w:pPr>
        <w:numPr>
          <w:ilvl w:val="0"/>
          <w:numId w:val="20"/>
        </w:numPr>
        <w:rPr>
          <w:rFonts w:cs="Arial"/>
          <w:sz w:val="22"/>
          <w:szCs w:val="22"/>
        </w:rPr>
      </w:pPr>
      <w:r w:rsidRPr="00AF2CA4">
        <w:rPr>
          <w:rFonts w:cs="Arial"/>
          <w:sz w:val="22"/>
          <w:szCs w:val="22"/>
        </w:rPr>
        <w:t>A</w:t>
      </w:r>
      <w:r w:rsidR="00B50D39">
        <w:rPr>
          <w:rFonts w:cs="Arial"/>
          <w:sz w:val="22"/>
          <w:szCs w:val="22"/>
        </w:rPr>
        <w:t>nexo I, parte B, punto 3, a</w:t>
      </w:r>
      <w:r w:rsidRPr="00AF2CA4">
        <w:rPr>
          <w:rFonts w:cs="Arial"/>
          <w:sz w:val="22"/>
          <w:szCs w:val="22"/>
        </w:rPr>
        <w:t>partados d) a l) del Real Decreto 781/2013, de 11 de octubre, por el que se establecen normas relativas a la elaboración, composición, etiquetado, presentación y publicidad de los zumos de frutas y otros productos similares destinados a la alimentación humana.</w:t>
      </w:r>
    </w:p>
    <w:p w:rsidR="00AF2CA4" w:rsidRPr="00AF2CA4" w:rsidRDefault="00AF2CA4" w:rsidP="00AF2CA4">
      <w:pPr>
        <w:numPr>
          <w:ilvl w:val="0"/>
          <w:numId w:val="20"/>
        </w:numPr>
        <w:rPr>
          <w:rFonts w:cs="Arial"/>
          <w:sz w:val="22"/>
          <w:szCs w:val="22"/>
        </w:rPr>
      </w:pPr>
      <w:r w:rsidRPr="00AF2CA4">
        <w:rPr>
          <w:rFonts w:cs="Arial"/>
          <w:sz w:val="22"/>
          <w:szCs w:val="22"/>
        </w:rPr>
        <w:t>Resolución de 21 de abril de 1983, de la Subsecretaría, por la que se aprueba la lista positiva de aditivos y coadyuvantes tecnológicos para uso en la elaboración de zumos de frutas y de otros vegetales y sus derivados.</w:t>
      </w:r>
    </w:p>
    <w:p w:rsidR="00AF2CA4" w:rsidRPr="00AF2CA4" w:rsidRDefault="00AF2CA4" w:rsidP="00AF2CA4">
      <w:pPr>
        <w:numPr>
          <w:ilvl w:val="0"/>
          <w:numId w:val="20"/>
        </w:numPr>
        <w:rPr>
          <w:rFonts w:cs="Arial"/>
          <w:sz w:val="22"/>
          <w:szCs w:val="22"/>
        </w:rPr>
      </w:pPr>
      <w:r w:rsidRPr="00AF2CA4">
        <w:rPr>
          <w:rFonts w:cs="Arial"/>
          <w:sz w:val="22"/>
          <w:szCs w:val="22"/>
        </w:rPr>
        <w:lastRenderedPageBreak/>
        <w:t>Artículo 2 del Real Decreto 1044/87, de 31 de julio, por el que se regula la elaboración de zumos de uva en armonización con la normativa comunitaria.</w:t>
      </w:r>
    </w:p>
    <w:p w:rsidR="00AF2CA4" w:rsidRPr="00AF2CA4" w:rsidRDefault="00AF2CA4" w:rsidP="00AF2CA4">
      <w:pPr>
        <w:numPr>
          <w:ilvl w:val="0"/>
          <w:numId w:val="20"/>
        </w:numPr>
        <w:rPr>
          <w:rFonts w:cs="Arial"/>
          <w:sz w:val="22"/>
          <w:szCs w:val="22"/>
        </w:rPr>
      </w:pPr>
      <w:r w:rsidRPr="00AF2CA4">
        <w:rPr>
          <w:rFonts w:cs="Arial"/>
          <w:sz w:val="22"/>
          <w:szCs w:val="22"/>
        </w:rPr>
        <w:t>Resolución de 18 de octubre de 1982 de la Subsecretaría para la Sanidad, por la que se aprueba la lista positiva de aditivos autorizados para uso en la elaboración de aguardientes compuestos, licores, aperitivos sin vino base y otras bebidas derivadas de los alcoholes naturales.</w:t>
      </w:r>
    </w:p>
    <w:p w:rsidR="00AF2CA4" w:rsidRPr="00AF2CA4" w:rsidRDefault="00AF2CA4" w:rsidP="00AF2CA4">
      <w:pPr>
        <w:numPr>
          <w:ilvl w:val="0"/>
          <w:numId w:val="20"/>
        </w:numPr>
        <w:rPr>
          <w:rFonts w:cs="Arial"/>
          <w:sz w:val="22"/>
          <w:szCs w:val="22"/>
        </w:rPr>
      </w:pPr>
      <w:r w:rsidRPr="00AF2CA4">
        <w:rPr>
          <w:rFonts w:cs="Arial"/>
          <w:sz w:val="22"/>
          <w:szCs w:val="22"/>
        </w:rPr>
        <w:t>Resolución de 26 de febrero de 1981, de la Secretaría de Estado para la Sanidad, por la que se aprueba la ordenación de las listas positivas de aditivos autorizados para su uso en diversos productos alimenticios, destinados a la alimentación humana.</w:t>
      </w:r>
    </w:p>
    <w:p w:rsidR="00AF2CA4" w:rsidRPr="00AF2CA4" w:rsidRDefault="00AF2CA4" w:rsidP="00AF2CA4">
      <w:pPr>
        <w:numPr>
          <w:ilvl w:val="0"/>
          <w:numId w:val="20"/>
        </w:numPr>
        <w:rPr>
          <w:rFonts w:cs="Arial"/>
          <w:sz w:val="22"/>
          <w:szCs w:val="22"/>
        </w:rPr>
      </w:pPr>
      <w:r w:rsidRPr="00AF2CA4">
        <w:rPr>
          <w:rFonts w:cs="Arial"/>
          <w:sz w:val="22"/>
          <w:szCs w:val="22"/>
        </w:rPr>
        <w:lastRenderedPageBreak/>
        <w:t>Resolución de la Secretaría de Estado para la Sanidad por la que se aprueba la lista positiva de aditivos autorizados para uso en la elaboración de conservas y semiconservas vegetales («BOE» núm. 249, de 17 de octubre de 1979).</w:t>
      </w:r>
    </w:p>
    <w:p w:rsidR="00AF2CA4" w:rsidRDefault="00B50D39" w:rsidP="00AF2CA4">
      <w:pPr>
        <w:numPr>
          <w:ilvl w:val="0"/>
          <w:numId w:val="20"/>
        </w:numPr>
        <w:rPr>
          <w:rFonts w:cs="Arial"/>
          <w:sz w:val="22"/>
          <w:szCs w:val="22"/>
        </w:rPr>
      </w:pPr>
      <w:r>
        <w:rPr>
          <w:rFonts w:cs="Arial"/>
          <w:sz w:val="22"/>
          <w:szCs w:val="22"/>
        </w:rPr>
        <w:t>Anejo I, p</w:t>
      </w:r>
      <w:r w:rsidR="00AF2CA4" w:rsidRPr="00AF2CA4">
        <w:rPr>
          <w:rFonts w:cs="Arial"/>
          <w:sz w:val="22"/>
          <w:szCs w:val="22"/>
        </w:rPr>
        <w:t>unto 2</w:t>
      </w:r>
      <w:r>
        <w:rPr>
          <w:rFonts w:cs="Arial"/>
          <w:sz w:val="22"/>
          <w:szCs w:val="22"/>
        </w:rPr>
        <w:t>,</w:t>
      </w:r>
      <w:r w:rsidR="00AF2CA4" w:rsidRPr="00AF2CA4">
        <w:rPr>
          <w:rFonts w:cs="Arial"/>
          <w:sz w:val="22"/>
          <w:szCs w:val="22"/>
        </w:rPr>
        <w:t xml:space="preserve"> de la Orden de 21 de noviembre de 1984 por la que se aprueban las normas de calidad para las conservas vegetales.</w:t>
      </w:r>
    </w:p>
    <w:p w:rsidR="00B87CC3" w:rsidRPr="00AF2CA4" w:rsidRDefault="00B87CC3" w:rsidP="00AF2CA4">
      <w:pPr>
        <w:numPr>
          <w:ilvl w:val="0"/>
          <w:numId w:val="20"/>
        </w:numPr>
        <w:rPr>
          <w:rFonts w:cs="Arial"/>
          <w:sz w:val="22"/>
          <w:szCs w:val="22"/>
        </w:rPr>
      </w:pPr>
      <w:r w:rsidRPr="000A2B50">
        <w:rPr>
          <w:rFonts w:eastAsia="Arial" w:cs="Arial"/>
          <w:sz w:val="22"/>
          <w:szCs w:val="22"/>
          <w:lang w:bidi="es-ES"/>
        </w:rPr>
        <w:t>Real Decreto 846/2011, de 17 de junio, por el que se establecen las condiciones que deben cumplir las materias primas a base de materiales poliméricos reciclados para su utilización en materiales y objetos destinados a entrar en contacto con alimentos.</w:t>
      </w:r>
    </w:p>
    <w:p w:rsidR="007A3CCE" w:rsidRDefault="007A3CCE" w:rsidP="00D942A1">
      <w:pPr>
        <w:rPr>
          <w:rFonts w:cs="Arial"/>
          <w:sz w:val="22"/>
          <w:szCs w:val="22"/>
        </w:rPr>
      </w:pPr>
    </w:p>
    <w:p w:rsidR="007A3CCE" w:rsidRPr="007A3CCE" w:rsidRDefault="007A3CCE" w:rsidP="007A3CCE">
      <w:pPr>
        <w:pStyle w:val="Ttulo3"/>
        <w:rPr>
          <w:rFonts w:eastAsia="ヒラギノ角ゴ Pro W3"/>
          <w:lang w:eastAsia="en-US"/>
        </w:rPr>
      </w:pPr>
      <w:r w:rsidRPr="007A3CCE">
        <w:rPr>
          <w:rFonts w:eastAsia="ヒラギノ角ゴ Pro W3"/>
          <w:lang w:eastAsia="en-US"/>
        </w:rPr>
        <w:t>Rango normativo</w:t>
      </w:r>
    </w:p>
    <w:p w:rsidR="007A3CCE" w:rsidRPr="005F0CAC" w:rsidRDefault="007A3CCE" w:rsidP="007A3CCE">
      <w:pPr>
        <w:rPr>
          <w:rFonts w:eastAsia="ヒラギノ角ゴ Pro W3" w:cs="Arial"/>
          <w:sz w:val="22"/>
          <w:szCs w:val="22"/>
          <w:lang w:eastAsia="en-US"/>
        </w:rPr>
      </w:pPr>
    </w:p>
    <w:p w:rsidR="007A3CCE" w:rsidRPr="005F0CAC" w:rsidRDefault="007A3CCE" w:rsidP="007A3CCE">
      <w:pPr>
        <w:rPr>
          <w:rFonts w:eastAsia="ヒラギノ角ゴ Pro W3" w:cs="Arial"/>
          <w:sz w:val="22"/>
          <w:szCs w:val="22"/>
          <w:lang w:eastAsia="en-US"/>
        </w:rPr>
      </w:pPr>
      <w:r w:rsidRPr="005F0CAC">
        <w:rPr>
          <w:rFonts w:eastAsia="ヒラギノ角ゴ Pro W3" w:cs="Arial"/>
          <w:sz w:val="22"/>
          <w:szCs w:val="22"/>
          <w:lang w:eastAsia="en-US"/>
        </w:rPr>
        <w:lastRenderedPageBreak/>
        <w:t xml:space="preserve">El </w:t>
      </w:r>
      <w:r>
        <w:rPr>
          <w:rFonts w:eastAsia="ヒラギノ角ゴ Pro W3" w:cs="Arial"/>
          <w:sz w:val="22"/>
          <w:szCs w:val="22"/>
          <w:lang w:eastAsia="en-US"/>
        </w:rPr>
        <w:t>r</w:t>
      </w:r>
      <w:r w:rsidRPr="005F0CAC">
        <w:rPr>
          <w:rFonts w:eastAsia="ヒラギノ角ゴ Pro W3" w:cs="Arial"/>
          <w:sz w:val="22"/>
          <w:szCs w:val="22"/>
          <w:lang w:eastAsia="en-US"/>
        </w:rPr>
        <w:t xml:space="preserve">ango </w:t>
      </w:r>
      <w:r>
        <w:rPr>
          <w:rFonts w:eastAsia="ヒラギノ角ゴ Pro W3" w:cs="Arial"/>
          <w:sz w:val="22"/>
          <w:szCs w:val="22"/>
          <w:lang w:eastAsia="en-US"/>
        </w:rPr>
        <w:t>n</w:t>
      </w:r>
      <w:r w:rsidRPr="005F0CAC">
        <w:rPr>
          <w:rFonts w:eastAsia="ヒラギノ角ゴ Pro W3" w:cs="Arial"/>
          <w:sz w:val="22"/>
          <w:szCs w:val="22"/>
          <w:lang w:eastAsia="en-US"/>
        </w:rPr>
        <w:t>ormativo es un real decreto</w:t>
      </w:r>
      <w:r>
        <w:rPr>
          <w:rFonts w:eastAsia="ヒラギノ角ゴ Pro W3" w:cs="Arial"/>
          <w:sz w:val="22"/>
          <w:szCs w:val="22"/>
          <w:lang w:eastAsia="en-US"/>
        </w:rPr>
        <w:t>.</w:t>
      </w:r>
    </w:p>
    <w:p w:rsidR="007A3CCE" w:rsidRPr="005F0CAC" w:rsidRDefault="007A3CCE" w:rsidP="007A3CCE">
      <w:pPr>
        <w:rPr>
          <w:rFonts w:eastAsia="ヒラギノ角ゴ Pro W3" w:cs="Arial"/>
          <w:sz w:val="22"/>
          <w:szCs w:val="22"/>
          <w:lang w:eastAsia="en-US"/>
        </w:rPr>
      </w:pPr>
    </w:p>
    <w:p w:rsidR="007A3CCE" w:rsidRPr="005F0CAC" w:rsidRDefault="007A3CCE" w:rsidP="007A3CCE">
      <w:pPr>
        <w:pStyle w:val="Ttulo3"/>
        <w:rPr>
          <w:rFonts w:eastAsia="ヒラギノ角ゴ Pro W3"/>
          <w:lang w:eastAsia="en-US"/>
        </w:rPr>
      </w:pPr>
      <w:r w:rsidRPr="005F0CAC">
        <w:rPr>
          <w:rFonts w:eastAsia="ヒラギノ角ゴ Pro W3"/>
          <w:lang w:eastAsia="en-US"/>
        </w:rPr>
        <w:t>Entrada en vigor</w:t>
      </w:r>
    </w:p>
    <w:p w:rsidR="007A3CCE" w:rsidRPr="005F0CAC" w:rsidRDefault="007A3CCE" w:rsidP="007A3CCE">
      <w:pPr>
        <w:rPr>
          <w:rFonts w:eastAsia="ヒラギノ角ゴ Pro W3" w:cs="Arial"/>
          <w:b/>
          <w:bCs/>
          <w:sz w:val="22"/>
          <w:szCs w:val="22"/>
          <w:lang w:eastAsia="en-US"/>
        </w:rPr>
      </w:pPr>
    </w:p>
    <w:p w:rsidR="007A3CCE" w:rsidRDefault="007A3CCE" w:rsidP="007A3CCE">
      <w:pPr>
        <w:rPr>
          <w:rFonts w:eastAsia="Calibri" w:cs="Arial"/>
          <w:sz w:val="22"/>
          <w:szCs w:val="22"/>
        </w:rPr>
      </w:pPr>
      <w:r w:rsidRPr="00F566B0">
        <w:rPr>
          <w:rFonts w:eastAsia="Arial" w:cs="Arial"/>
          <w:sz w:val="22"/>
          <w:szCs w:val="22"/>
          <w:lang w:bidi="es-ES"/>
        </w:rPr>
        <w:t xml:space="preserve">El </w:t>
      </w:r>
      <w:r w:rsidR="00683AA4">
        <w:rPr>
          <w:rFonts w:eastAsia="Arial" w:cs="Arial"/>
          <w:sz w:val="22"/>
          <w:szCs w:val="22"/>
          <w:lang w:bidi="es-ES"/>
        </w:rPr>
        <w:t>r</w:t>
      </w:r>
      <w:r w:rsidRPr="00F566B0">
        <w:rPr>
          <w:rFonts w:eastAsia="Arial" w:cs="Arial"/>
          <w:sz w:val="22"/>
          <w:szCs w:val="22"/>
          <w:lang w:bidi="es-ES"/>
        </w:rPr>
        <w:t xml:space="preserve">eal </w:t>
      </w:r>
      <w:r w:rsidR="00683AA4">
        <w:rPr>
          <w:rFonts w:eastAsia="Arial" w:cs="Arial"/>
          <w:sz w:val="22"/>
          <w:szCs w:val="22"/>
          <w:lang w:bidi="es-ES"/>
        </w:rPr>
        <w:t>d</w:t>
      </w:r>
      <w:r w:rsidRPr="00F566B0">
        <w:rPr>
          <w:rFonts w:eastAsia="Arial" w:cs="Arial"/>
          <w:sz w:val="22"/>
          <w:szCs w:val="22"/>
          <w:lang w:bidi="es-ES"/>
        </w:rPr>
        <w:t>ecreto entrará en vigor al día siguiente de su publicación en el Boletín Oficial del Estado.</w:t>
      </w:r>
      <w:r>
        <w:rPr>
          <w:rFonts w:eastAsia="Calibri" w:cs="Arial"/>
          <w:sz w:val="22"/>
          <w:szCs w:val="22"/>
        </w:rPr>
        <w:t xml:space="preserve"> </w:t>
      </w:r>
      <w:r w:rsidR="00683AA4">
        <w:rPr>
          <w:rFonts w:eastAsia="Calibri" w:cs="Arial"/>
          <w:sz w:val="22"/>
          <w:szCs w:val="22"/>
        </w:rPr>
        <w:t xml:space="preserve">Dado que no impone nuevas obligaciones a los operadores económicos, no se estima necesaria una entrada en vigor diferida de conformidad con el primer párrafo del artículo 23 de la Ley </w:t>
      </w:r>
      <w:r w:rsidR="00B820E6">
        <w:rPr>
          <w:rFonts w:eastAsia="Calibri" w:cs="Arial"/>
          <w:sz w:val="22"/>
          <w:szCs w:val="22"/>
        </w:rPr>
        <w:t>/1997, de 27 de noviembre.</w:t>
      </w:r>
    </w:p>
    <w:p w:rsidR="007A3CCE" w:rsidRDefault="007A3CCE" w:rsidP="007A3CCE">
      <w:pPr>
        <w:rPr>
          <w:rFonts w:eastAsia="Calibri" w:cs="Arial"/>
          <w:sz w:val="22"/>
          <w:szCs w:val="22"/>
        </w:rPr>
      </w:pPr>
    </w:p>
    <w:p w:rsidR="007A3CCE" w:rsidRPr="005F0CAC" w:rsidRDefault="007A3CCE" w:rsidP="007A3CCE">
      <w:pPr>
        <w:pStyle w:val="Ttulo3"/>
        <w:rPr>
          <w:rFonts w:eastAsia="ヒラギノ角ゴ Pro W3"/>
          <w:lang w:eastAsia="en-US"/>
        </w:rPr>
      </w:pPr>
      <w:r w:rsidRPr="005F0CAC">
        <w:rPr>
          <w:rFonts w:eastAsia="ヒラギノ角ゴ Pro W3"/>
          <w:lang w:eastAsia="en-US"/>
        </w:rPr>
        <w:t>Vigencia</w:t>
      </w:r>
    </w:p>
    <w:p w:rsidR="007A3CCE" w:rsidRPr="005F0CAC" w:rsidRDefault="007A3CCE" w:rsidP="007A3CCE">
      <w:pPr>
        <w:rPr>
          <w:rFonts w:eastAsia="ヒラギノ角ゴ Pro W3" w:cs="Arial"/>
          <w:b/>
          <w:sz w:val="22"/>
          <w:szCs w:val="22"/>
          <w:lang w:eastAsia="en-US"/>
        </w:rPr>
      </w:pPr>
    </w:p>
    <w:p w:rsidR="007A3CCE" w:rsidRDefault="007A3CCE" w:rsidP="007A3CCE">
      <w:pPr>
        <w:rPr>
          <w:rFonts w:cs="Arial"/>
          <w:sz w:val="22"/>
          <w:szCs w:val="22"/>
        </w:rPr>
      </w:pPr>
      <w:r w:rsidRPr="005F0CAC">
        <w:rPr>
          <w:rFonts w:cs="Arial"/>
          <w:sz w:val="22"/>
          <w:szCs w:val="22"/>
        </w:rPr>
        <w:t>La presente norma tendrá una vigencia indefinida desde el día de su entrada en vigor.</w:t>
      </w:r>
    </w:p>
    <w:p w:rsidR="007A3CCE" w:rsidRDefault="007A3CCE" w:rsidP="00D942A1">
      <w:pPr>
        <w:rPr>
          <w:rFonts w:cs="Arial"/>
          <w:color w:val="000000"/>
          <w:sz w:val="22"/>
          <w:szCs w:val="22"/>
        </w:rPr>
      </w:pPr>
    </w:p>
    <w:p w:rsidR="007A3CCE" w:rsidRDefault="007A3CCE" w:rsidP="007A3CCE">
      <w:pPr>
        <w:pStyle w:val="Ttulo1"/>
      </w:pPr>
      <w:r w:rsidRPr="00331816">
        <w:lastRenderedPageBreak/>
        <w:t xml:space="preserve">C) ADECUACIÓN DE LA </w:t>
      </w:r>
      <w:r>
        <w:t>NORMA</w:t>
      </w:r>
      <w:r w:rsidRPr="00331816">
        <w:t xml:space="preserve"> AL ORDEN DE DISTRIBUCIÓN DE COMPETENCIAS</w:t>
      </w:r>
    </w:p>
    <w:p w:rsidR="007A3CCE" w:rsidRDefault="007A3CCE" w:rsidP="007A3CCE">
      <w:pPr>
        <w:rPr>
          <w:rFonts w:cs="Arial"/>
          <w:sz w:val="22"/>
          <w:szCs w:val="22"/>
        </w:rPr>
      </w:pPr>
    </w:p>
    <w:p w:rsidR="007A3CCE" w:rsidRDefault="007A3CCE" w:rsidP="007A3CCE">
      <w:pPr>
        <w:rPr>
          <w:rFonts w:cs="Arial"/>
          <w:sz w:val="22"/>
          <w:szCs w:val="22"/>
        </w:rPr>
      </w:pPr>
      <w:r>
        <w:rPr>
          <w:rFonts w:cs="Arial"/>
          <w:sz w:val="22"/>
          <w:szCs w:val="22"/>
        </w:rPr>
        <w:t>El proyecto de real decreto</w:t>
      </w:r>
      <w:r w:rsidRPr="00EE741D">
        <w:rPr>
          <w:rFonts w:cs="Arial"/>
          <w:sz w:val="22"/>
          <w:szCs w:val="22"/>
        </w:rPr>
        <w:t xml:space="preserve"> se dicta al </w:t>
      </w:r>
      <w:r w:rsidRPr="001E5920">
        <w:rPr>
          <w:rFonts w:cs="Arial"/>
          <w:sz w:val="22"/>
          <w:szCs w:val="22"/>
        </w:rPr>
        <w:t>amparo de lo dispuesto en el artículo 149.</w:t>
      </w:r>
      <w:proofErr w:type="gramStart"/>
      <w:r w:rsidRPr="001E5920">
        <w:rPr>
          <w:rFonts w:cs="Arial"/>
          <w:sz w:val="22"/>
          <w:szCs w:val="22"/>
        </w:rPr>
        <w:t>1.</w:t>
      </w:r>
      <w:r w:rsidR="00494B17">
        <w:rPr>
          <w:rFonts w:cs="Arial"/>
          <w:sz w:val="22"/>
          <w:szCs w:val="22"/>
        </w:rPr>
        <w:t>13.ª</w:t>
      </w:r>
      <w:proofErr w:type="gramEnd"/>
      <w:r w:rsidRPr="001E5920">
        <w:rPr>
          <w:rFonts w:cs="Arial"/>
          <w:sz w:val="22"/>
          <w:szCs w:val="22"/>
        </w:rPr>
        <w:t xml:space="preserve"> </w:t>
      </w:r>
      <w:r w:rsidR="00494B17">
        <w:rPr>
          <w:rFonts w:cs="Arial"/>
          <w:sz w:val="22"/>
          <w:szCs w:val="22"/>
        </w:rPr>
        <w:t xml:space="preserve">y </w:t>
      </w:r>
      <w:r w:rsidRPr="001E5920">
        <w:rPr>
          <w:rFonts w:cs="Arial"/>
          <w:sz w:val="22"/>
          <w:szCs w:val="22"/>
        </w:rPr>
        <w:t>16.ª de la Constitución Española, que atribuye al Estado la competencia exclusiva</w:t>
      </w:r>
      <w:r>
        <w:rPr>
          <w:rFonts w:cs="Arial"/>
          <w:sz w:val="22"/>
          <w:szCs w:val="22"/>
        </w:rPr>
        <w:t>,</w:t>
      </w:r>
      <w:r w:rsidRPr="001E5920">
        <w:rPr>
          <w:rFonts w:cs="Arial"/>
          <w:sz w:val="22"/>
          <w:szCs w:val="22"/>
        </w:rPr>
        <w:t xml:space="preserve"> en materia de bases y coordinación general de la sanidad.</w:t>
      </w:r>
    </w:p>
    <w:p w:rsidR="007A3CCE" w:rsidRDefault="007A3CCE" w:rsidP="007A3CCE">
      <w:pPr>
        <w:rPr>
          <w:rFonts w:cs="Arial"/>
          <w:sz w:val="22"/>
          <w:szCs w:val="22"/>
        </w:rPr>
      </w:pPr>
    </w:p>
    <w:p w:rsidR="007A3CCE" w:rsidRDefault="007A3CCE" w:rsidP="007A3CCE">
      <w:pPr>
        <w:ind w:right="44"/>
        <w:rPr>
          <w:rFonts w:cs="Arial"/>
          <w:sz w:val="22"/>
          <w:szCs w:val="22"/>
        </w:rPr>
      </w:pPr>
      <w:r w:rsidRPr="0042306A">
        <w:rPr>
          <w:rFonts w:cs="Arial"/>
          <w:sz w:val="22"/>
          <w:szCs w:val="22"/>
        </w:rPr>
        <w:t>Se respeta en este sentido el orden constitucional de distribución de competencias.</w:t>
      </w:r>
    </w:p>
    <w:p w:rsidR="00683AA4" w:rsidRDefault="00683AA4" w:rsidP="00683AA4">
      <w:pPr>
        <w:pStyle w:val="Ttulo2"/>
        <w:rPr>
          <w:lang w:val="pt-PT"/>
        </w:rPr>
      </w:pPr>
    </w:p>
    <w:p w:rsidR="00683AA4" w:rsidRPr="00DE495A" w:rsidRDefault="00683AA4" w:rsidP="00683AA4">
      <w:pPr>
        <w:pStyle w:val="Ttulo2"/>
      </w:pPr>
      <w:r>
        <w:rPr>
          <w:lang w:val="pt-PT"/>
        </w:rPr>
        <w:t>D</w:t>
      </w:r>
      <w:r w:rsidRPr="001465AC">
        <w:rPr>
          <w:lang w:val="pt-PT"/>
        </w:rPr>
        <w:t xml:space="preserve">) </w:t>
      </w:r>
      <w:r w:rsidRPr="00DE495A">
        <w:t>TRAMITACIÓN</w:t>
      </w:r>
      <w:r>
        <w:t xml:space="preserve"> Y CONSULTAS</w:t>
      </w:r>
    </w:p>
    <w:p w:rsidR="00683AA4" w:rsidRPr="00DE495A" w:rsidRDefault="00683AA4" w:rsidP="00683AA4">
      <w:pPr>
        <w:rPr>
          <w:rFonts w:cs="Arial"/>
          <w:sz w:val="22"/>
          <w:szCs w:val="22"/>
        </w:rPr>
      </w:pPr>
    </w:p>
    <w:p w:rsidR="00683AA4" w:rsidRDefault="00683AA4" w:rsidP="00683AA4">
      <w:pPr>
        <w:rPr>
          <w:rFonts w:cs="Arial"/>
          <w:sz w:val="22"/>
          <w:szCs w:val="22"/>
        </w:rPr>
      </w:pPr>
      <w:r w:rsidRPr="00DE495A">
        <w:rPr>
          <w:rFonts w:cs="Arial"/>
          <w:sz w:val="22"/>
          <w:szCs w:val="22"/>
        </w:rPr>
        <w:t xml:space="preserve">En la tramitación del presente </w:t>
      </w:r>
      <w:r>
        <w:rPr>
          <w:rFonts w:cs="Arial"/>
          <w:sz w:val="22"/>
          <w:szCs w:val="22"/>
        </w:rPr>
        <w:t>real decreto</w:t>
      </w:r>
      <w:r w:rsidRPr="00DE495A">
        <w:rPr>
          <w:rFonts w:cs="Arial"/>
          <w:sz w:val="22"/>
          <w:szCs w:val="22"/>
        </w:rPr>
        <w:t xml:space="preserve"> se han </w:t>
      </w:r>
      <w:r>
        <w:rPr>
          <w:rFonts w:cs="Arial"/>
          <w:sz w:val="22"/>
          <w:szCs w:val="22"/>
        </w:rPr>
        <w:t>previsto los siguientes pasos</w:t>
      </w:r>
      <w:r w:rsidRPr="00DE495A">
        <w:rPr>
          <w:rFonts w:cs="Arial"/>
          <w:sz w:val="22"/>
          <w:szCs w:val="22"/>
        </w:rPr>
        <w:t>:</w:t>
      </w:r>
    </w:p>
    <w:p w:rsidR="00683AA4" w:rsidRPr="0003079D" w:rsidRDefault="00683AA4" w:rsidP="00683AA4">
      <w:pPr>
        <w:rPr>
          <w:rFonts w:cs="Arial"/>
          <w:sz w:val="22"/>
          <w:szCs w:val="22"/>
        </w:rPr>
      </w:pPr>
    </w:p>
    <w:p w:rsidR="00683AA4" w:rsidRDefault="00683AA4" w:rsidP="00683AA4">
      <w:pPr>
        <w:numPr>
          <w:ilvl w:val="0"/>
          <w:numId w:val="2"/>
        </w:numPr>
        <w:rPr>
          <w:rFonts w:cs="Arial"/>
          <w:sz w:val="22"/>
          <w:szCs w:val="22"/>
        </w:rPr>
      </w:pPr>
      <w:r w:rsidRPr="0003079D">
        <w:rPr>
          <w:rFonts w:cs="Arial"/>
          <w:sz w:val="22"/>
          <w:szCs w:val="22"/>
        </w:rPr>
        <w:t xml:space="preserve">Consulta pública previa </w:t>
      </w:r>
      <w:r w:rsidRPr="00DE495A">
        <w:rPr>
          <w:rFonts w:cs="Arial"/>
          <w:sz w:val="22"/>
          <w:szCs w:val="22"/>
        </w:rPr>
        <w:t>de conformidad con el artículo 26</w:t>
      </w:r>
      <w:r>
        <w:rPr>
          <w:rFonts w:cs="Arial"/>
          <w:sz w:val="22"/>
          <w:szCs w:val="22"/>
        </w:rPr>
        <w:t>.2</w:t>
      </w:r>
      <w:r w:rsidRPr="00DE495A">
        <w:rPr>
          <w:rFonts w:cs="Arial"/>
          <w:sz w:val="22"/>
          <w:szCs w:val="22"/>
        </w:rPr>
        <w:t xml:space="preserve"> de la Ley 50/1997, de 27 de noviembre, del Gobierno, a través del portal web del Ministerio de </w:t>
      </w:r>
      <w:r>
        <w:rPr>
          <w:rFonts w:cs="Arial"/>
          <w:sz w:val="22"/>
          <w:szCs w:val="22"/>
        </w:rPr>
        <w:t>Consumo.</w:t>
      </w:r>
    </w:p>
    <w:p w:rsidR="00683AA4" w:rsidRDefault="00683AA4" w:rsidP="00683AA4">
      <w:pPr>
        <w:numPr>
          <w:ilvl w:val="0"/>
          <w:numId w:val="2"/>
        </w:numPr>
        <w:rPr>
          <w:rFonts w:cs="Arial"/>
          <w:sz w:val="22"/>
          <w:szCs w:val="22"/>
        </w:rPr>
      </w:pPr>
      <w:r>
        <w:rPr>
          <w:rFonts w:cs="Arial"/>
          <w:sz w:val="22"/>
          <w:szCs w:val="22"/>
        </w:rPr>
        <w:t>T</w:t>
      </w:r>
      <w:r w:rsidRPr="0078245A">
        <w:rPr>
          <w:rFonts w:cs="Arial"/>
          <w:sz w:val="22"/>
          <w:szCs w:val="22"/>
        </w:rPr>
        <w:t xml:space="preserve">rámite de audiencia e información pública </w:t>
      </w:r>
      <w:r>
        <w:rPr>
          <w:rFonts w:cs="Arial"/>
          <w:sz w:val="22"/>
          <w:szCs w:val="22"/>
        </w:rPr>
        <w:t>de conformidad con</w:t>
      </w:r>
      <w:r w:rsidRPr="0078245A">
        <w:rPr>
          <w:rFonts w:cs="Arial"/>
          <w:sz w:val="22"/>
          <w:szCs w:val="22"/>
        </w:rPr>
        <w:t xml:space="preserve"> el artículo 26.6 de la Ley 50/1997, de 27 de noviembre, </w:t>
      </w:r>
      <w:r w:rsidRPr="00DE495A">
        <w:rPr>
          <w:rFonts w:cs="Arial"/>
          <w:sz w:val="22"/>
          <w:szCs w:val="22"/>
        </w:rPr>
        <w:t xml:space="preserve">a través del portal web del Ministerio de </w:t>
      </w:r>
      <w:r>
        <w:rPr>
          <w:rFonts w:cs="Arial"/>
          <w:sz w:val="22"/>
          <w:szCs w:val="22"/>
        </w:rPr>
        <w:t>Consumo.</w:t>
      </w:r>
    </w:p>
    <w:p w:rsidR="00683AA4" w:rsidRDefault="00683AA4" w:rsidP="00683AA4">
      <w:pPr>
        <w:numPr>
          <w:ilvl w:val="0"/>
          <w:numId w:val="2"/>
        </w:numPr>
        <w:rPr>
          <w:rFonts w:cs="Arial"/>
          <w:sz w:val="22"/>
          <w:szCs w:val="22"/>
        </w:rPr>
      </w:pPr>
      <w:r>
        <w:rPr>
          <w:rFonts w:cs="Arial"/>
          <w:sz w:val="22"/>
          <w:szCs w:val="22"/>
        </w:rPr>
        <w:t>C</w:t>
      </w:r>
      <w:r w:rsidRPr="0078245A">
        <w:rPr>
          <w:rFonts w:cs="Arial"/>
          <w:sz w:val="22"/>
          <w:szCs w:val="22"/>
        </w:rPr>
        <w:t>onsulta e informe de las Comunidades Autónomas y ciudades de Ceuta y Melilla.</w:t>
      </w:r>
    </w:p>
    <w:p w:rsidR="00683AA4" w:rsidRPr="0078245A" w:rsidRDefault="00683AA4" w:rsidP="00683AA4">
      <w:pPr>
        <w:numPr>
          <w:ilvl w:val="0"/>
          <w:numId w:val="2"/>
        </w:numPr>
        <w:rPr>
          <w:rFonts w:cs="Arial"/>
          <w:sz w:val="22"/>
          <w:szCs w:val="22"/>
        </w:rPr>
      </w:pPr>
      <w:r w:rsidRPr="0078245A">
        <w:rPr>
          <w:rFonts w:cs="Arial"/>
          <w:sz w:val="22"/>
          <w:szCs w:val="22"/>
        </w:rPr>
        <w:t>Informe de las Secretarías Generales Técnicas de los Ministerios proponentes, de acuerdo con lo previsto en el artículo 26.5 párrafo cuarto de la Ley 50/1997, de 27 de noviembre, del Gobierno.</w:t>
      </w:r>
    </w:p>
    <w:p w:rsidR="00683AA4" w:rsidRPr="0078245A" w:rsidRDefault="00683AA4" w:rsidP="00683AA4">
      <w:pPr>
        <w:numPr>
          <w:ilvl w:val="0"/>
          <w:numId w:val="2"/>
        </w:numPr>
        <w:rPr>
          <w:rFonts w:cs="Arial"/>
          <w:sz w:val="22"/>
          <w:szCs w:val="22"/>
        </w:rPr>
      </w:pPr>
      <w:r w:rsidRPr="0078245A">
        <w:rPr>
          <w:rFonts w:cs="Arial"/>
          <w:sz w:val="22"/>
          <w:szCs w:val="22"/>
        </w:rPr>
        <w:lastRenderedPageBreak/>
        <w:t>Informe de las Secretarías Generales Técnicas de los Ministerios que resultan afectados, de acuerdo con lo previsto en el artículo 26.5 párrafo primero de la Ley 50/1997, de 27 de noviembre, del Gobierno.</w:t>
      </w:r>
    </w:p>
    <w:p w:rsidR="00683AA4" w:rsidRDefault="00683AA4" w:rsidP="00683AA4">
      <w:pPr>
        <w:numPr>
          <w:ilvl w:val="0"/>
          <w:numId w:val="2"/>
        </w:numPr>
        <w:rPr>
          <w:rFonts w:cs="Arial"/>
          <w:sz w:val="22"/>
          <w:szCs w:val="22"/>
        </w:rPr>
      </w:pPr>
      <w:r w:rsidRPr="0078245A">
        <w:rPr>
          <w:rFonts w:cs="Arial"/>
          <w:sz w:val="22"/>
          <w:szCs w:val="22"/>
        </w:rPr>
        <w:t>Informe del Ministerio de Política Territorial, acerca de la adecuación del proyecto al orden constitucional de distribución de competencias entre el Estado y las Comunidades Autónomas, de conformidad con el artículo 26.5, párrafo sexto de la citada Ley 50/2007, de 27 de noviembre.</w:t>
      </w:r>
    </w:p>
    <w:p w:rsidR="00055850" w:rsidRPr="0078245A" w:rsidRDefault="00055850" w:rsidP="00683AA4">
      <w:pPr>
        <w:numPr>
          <w:ilvl w:val="0"/>
          <w:numId w:val="2"/>
        </w:numPr>
        <w:rPr>
          <w:rFonts w:cs="Arial"/>
          <w:sz w:val="22"/>
          <w:szCs w:val="22"/>
        </w:rPr>
      </w:pPr>
      <w:r w:rsidRPr="0078245A">
        <w:rPr>
          <w:rFonts w:cs="Arial"/>
          <w:sz w:val="22"/>
          <w:szCs w:val="22"/>
        </w:rPr>
        <w:t>Informe del Consejo de Consumidores y Usuarios, de acuerdo con el artículo 39.2 del texto refundido de la Ley General de Defensa de los Consumidores y Usuarios, aprobado por Real Decreto Legislativo 1/2007, de 16 de noviembre.</w:t>
      </w:r>
    </w:p>
    <w:p w:rsidR="00683AA4" w:rsidRPr="0078245A" w:rsidRDefault="00683AA4" w:rsidP="00683AA4">
      <w:pPr>
        <w:numPr>
          <w:ilvl w:val="0"/>
          <w:numId w:val="2"/>
        </w:numPr>
        <w:rPr>
          <w:rFonts w:cs="Arial"/>
          <w:sz w:val="22"/>
          <w:szCs w:val="22"/>
        </w:rPr>
      </w:pPr>
      <w:r w:rsidRPr="0078245A">
        <w:rPr>
          <w:rFonts w:cs="Arial"/>
          <w:sz w:val="22"/>
          <w:szCs w:val="22"/>
        </w:rPr>
        <w:lastRenderedPageBreak/>
        <w:t>Informe de la Oficina de Coordinación y de Calidad Normativa del Ministerio de Presidencia, Relaciones con las Cortes y Memoria Democrática, en cumplimiento del artículo 26.9 de la Ley 50/1997, de 27 de noviembre.</w:t>
      </w:r>
    </w:p>
    <w:p w:rsidR="00683AA4" w:rsidRPr="0078245A" w:rsidRDefault="00683AA4" w:rsidP="00683AA4">
      <w:pPr>
        <w:numPr>
          <w:ilvl w:val="0"/>
          <w:numId w:val="2"/>
        </w:numPr>
        <w:rPr>
          <w:rFonts w:cs="Arial"/>
          <w:sz w:val="22"/>
          <w:szCs w:val="22"/>
        </w:rPr>
      </w:pPr>
      <w:r w:rsidRPr="0078245A">
        <w:rPr>
          <w:rFonts w:cs="Arial"/>
          <w:sz w:val="22"/>
          <w:szCs w:val="22"/>
        </w:rPr>
        <w:t>Informe de la Comisión Interministerial para la Ordenación Alimentaria.</w:t>
      </w:r>
    </w:p>
    <w:p w:rsidR="00683AA4" w:rsidRPr="0078245A" w:rsidRDefault="00683AA4" w:rsidP="00683AA4">
      <w:pPr>
        <w:numPr>
          <w:ilvl w:val="0"/>
          <w:numId w:val="2"/>
        </w:numPr>
        <w:rPr>
          <w:rFonts w:cs="Arial"/>
          <w:sz w:val="22"/>
          <w:szCs w:val="22"/>
        </w:rPr>
      </w:pPr>
      <w:r w:rsidRPr="004635EB">
        <w:rPr>
          <w:rFonts w:eastAsia="ヒラギノ角ゴ Pro W3" w:cs="Arial"/>
          <w:sz w:val="22"/>
          <w:szCs w:val="22"/>
          <w:lang w:eastAsia="en-US"/>
        </w:rPr>
        <w:t>Comunicación a la Comisión Europea en aplicación del procedimiento previsto en la Directiva (UE) 2015/1535 del Parlamento Europeo y del Consejo, de 9 de septiembre de 2015</w:t>
      </w:r>
      <w:r>
        <w:rPr>
          <w:rFonts w:eastAsia="ヒラギノ角ゴ Pro W3" w:cs="Arial"/>
          <w:sz w:val="22"/>
          <w:szCs w:val="22"/>
          <w:lang w:eastAsia="en-US"/>
        </w:rPr>
        <w:t xml:space="preserve"> </w:t>
      </w:r>
      <w:r w:rsidRPr="0004380D">
        <w:rPr>
          <w:rFonts w:eastAsia="ヒラギノ角ゴ Pro W3" w:cs="Arial"/>
          <w:sz w:val="22"/>
          <w:szCs w:val="22"/>
          <w:lang w:eastAsia="en-US"/>
        </w:rPr>
        <w:t>por la que se establece un procedimiento de información en materia de reglamentaciones técnicas y de reglas relativas a los servicios de la sociedad de la información</w:t>
      </w:r>
      <w:r w:rsidRPr="004635EB">
        <w:rPr>
          <w:rFonts w:eastAsia="ヒラギノ角ゴ Pro W3" w:cs="Arial"/>
          <w:sz w:val="22"/>
          <w:szCs w:val="22"/>
          <w:lang w:eastAsia="en-US"/>
        </w:rPr>
        <w:t>.</w:t>
      </w:r>
    </w:p>
    <w:p w:rsidR="00683AA4" w:rsidRPr="0078245A" w:rsidRDefault="00683AA4" w:rsidP="00683AA4">
      <w:pPr>
        <w:numPr>
          <w:ilvl w:val="0"/>
          <w:numId w:val="2"/>
        </w:numPr>
        <w:rPr>
          <w:rFonts w:cs="Arial"/>
          <w:sz w:val="22"/>
          <w:szCs w:val="22"/>
        </w:rPr>
      </w:pPr>
      <w:r>
        <w:rPr>
          <w:rFonts w:cs="Arial"/>
          <w:sz w:val="22"/>
          <w:szCs w:val="22"/>
        </w:rPr>
        <w:lastRenderedPageBreak/>
        <w:t>D</w:t>
      </w:r>
      <w:r w:rsidRPr="0078245A">
        <w:rPr>
          <w:rFonts w:cs="Arial"/>
          <w:sz w:val="22"/>
          <w:szCs w:val="22"/>
        </w:rPr>
        <w:t>ictamen del Consejo de Estado</w:t>
      </w:r>
      <w:r w:rsidR="003C306C">
        <w:rPr>
          <w:rFonts w:cs="Arial"/>
          <w:sz w:val="22"/>
          <w:szCs w:val="22"/>
        </w:rPr>
        <w:t>, de conformidad con lo establecido en el artículo 22. Dos de la Ley Orgánica 3/1980, de 22 de abril, del Consejo de Estado</w:t>
      </w:r>
      <w:r w:rsidRPr="0078245A">
        <w:rPr>
          <w:rFonts w:cs="Arial"/>
          <w:sz w:val="22"/>
          <w:szCs w:val="22"/>
        </w:rPr>
        <w:t>.</w:t>
      </w:r>
    </w:p>
    <w:p w:rsidR="00683AA4" w:rsidRDefault="00683AA4" w:rsidP="00683AA4">
      <w:pPr>
        <w:rPr>
          <w:rFonts w:cs="Arial"/>
          <w:sz w:val="22"/>
          <w:szCs w:val="22"/>
        </w:rPr>
      </w:pPr>
    </w:p>
    <w:p w:rsidR="00683AA4" w:rsidRDefault="00055850" w:rsidP="00683AA4">
      <w:pPr>
        <w:ind w:right="44"/>
        <w:rPr>
          <w:rFonts w:cs="Arial"/>
          <w:sz w:val="22"/>
          <w:szCs w:val="22"/>
        </w:rPr>
      </w:pPr>
      <w:r>
        <w:rPr>
          <w:rFonts w:cs="Arial"/>
          <w:sz w:val="22"/>
          <w:szCs w:val="22"/>
        </w:rPr>
        <w:t>S</w:t>
      </w:r>
      <w:r w:rsidR="00683AA4">
        <w:rPr>
          <w:rFonts w:cs="Arial"/>
          <w:sz w:val="22"/>
          <w:szCs w:val="22"/>
        </w:rPr>
        <w:t>e han llevado a cabo los siguientes trámites:</w:t>
      </w:r>
    </w:p>
    <w:p w:rsidR="00683AA4" w:rsidRDefault="00683AA4" w:rsidP="00683AA4">
      <w:pPr>
        <w:ind w:right="44"/>
        <w:rPr>
          <w:rFonts w:cs="Arial"/>
          <w:sz w:val="22"/>
          <w:szCs w:val="22"/>
        </w:rPr>
      </w:pPr>
    </w:p>
    <w:p w:rsidR="00683AA4" w:rsidRPr="001765E3" w:rsidRDefault="00683AA4" w:rsidP="00683AA4">
      <w:pPr>
        <w:pStyle w:val="Ttulo4"/>
        <w:rPr>
          <w:b w:val="0"/>
        </w:rPr>
      </w:pPr>
      <w:r w:rsidRPr="001765E3">
        <w:t>Consulta pública previa</w:t>
      </w:r>
    </w:p>
    <w:p w:rsidR="00683AA4" w:rsidRDefault="00683AA4" w:rsidP="00683AA4">
      <w:pPr>
        <w:ind w:right="44"/>
        <w:rPr>
          <w:rFonts w:cs="Arial"/>
          <w:sz w:val="22"/>
          <w:szCs w:val="22"/>
        </w:rPr>
      </w:pPr>
    </w:p>
    <w:p w:rsidR="00683AA4" w:rsidRDefault="00683AA4" w:rsidP="00683AA4">
      <w:pPr>
        <w:ind w:right="44"/>
        <w:rPr>
          <w:rFonts w:cs="Arial"/>
          <w:sz w:val="22"/>
          <w:szCs w:val="22"/>
        </w:rPr>
      </w:pPr>
      <w:r>
        <w:rPr>
          <w:rFonts w:cs="Arial"/>
          <w:sz w:val="22"/>
          <w:szCs w:val="22"/>
        </w:rPr>
        <w:t>D</w:t>
      </w:r>
      <w:r w:rsidRPr="00DE495A">
        <w:rPr>
          <w:rFonts w:cs="Arial"/>
          <w:sz w:val="22"/>
          <w:szCs w:val="22"/>
        </w:rPr>
        <w:t>e conformidad con el artículo 26</w:t>
      </w:r>
      <w:r>
        <w:rPr>
          <w:rFonts w:cs="Arial"/>
          <w:sz w:val="22"/>
          <w:szCs w:val="22"/>
        </w:rPr>
        <w:t>.2</w:t>
      </w:r>
      <w:r w:rsidRPr="00DE495A">
        <w:rPr>
          <w:rFonts w:cs="Arial"/>
          <w:sz w:val="22"/>
          <w:szCs w:val="22"/>
        </w:rPr>
        <w:t xml:space="preserve"> de la Ley 50/1997, de 27 de noviembre, del Gobierno, </w:t>
      </w:r>
      <w:r>
        <w:rPr>
          <w:rFonts w:cs="Arial"/>
          <w:sz w:val="22"/>
          <w:szCs w:val="22"/>
        </w:rPr>
        <w:t xml:space="preserve">se </w:t>
      </w:r>
      <w:r w:rsidRPr="00BD4DCF">
        <w:rPr>
          <w:rFonts w:cs="Arial"/>
          <w:sz w:val="22"/>
          <w:szCs w:val="22"/>
        </w:rPr>
        <w:t>ha sometido a consulta pública previa</w:t>
      </w:r>
      <w:r>
        <w:rPr>
          <w:rFonts w:cs="Arial"/>
          <w:sz w:val="22"/>
          <w:szCs w:val="22"/>
        </w:rPr>
        <w:t>,</w:t>
      </w:r>
      <w:r w:rsidRPr="00BD4DCF">
        <w:rPr>
          <w:rFonts w:cs="Arial"/>
          <w:sz w:val="22"/>
          <w:szCs w:val="22"/>
        </w:rPr>
        <w:t xml:space="preserve"> a través de la página web del Ministerio de </w:t>
      </w:r>
      <w:r>
        <w:rPr>
          <w:rFonts w:cs="Arial"/>
          <w:sz w:val="22"/>
          <w:szCs w:val="22"/>
        </w:rPr>
        <w:t xml:space="preserve">Consumo, desde el 4 de junio hasta el 25 de junio de 2021, </w:t>
      </w:r>
      <w:r w:rsidR="00EF5E14">
        <w:rPr>
          <w:rFonts w:cs="Arial"/>
          <w:sz w:val="22"/>
          <w:szCs w:val="22"/>
        </w:rPr>
        <w:t>habiendo recibido comentarios de 6 asociaciones nacionales y 5 empresas.</w:t>
      </w:r>
      <w:r>
        <w:rPr>
          <w:rFonts w:cs="Arial"/>
          <w:sz w:val="22"/>
          <w:szCs w:val="22"/>
        </w:rPr>
        <w:t xml:space="preserve"> </w:t>
      </w:r>
    </w:p>
    <w:p w:rsidR="00147BAB" w:rsidRDefault="00147BAB" w:rsidP="00683AA4">
      <w:pPr>
        <w:ind w:right="44"/>
        <w:rPr>
          <w:rFonts w:cs="Arial"/>
          <w:sz w:val="22"/>
          <w:szCs w:val="22"/>
        </w:rPr>
      </w:pPr>
    </w:p>
    <w:p w:rsidR="00BA06BB" w:rsidRDefault="00BA06BB" w:rsidP="00BA06BB">
      <w:pPr>
        <w:ind w:right="44"/>
        <w:rPr>
          <w:rFonts w:cs="Arial"/>
          <w:sz w:val="22"/>
          <w:szCs w:val="22"/>
        </w:rPr>
      </w:pPr>
    </w:p>
    <w:p w:rsidR="00BA06BB" w:rsidRPr="008F441A" w:rsidRDefault="00BA06BB" w:rsidP="00BA06BB">
      <w:pPr>
        <w:pStyle w:val="Ttulo4"/>
      </w:pPr>
      <w:r w:rsidRPr="008F441A">
        <w:lastRenderedPageBreak/>
        <w:t>Audiencia e información pública</w:t>
      </w:r>
      <w:r w:rsidRPr="008F441A" w:rsidDel="003610A6">
        <w:t xml:space="preserve"> </w:t>
      </w:r>
    </w:p>
    <w:p w:rsidR="00BA06BB" w:rsidRDefault="00BA06BB" w:rsidP="00BA06BB">
      <w:pPr>
        <w:ind w:right="44"/>
        <w:rPr>
          <w:rFonts w:cs="Arial"/>
          <w:sz w:val="22"/>
          <w:szCs w:val="22"/>
        </w:rPr>
      </w:pPr>
    </w:p>
    <w:p w:rsidR="00BA06BB" w:rsidRDefault="00BA06BB" w:rsidP="00BA06BB">
      <w:pPr>
        <w:ind w:right="44"/>
        <w:rPr>
          <w:rFonts w:cs="Arial"/>
          <w:sz w:val="22"/>
          <w:szCs w:val="22"/>
        </w:rPr>
      </w:pPr>
      <w:r>
        <w:rPr>
          <w:rFonts w:cs="Arial"/>
          <w:sz w:val="22"/>
          <w:szCs w:val="22"/>
        </w:rPr>
        <w:t>De conformidad con</w:t>
      </w:r>
      <w:r w:rsidRPr="0078245A">
        <w:rPr>
          <w:rFonts w:cs="Arial"/>
          <w:sz w:val="22"/>
          <w:szCs w:val="22"/>
        </w:rPr>
        <w:t xml:space="preserve"> el artículo 26.6 de la Ley 50/1997, de 27 de noviembre,</w:t>
      </w:r>
      <w:r>
        <w:rPr>
          <w:rFonts w:cs="Arial"/>
          <w:sz w:val="22"/>
          <w:szCs w:val="22"/>
        </w:rPr>
        <w:t xml:space="preserve"> el proyecto se publica</w:t>
      </w:r>
      <w:r w:rsidRPr="00BD4DCF">
        <w:rPr>
          <w:rFonts w:cs="Arial"/>
          <w:sz w:val="22"/>
          <w:szCs w:val="22"/>
        </w:rPr>
        <w:t xml:space="preserve"> para conocimiento y propuesta del público en general, en la fase de audiencia e información pública</w:t>
      </w:r>
      <w:r>
        <w:rPr>
          <w:rFonts w:cs="Arial"/>
          <w:sz w:val="22"/>
          <w:szCs w:val="22"/>
        </w:rPr>
        <w:t>,</w:t>
      </w:r>
      <w:r w:rsidRPr="00BD4DCF">
        <w:rPr>
          <w:rFonts w:cs="Arial"/>
          <w:sz w:val="22"/>
          <w:szCs w:val="22"/>
        </w:rPr>
        <w:t xml:space="preserve"> en la página web del Ministerio de </w:t>
      </w:r>
      <w:r>
        <w:rPr>
          <w:rFonts w:cs="Arial"/>
          <w:sz w:val="22"/>
          <w:szCs w:val="22"/>
        </w:rPr>
        <w:t xml:space="preserve">Consumo, desde el día </w:t>
      </w:r>
      <w:r w:rsidR="001E5CAD">
        <w:rPr>
          <w:rFonts w:cs="Arial"/>
          <w:sz w:val="22"/>
          <w:szCs w:val="22"/>
        </w:rPr>
        <w:t>12 de enero</w:t>
      </w:r>
      <w:r>
        <w:rPr>
          <w:rFonts w:cs="Arial"/>
          <w:sz w:val="22"/>
          <w:szCs w:val="22"/>
        </w:rPr>
        <w:t xml:space="preserve"> hasta el día </w:t>
      </w:r>
      <w:r w:rsidR="001E5CAD">
        <w:rPr>
          <w:rFonts w:cs="Arial"/>
          <w:sz w:val="22"/>
          <w:szCs w:val="22"/>
        </w:rPr>
        <w:t>3</w:t>
      </w:r>
      <w:r>
        <w:rPr>
          <w:rFonts w:cs="Arial"/>
          <w:sz w:val="22"/>
          <w:szCs w:val="22"/>
        </w:rPr>
        <w:t xml:space="preserve"> de </w:t>
      </w:r>
      <w:r w:rsidR="001E5CAD">
        <w:rPr>
          <w:rFonts w:cs="Arial"/>
          <w:sz w:val="22"/>
          <w:szCs w:val="22"/>
        </w:rPr>
        <w:t>febrero</w:t>
      </w:r>
      <w:r>
        <w:rPr>
          <w:rFonts w:cs="Arial"/>
          <w:sz w:val="22"/>
          <w:szCs w:val="22"/>
        </w:rPr>
        <w:t xml:space="preserve"> de 2023.</w:t>
      </w:r>
    </w:p>
    <w:p w:rsidR="00BA06BB" w:rsidRDefault="00BA06BB" w:rsidP="00BA06BB">
      <w:pPr>
        <w:ind w:right="44"/>
        <w:rPr>
          <w:rFonts w:cs="Arial"/>
          <w:sz w:val="22"/>
          <w:szCs w:val="22"/>
        </w:rPr>
      </w:pPr>
    </w:p>
    <w:p w:rsidR="00BA06BB" w:rsidRDefault="00BA06BB" w:rsidP="00176001">
      <w:pPr>
        <w:spacing w:after="160" w:line="259" w:lineRule="auto"/>
        <w:jc w:val="left"/>
        <w:rPr>
          <w:rFonts w:cs="Arial"/>
          <w:sz w:val="22"/>
          <w:szCs w:val="22"/>
        </w:rPr>
      </w:pPr>
      <w:r>
        <w:rPr>
          <w:rFonts w:cs="Arial"/>
          <w:sz w:val="22"/>
          <w:szCs w:val="22"/>
        </w:rPr>
        <w:t xml:space="preserve">Durante el periodo de audiencia e información pública se ha recibido </w:t>
      </w:r>
      <w:r w:rsidR="00176001">
        <w:rPr>
          <w:rFonts w:cs="Arial"/>
          <w:sz w:val="22"/>
          <w:szCs w:val="22"/>
        </w:rPr>
        <w:t>las siguientes</w:t>
      </w:r>
      <w:r w:rsidR="001E5CAD">
        <w:rPr>
          <w:rFonts w:cs="Arial"/>
          <w:sz w:val="22"/>
          <w:szCs w:val="22"/>
        </w:rPr>
        <w:t xml:space="preserve"> </w:t>
      </w:r>
      <w:r w:rsidR="00176001">
        <w:rPr>
          <w:rFonts w:cs="Arial"/>
          <w:sz w:val="22"/>
          <w:szCs w:val="22"/>
        </w:rPr>
        <w:t>observaciones:</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 xml:space="preserve">PROQUIMIA S.A. Informe recibido el </w:t>
      </w:r>
      <w:r>
        <w:rPr>
          <w:rFonts w:ascii="Arial" w:hAnsi="Arial" w:cs="Arial"/>
          <w:sz w:val="22"/>
          <w:szCs w:val="22"/>
        </w:rPr>
        <w:t>20 de enero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Sra. Dª. M</w:t>
      </w:r>
      <w:r w:rsidR="00262301">
        <w:rPr>
          <w:rFonts w:ascii="Arial" w:hAnsi="Arial" w:cs="Arial"/>
          <w:sz w:val="22"/>
          <w:szCs w:val="22"/>
        </w:rPr>
        <w:t>MMMM</w:t>
      </w:r>
      <w:r w:rsidRPr="00176001">
        <w:rPr>
          <w:rFonts w:ascii="Arial" w:hAnsi="Arial" w:cs="Arial"/>
          <w:sz w:val="22"/>
          <w:szCs w:val="22"/>
        </w:rPr>
        <w:t xml:space="preserve"> </w:t>
      </w:r>
      <w:r w:rsidR="00262301">
        <w:rPr>
          <w:rFonts w:ascii="Arial" w:hAnsi="Arial" w:cs="Arial"/>
          <w:sz w:val="22"/>
          <w:szCs w:val="22"/>
        </w:rPr>
        <w:t>XXXXX YYYYY</w:t>
      </w:r>
      <w:r w:rsidRPr="00176001">
        <w:rPr>
          <w:rFonts w:ascii="Arial" w:hAnsi="Arial" w:cs="Arial"/>
          <w:sz w:val="22"/>
          <w:szCs w:val="22"/>
        </w:rPr>
        <w:t>. Farmacéutica EAP Plasencia I.</w:t>
      </w:r>
      <w:r>
        <w:rPr>
          <w:rFonts w:ascii="Arial" w:hAnsi="Arial" w:cs="Arial"/>
          <w:sz w:val="22"/>
          <w:szCs w:val="22"/>
        </w:rPr>
        <w:t xml:space="preserve"> </w:t>
      </w:r>
      <w:r w:rsidRPr="00176001">
        <w:rPr>
          <w:rFonts w:ascii="Arial" w:hAnsi="Arial" w:cs="Arial"/>
          <w:sz w:val="22"/>
          <w:szCs w:val="22"/>
        </w:rPr>
        <w:t>Informe recibido el</w:t>
      </w:r>
      <w:r>
        <w:rPr>
          <w:rFonts w:ascii="Arial" w:hAnsi="Arial" w:cs="Arial"/>
          <w:sz w:val="22"/>
          <w:szCs w:val="22"/>
        </w:rPr>
        <w:t xml:space="preserve"> 27 de enero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lastRenderedPageBreak/>
        <w:t>Asociación de Salinas Marinas (ASOSALIMAR).</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1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Federación Nacional de Industrias Lácteas (</w:t>
      </w:r>
      <w:proofErr w:type="spellStart"/>
      <w:r w:rsidRPr="00176001">
        <w:rPr>
          <w:rFonts w:ascii="Arial" w:hAnsi="Arial" w:cs="Arial"/>
          <w:sz w:val="22"/>
          <w:szCs w:val="22"/>
        </w:rPr>
        <w:t>FeNIL</w:t>
      </w:r>
      <w:proofErr w:type="spellEnd"/>
      <w:r w:rsidRPr="00176001">
        <w:rPr>
          <w:rFonts w:ascii="Arial" w:hAnsi="Arial" w:cs="Arial"/>
          <w:sz w:val="22"/>
          <w:szCs w:val="22"/>
        </w:rPr>
        <w:t>).</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2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SANICITRUS S.L.</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2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Asociación Nacional de Industrias Extractivas y Afines (AINDEX).</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2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Federación Española de Industrias de Alimentación y Bebidas (FIAB).</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2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AGROFRESH.</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2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Asociación de Exportadores de Aceitunas de Mesa (ASEMESA).</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2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lastRenderedPageBreak/>
        <w:t>Asociación Española del Dulce (PRODULCE).</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2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 xml:space="preserve">Zumos y Gazpachos de España. </w:t>
      </w:r>
      <w:r w:rsidRPr="000F503D">
        <w:rPr>
          <w:rFonts w:ascii="Arial" w:hAnsi="Arial" w:cs="Arial"/>
          <w:sz w:val="22"/>
          <w:szCs w:val="22"/>
        </w:rPr>
        <w:t>Informe recibido el</w:t>
      </w:r>
      <w:r>
        <w:rPr>
          <w:rFonts w:ascii="Arial" w:hAnsi="Arial" w:cs="Arial"/>
          <w:sz w:val="22"/>
          <w:szCs w:val="22"/>
        </w:rPr>
        <w:t xml:space="preserve"> 2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proofErr w:type="spellStart"/>
      <w:r w:rsidRPr="00176001">
        <w:rPr>
          <w:rFonts w:ascii="Arial" w:hAnsi="Arial" w:cs="Arial"/>
          <w:sz w:val="22"/>
          <w:szCs w:val="22"/>
        </w:rPr>
        <w:t>Clariant</w:t>
      </w:r>
      <w:proofErr w:type="spellEnd"/>
      <w:r w:rsidRPr="00176001">
        <w:rPr>
          <w:rFonts w:ascii="Arial" w:hAnsi="Arial" w:cs="Arial"/>
          <w:sz w:val="22"/>
          <w:szCs w:val="22"/>
        </w:rPr>
        <w:t xml:space="preserve"> Ibérica Producción S.A.</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2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TOLSA.</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SEPIOLSA.</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Sr. D. E</w:t>
      </w:r>
      <w:r w:rsidR="00262301">
        <w:rPr>
          <w:rFonts w:ascii="Arial" w:hAnsi="Arial" w:cs="Arial"/>
          <w:sz w:val="22"/>
          <w:szCs w:val="22"/>
        </w:rPr>
        <w:t>EEEE XXXXX YYYYY</w:t>
      </w:r>
      <w:r w:rsidRPr="00176001">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Cerveceros de España.</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Federación Empresarial de la Industria Química Española (FEIQUE).</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lastRenderedPageBreak/>
        <w:t>Asociación de Empresas de Detergentes y de Productos de Limpieza, Mantenimiento y Afines (ADELMA).</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Asociación Española de Industrias de Panadería, bollería y pastelería (ASEMAC).</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Asociación Española de Fabricantes de Materias Primas y Mejorantes para las Industrias de Panaderías, Pastelería y Similares (FEDIMA).</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Colegio Oficial de Veterinarios de Toledo.</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t>Asociación de Snacks.</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 </w:t>
      </w:r>
    </w:p>
    <w:p w:rsidR="00176001" w:rsidRPr="00176001" w:rsidRDefault="00176001" w:rsidP="00021465">
      <w:pPr>
        <w:pStyle w:val="Prrafodelista"/>
        <w:numPr>
          <w:ilvl w:val="0"/>
          <w:numId w:val="38"/>
        </w:numPr>
        <w:spacing w:after="160" w:line="259" w:lineRule="auto"/>
        <w:jc w:val="both"/>
        <w:rPr>
          <w:rFonts w:ascii="Arial" w:hAnsi="Arial" w:cs="Arial"/>
          <w:sz w:val="22"/>
          <w:szCs w:val="22"/>
        </w:rPr>
      </w:pPr>
      <w:r w:rsidRPr="00176001">
        <w:rPr>
          <w:rFonts w:ascii="Arial" w:hAnsi="Arial" w:cs="Arial"/>
          <w:sz w:val="22"/>
          <w:szCs w:val="22"/>
        </w:rPr>
        <w:lastRenderedPageBreak/>
        <w:t>Asociación Española del Vinagre (AEVIN).</w:t>
      </w:r>
      <w:r>
        <w:rPr>
          <w:rFonts w:ascii="Arial" w:hAnsi="Arial" w:cs="Arial"/>
          <w:sz w:val="22"/>
          <w:szCs w:val="22"/>
        </w:rPr>
        <w:t xml:space="preserve"> </w:t>
      </w:r>
      <w:r w:rsidRPr="000F503D">
        <w:rPr>
          <w:rFonts w:ascii="Arial" w:hAnsi="Arial" w:cs="Arial"/>
          <w:sz w:val="22"/>
          <w:szCs w:val="22"/>
        </w:rPr>
        <w:t>Informe recibido el</w:t>
      </w:r>
      <w:r>
        <w:rPr>
          <w:rFonts w:ascii="Arial" w:hAnsi="Arial" w:cs="Arial"/>
          <w:sz w:val="22"/>
          <w:szCs w:val="22"/>
        </w:rPr>
        <w:t xml:space="preserve"> 3 de febrero de 2023. </w:t>
      </w:r>
    </w:p>
    <w:p w:rsidR="00BA06BB" w:rsidRPr="00176001" w:rsidRDefault="00BA06BB" w:rsidP="00176001">
      <w:pPr>
        <w:spacing w:after="160" w:line="259" w:lineRule="auto"/>
        <w:jc w:val="left"/>
        <w:rPr>
          <w:rFonts w:cs="Arial"/>
          <w:sz w:val="22"/>
          <w:szCs w:val="22"/>
        </w:rPr>
      </w:pPr>
    </w:p>
    <w:p w:rsidR="00BA06BB" w:rsidRPr="0070252B" w:rsidRDefault="00BA06BB" w:rsidP="00BA06BB">
      <w:pPr>
        <w:pStyle w:val="Ttulo4"/>
        <w:rPr>
          <w:lang w:bidi="es-ES"/>
        </w:rPr>
      </w:pPr>
      <w:r w:rsidRPr="0070252B">
        <w:rPr>
          <w:lang w:bidi="es-ES"/>
        </w:rPr>
        <w:t>Informe de las Comunidades Autónomas y de las Ciudade</w:t>
      </w:r>
      <w:r>
        <w:rPr>
          <w:lang w:bidi="es-ES"/>
        </w:rPr>
        <w:t>s Autónomas de Ceuta y Melilla</w:t>
      </w:r>
    </w:p>
    <w:p w:rsidR="00BA06BB" w:rsidRDefault="00BA06BB" w:rsidP="00BA06BB">
      <w:pPr>
        <w:ind w:right="44"/>
        <w:rPr>
          <w:rFonts w:cs="Arial"/>
          <w:sz w:val="22"/>
          <w:szCs w:val="22"/>
          <w:lang w:bidi="es-ES"/>
        </w:rPr>
      </w:pPr>
    </w:p>
    <w:p w:rsidR="00BA06BB" w:rsidRPr="00176001" w:rsidRDefault="00BA06BB" w:rsidP="00BA06BB">
      <w:pPr>
        <w:ind w:right="44"/>
        <w:rPr>
          <w:rFonts w:cs="Arial"/>
          <w:sz w:val="22"/>
          <w:szCs w:val="22"/>
          <w:lang w:bidi="es-ES"/>
        </w:rPr>
      </w:pPr>
      <w:r w:rsidRPr="00070A77">
        <w:rPr>
          <w:rFonts w:cs="Arial"/>
          <w:sz w:val="22"/>
          <w:szCs w:val="22"/>
          <w:lang w:bidi="es-ES"/>
        </w:rPr>
        <w:t>El proyecto ha sido sometido a consulta e informe de dichas A</w:t>
      </w:r>
      <w:r>
        <w:rPr>
          <w:rFonts w:cs="Arial"/>
          <w:sz w:val="22"/>
          <w:szCs w:val="22"/>
          <w:lang w:bidi="es-ES"/>
        </w:rPr>
        <w:t>dministraciones Públicas. Se ha</w:t>
      </w:r>
      <w:r w:rsidRPr="00070A77">
        <w:rPr>
          <w:rFonts w:cs="Arial"/>
          <w:sz w:val="22"/>
          <w:szCs w:val="22"/>
          <w:lang w:bidi="es-ES"/>
        </w:rPr>
        <w:t xml:space="preserve"> </w:t>
      </w:r>
      <w:r w:rsidRPr="00176001">
        <w:rPr>
          <w:rFonts w:cs="Arial"/>
          <w:sz w:val="22"/>
          <w:szCs w:val="22"/>
          <w:lang w:bidi="es-ES"/>
        </w:rPr>
        <w:t>recibido informe de</w:t>
      </w:r>
      <w:r w:rsidR="00176001">
        <w:rPr>
          <w:rFonts w:cs="Arial"/>
          <w:sz w:val="22"/>
          <w:szCs w:val="22"/>
          <w:lang w:bidi="es-ES"/>
        </w:rPr>
        <w:t xml:space="preserve"> la</w:t>
      </w:r>
      <w:r w:rsidRPr="00176001">
        <w:rPr>
          <w:rFonts w:cs="Arial"/>
          <w:sz w:val="22"/>
          <w:szCs w:val="22"/>
        </w:rPr>
        <w:t>:</w:t>
      </w:r>
      <w:r w:rsidRPr="00176001">
        <w:rPr>
          <w:rFonts w:cs="Arial"/>
          <w:sz w:val="22"/>
          <w:szCs w:val="22"/>
          <w:lang w:bidi="es-ES"/>
        </w:rPr>
        <w:t xml:space="preserve"> </w:t>
      </w:r>
    </w:p>
    <w:p w:rsidR="00BA06BB" w:rsidRPr="00176001" w:rsidRDefault="00BA06BB" w:rsidP="00BA06BB">
      <w:pPr>
        <w:ind w:right="44"/>
        <w:rPr>
          <w:rFonts w:cs="Arial"/>
          <w:sz w:val="22"/>
          <w:szCs w:val="22"/>
        </w:rPr>
      </w:pPr>
    </w:p>
    <w:p w:rsidR="00BA06BB" w:rsidRPr="00176001" w:rsidRDefault="00BA06BB" w:rsidP="00BA06BB">
      <w:pPr>
        <w:numPr>
          <w:ilvl w:val="0"/>
          <w:numId w:val="8"/>
        </w:numPr>
        <w:ind w:right="44"/>
        <w:rPr>
          <w:rFonts w:cs="Arial"/>
          <w:sz w:val="22"/>
          <w:szCs w:val="22"/>
        </w:rPr>
      </w:pPr>
      <w:r w:rsidRPr="00176001">
        <w:rPr>
          <w:rFonts w:cs="Arial"/>
          <w:sz w:val="22"/>
          <w:szCs w:val="22"/>
        </w:rPr>
        <w:t xml:space="preserve">Comunidad Autónoma de La Rioja. Informe recibido el </w:t>
      </w:r>
      <w:r w:rsidR="001E5CAD" w:rsidRPr="00176001">
        <w:rPr>
          <w:rFonts w:cs="Arial"/>
          <w:sz w:val="22"/>
          <w:szCs w:val="22"/>
        </w:rPr>
        <w:t>3</w:t>
      </w:r>
      <w:r w:rsidRPr="00176001">
        <w:rPr>
          <w:rFonts w:cs="Arial"/>
          <w:sz w:val="22"/>
          <w:szCs w:val="22"/>
        </w:rPr>
        <w:t xml:space="preserve"> de </w:t>
      </w:r>
      <w:r w:rsidR="001E5CAD" w:rsidRPr="00176001">
        <w:rPr>
          <w:rFonts w:cs="Arial"/>
          <w:sz w:val="22"/>
          <w:szCs w:val="22"/>
        </w:rPr>
        <w:t>febrero</w:t>
      </w:r>
      <w:r w:rsidRPr="00176001">
        <w:rPr>
          <w:rFonts w:cs="Arial"/>
          <w:sz w:val="22"/>
          <w:szCs w:val="22"/>
        </w:rPr>
        <w:t xml:space="preserve"> de 2023. </w:t>
      </w:r>
    </w:p>
    <w:p w:rsidR="00BA06BB" w:rsidRDefault="00BA06BB" w:rsidP="00BA06BB">
      <w:pPr>
        <w:spacing w:after="160" w:line="259" w:lineRule="auto"/>
        <w:jc w:val="left"/>
        <w:rPr>
          <w:rFonts w:cs="Arial"/>
          <w:sz w:val="22"/>
          <w:szCs w:val="22"/>
        </w:rPr>
      </w:pPr>
    </w:p>
    <w:p w:rsidR="00BA06BB" w:rsidRPr="0070252B" w:rsidRDefault="00BA06BB" w:rsidP="00BA06BB">
      <w:pPr>
        <w:pStyle w:val="Ttulo4"/>
        <w:rPr>
          <w:lang w:bidi="es-ES"/>
        </w:rPr>
      </w:pPr>
      <w:r w:rsidRPr="0070252B">
        <w:rPr>
          <w:lang w:bidi="es-ES"/>
        </w:rPr>
        <w:t>Informe del Consejo de Consumidores y Usuarios</w:t>
      </w:r>
      <w:r w:rsidR="009A0246">
        <w:rPr>
          <w:lang w:bidi="es-ES"/>
        </w:rPr>
        <w:t>,</w:t>
      </w:r>
      <w:r w:rsidR="009A0246" w:rsidRPr="009A0246">
        <w:t xml:space="preserve"> </w:t>
      </w:r>
      <w:r w:rsidR="009A0246" w:rsidRPr="009A0246">
        <w:rPr>
          <w:lang w:bidi="es-ES"/>
        </w:rPr>
        <w:t xml:space="preserve">de acuerdo con el artículo 39.2 del texto refundido de la </w:t>
      </w:r>
      <w:r w:rsidR="009A0246" w:rsidRPr="009A0246">
        <w:rPr>
          <w:lang w:bidi="es-ES"/>
        </w:rPr>
        <w:lastRenderedPageBreak/>
        <w:t>Ley General de Defensa de los Consumidores y Usuarios, aprobado por Real Decreto Legislativo 1/2007, de 16 de noviembre.</w:t>
      </w:r>
    </w:p>
    <w:p w:rsidR="00BA06BB" w:rsidRPr="000D5671" w:rsidRDefault="00BA06BB" w:rsidP="00BA06BB">
      <w:pPr>
        <w:rPr>
          <w:rFonts w:cs="Arial"/>
          <w:sz w:val="22"/>
          <w:szCs w:val="22"/>
          <w:lang w:bidi="es-ES"/>
        </w:rPr>
      </w:pPr>
    </w:p>
    <w:p w:rsidR="00BA06BB" w:rsidRPr="000D5671" w:rsidRDefault="009A0246" w:rsidP="00BA06BB">
      <w:pPr>
        <w:rPr>
          <w:rFonts w:cs="Arial"/>
          <w:sz w:val="22"/>
          <w:szCs w:val="22"/>
          <w:lang w:bidi="es-ES"/>
        </w:rPr>
      </w:pPr>
      <w:r>
        <w:rPr>
          <w:rFonts w:cs="Arial"/>
          <w:sz w:val="22"/>
          <w:szCs w:val="22"/>
          <w:lang w:bidi="es-ES"/>
        </w:rPr>
        <w:t>I</w:t>
      </w:r>
      <w:r w:rsidR="00BA06BB" w:rsidRPr="00A95F97">
        <w:rPr>
          <w:rFonts w:cs="Arial"/>
          <w:sz w:val="22"/>
          <w:szCs w:val="22"/>
          <w:lang w:bidi="es-ES"/>
        </w:rPr>
        <w:t xml:space="preserve">nforme favorable, sin </w:t>
      </w:r>
      <w:r w:rsidR="004717AF" w:rsidRPr="00A95F97">
        <w:rPr>
          <w:rFonts w:cs="Arial"/>
          <w:sz w:val="22"/>
          <w:szCs w:val="22"/>
          <w:lang w:bidi="es-ES"/>
        </w:rPr>
        <w:t>alegaciones</w:t>
      </w:r>
      <w:r w:rsidR="00BA06BB" w:rsidRPr="00A95F97">
        <w:rPr>
          <w:rFonts w:cs="Arial"/>
          <w:sz w:val="22"/>
          <w:szCs w:val="22"/>
          <w:lang w:bidi="es-ES"/>
        </w:rPr>
        <w:t xml:space="preserve">, </w:t>
      </w:r>
      <w:r w:rsidR="00BA06BB" w:rsidRPr="00A95F97">
        <w:rPr>
          <w:rFonts w:cs="Arial"/>
          <w:sz w:val="22"/>
          <w:szCs w:val="22"/>
        </w:rPr>
        <w:t xml:space="preserve">recibido el </w:t>
      </w:r>
      <w:r w:rsidR="007A1B73" w:rsidRPr="00A95F97">
        <w:rPr>
          <w:rFonts w:cs="Arial"/>
          <w:sz w:val="22"/>
          <w:szCs w:val="22"/>
        </w:rPr>
        <w:t>1</w:t>
      </w:r>
      <w:r w:rsidR="00BA06BB" w:rsidRPr="00A95F97">
        <w:rPr>
          <w:rFonts w:cs="Arial"/>
          <w:sz w:val="22"/>
          <w:szCs w:val="22"/>
        </w:rPr>
        <w:t xml:space="preserve"> de </w:t>
      </w:r>
      <w:r w:rsidR="007A1B73" w:rsidRPr="00A95F97">
        <w:rPr>
          <w:rFonts w:cs="Arial"/>
          <w:sz w:val="22"/>
          <w:szCs w:val="22"/>
        </w:rPr>
        <w:t>febrero</w:t>
      </w:r>
      <w:r w:rsidR="00BA06BB" w:rsidRPr="00A95F97">
        <w:rPr>
          <w:rFonts w:cs="Arial"/>
          <w:sz w:val="22"/>
          <w:szCs w:val="22"/>
        </w:rPr>
        <w:t xml:space="preserve"> de 2023</w:t>
      </w:r>
      <w:r>
        <w:rPr>
          <w:rFonts w:cs="Arial"/>
          <w:sz w:val="22"/>
          <w:szCs w:val="22"/>
        </w:rPr>
        <w:t>.</w:t>
      </w:r>
      <w:r w:rsidR="00BA06BB" w:rsidRPr="000D5671">
        <w:rPr>
          <w:rFonts w:cs="Arial"/>
          <w:sz w:val="22"/>
          <w:szCs w:val="22"/>
          <w:lang w:bidi="es-ES"/>
        </w:rPr>
        <w:t xml:space="preserve"> </w:t>
      </w:r>
    </w:p>
    <w:p w:rsidR="00BA06BB" w:rsidRDefault="00BA06BB" w:rsidP="00BA06BB">
      <w:pPr>
        <w:spacing w:after="160" w:line="259" w:lineRule="auto"/>
        <w:jc w:val="left"/>
        <w:rPr>
          <w:rFonts w:cs="Arial"/>
          <w:sz w:val="22"/>
          <w:szCs w:val="22"/>
        </w:rPr>
      </w:pPr>
    </w:p>
    <w:p w:rsidR="00BA06BB" w:rsidRDefault="00BA06BB" w:rsidP="00BA06BB">
      <w:pPr>
        <w:pStyle w:val="Ttulo4"/>
        <w:rPr>
          <w:lang w:bidi="es-ES"/>
        </w:rPr>
      </w:pPr>
      <w:r w:rsidRPr="0013420D">
        <w:rPr>
          <w:lang w:bidi="es-ES"/>
        </w:rPr>
        <w:t xml:space="preserve">Informe de las Secretarías Generales Técnicas de los Ministerios proponentes. </w:t>
      </w:r>
    </w:p>
    <w:p w:rsidR="00BA06BB" w:rsidRDefault="00BA06BB" w:rsidP="00BA06BB">
      <w:pPr>
        <w:rPr>
          <w:lang w:bidi="es-ES"/>
        </w:rPr>
      </w:pPr>
    </w:p>
    <w:p w:rsidR="00A95F97" w:rsidRDefault="00BA06BB" w:rsidP="00A95F97">
      <w:pPr>
        <w:rPr>
          <w:sz w:val="22"/>
          <w:lang w:bidi="es-ES"/>
        </w:rPr>
      </w:pPr>
      <w:r w:rsidRPr="0032323C">
        <w:rPr>
          <w:sz w:val="22"/>
          <w:lang w:bidi="es-ES"/>
        </w:rPr>
        <w:t xml:space="preserve">De conformidad con lo previsto en el artículo 26.5 párrafo cuarto de la Ley 50/1997, de 27 de </w:t>
      </w:r>
      <w:r w:rsidRPr="00A95F97">
        <w:rPr>
          <w:sz w:val="22"/>
          <w:lang w:bidi="es-ES"/>
        </w:rPr>
        <w:t>noviembre, del Gobierno</w:t>
      </w:r>
      <w:r w:rsidR="00A95F97" w:rsidRPr="00A95F97">
        <w:rPr>
          <w:sz w:val="22"/>
          <w:lang w:bidi="es-ES"/>
        </w:rPr>
        <w:t>, s</w:t>
      </w:r>
      <w:r w:rsidRPr="00A95F97">
        <w:rPr>
          <w:sz w:val="22"/>
          <w:lang w:bidi="es-ES"/>
        </w:rPr>
        <w:t>e ha</w:t>
      </w:r>
      <w:r w:rsidR="00A95F97" w:rsidRPr="00A95F97">
        <w:rPr>
          <w:sz w:val="22"/>
          <w:lang w:bidi="es-ES"/>
        </w:rPr>
        <w:t>n</w:t>
      </w:r>
      <w:r w:rsidRPr="00A95F97">
        <w:rPr>
          <w:sz w:val="22"/>
          <w:lang w:bidi="es-ES"/>
        </w:rPr>
        <w:t xml:space="preserve"> solicitado </w:t>
      </w:r>
      <w:r w:rsidR="00A95F97" w:rsidRPr="00A95F97">
        <w:rPr>
          <w:sz w:val="22"/>
          <w:lang w:bidi="es-ES"/>
        </w:rPr>
        <w:t>los</w:t>
      </w:r>
      <w:r w:rsidRPr="00A95F97">
        <w:rPr>
          <w:sz w:val="22"/>
          <w:lang w:bidi="es-ES"/>
        </w:rPr>
        <w:t xml:space="preserve"> preceptivo</w:t>
      </w:r>
      <w:r w:rsidR="00A95F97" w:rsidRPr="00A95F97">
        <w:rPr>
          <w:sz w:val="22"/>
          <w:lang w:bidi="es-ES"/>
        </w:rPr>
        <w:t>s</w:t>
      </w:r>
      <w:r w:rsidRPr="00A95F97">
        <w:rPr>
          <w:sz w:val="22"/>
          <w:lang w:bidi="es-ES"/>
        </w:rPr>
        <w:t xml:space="preserve"> informe</w:t>
      </w:r>
      <w:r w:rsidR="00A95F97" w:rsidRPr="00A95F97">
        <w:rPr>
          <w:sz w:val="22"/>
          <w:lang w:bidi="es-ES"/>
        </w:rPr>
        <w:t>s</w:t>
      </w:r>
      <w:r w:rsidRPr="00A95F97">
        <w:rPr>
          <w:sz w:val="22"/>
          <w:lang w:bidi="es-ES"/>
        </w:rPr>
        <w:t xml:space="preserve"> de la</w:t>
      </w:r>
      <w:r w:rsidR="00A95F97" w:rsidRPr="00A95F97">
        <w:rPr>
          <w:sz w:val="22"/>
          <w:lang w:bidi="es-ES"/>
        </w:rPr>
        <w:t>s</w:t>
      </w:r>
      <w:r w:rsidRPr="00A95F97">
        <w:rPr>
          <w:sz w:val="22"/>
          <w:lang w:bidi="es-ES"/>
        </w:rPr>
        <w:t xml:space="preserve"> Secretar</w:t>
      </w:r>
      <w:r w:rsidR="00A95F97" w:rsidRPr="00A95F97">
        <w:rPr>
          <w:sz w:val="22"/>
          <w:lang w:bidi="es-ES"/>
        </w:rPr>
        <w:t>ías</w:t>
      </w:r>
      <w:r w:rsidRPr="00A95F97">
        <w:rPr>
          <w:sz w:val="22"/>
          <w:lang w:bidi="es-ES"/>
        </w:rPr>
        <w:t xml:space="preserve"> General</w:t>
      </w:r>
      <w:r w:rsidR="00A95F97" w:rsidRPr="00A95F97">
        <w:rPr>
          <w:sz w:val="22"/>
          <w:lang w:bidi="es-ES"/>
        </w:rPr>
        <w:t>es</w:t>
      </w:r>
      <w:r w:rsidRPr="00A95F97">
        <w:rPr>
          <w:sz w:val="22"/>
          <w:lang w:bidi="es-ES"/>
        </w:rPr>
        <w:t xml:space="preserve"> Técnica</w:t>
      </w:r>
      <w:r w:rsidR="00A95F97" w:rsidRPr="00A95F97">
        <w:rPr>
          <w:sz w:val="22"/>
          <w:lang w:bidi="es-ES"/>
        </w:rPr>
        <w:t xml:space="preserve">s de los Ministerios proponentes, </w:t>
      </w:r>
      <w:r w:rsidR="00A95F97">
        <w:rPr>
          <w:sz w:val="22"/>
          <w:lang w:bidi="es-ES"/>
        </w:rPr>
        <w:t>recibiéndose los siguientes:</w:t>
      </w:r>
    </w:p>
    <w:p w:rsidR="00A95F97" w:rsidRDefault="00A95F97" w:rsidP="00A95F97">
      <w:pPr>
        <w:rPr>
          <w:sz w:val="22"/>
          <w:lang w:bidi="es-ES"/>
        </w:rPr>
      </w:pPr>
    </w:p>
    <w:p w:rsidR="00BA06BB" w:rsidRPr="00A95F97" w:rsidRDefault="00BA06BB" w:rsidP="00A95F97">
      <w:pPr>
        <w:pStyle w:val="Prrafodelista"/>
        <w:numPr>
          <w:ilvl w:val="0"/>
          <w:numId w:val="8"/>
        </w:numPr>
        <w:jc w:val="both"/>
        <w:rPr>
          <w:rFonts w:ascii="Arial" w:hAnsi="Arial" w:cs="Arial"/>
          <w:sz w:val="22"/>
          <w:lang w:bidi="es-ES"/>
        </w:rPr>
      </w:pPr>
      <w:r w:rsidRPr="00A95F97">
        <w:rPr>
          <w:rFonts w:ascii="Arial" w:hAnsi="Arial" w:cs="Arial"/>
          <w:sz w:val="22"/>
          <w:szCs w:val="22"/>
        </w:rPr>
        <w:lastRenderedPageBreak/>
        <w:t xml:space="preserve">Informe de la Secretaría General Técnica del Ministerio de </w:t>
      </w:r>
      <w:r w:rsidR="00911566" w:rsidRPr="00A95F97">
        <w:rPr>
          <w:rFonts w:ascii="Arial" w:hAnsi="Arial" w:cs="Arial"/>
          <w:sz w:val="22"/>
          <w:szCs w:val="22"/>
        </w:rPr>
        <w:t>Agricultura, Pesca y Alimentación</w:t>
      </w:r>
      <w:r w:rsidR="00A95F97" w:rsidRPr="00A95F97">
        <w:rPr>
          <w:rFonts w:ascii="Arial" w:hAnsi="Arial" w:cs="Arial"/>
          <w:sz w:val="22"/>
          <w:szCs w:val="22"/>
        </w:rPr>
        <w:t xml:space="preserve">. Informe recibido el 1 de febrero de 2023. </w:t>
      </w:r>
      <w:r w:rsidR="00911566" w:rsidRPr="00A95F97">
        <w:rPr>
          <w:rFonts w:ascii="Arial" w:hAnsi="Arial" w:cs="Arial"/>
          <w:sz w:val="22"/>
          <w:szCs w:val="22"/>
        </w:rPr>
        <w:t xml:space="preserve"> </w:t>
      </w:r>
    </w:p>
    <w:p w:rsidR="00BA06BB" w:rsidRPr="00A95F97" w:rsidRDefault="00BA06BB" w:rsidP="00683AA4">
      <w:pPr>
        <w:ind w:right="44"/>
        <w:rPr>
          <w:rFonts w:cs="Arial"/>
          <w:sz w:val="22"/>
          <w:szCs w:val="22"/>
          <w:highlight w:val="yellow"/>
        </w:rPr>
      </w:pPr>
    </w:p>
    <w:p w:rsidR="00D038E6" w:rsidRDefault="00D038E6" w:rsidP="00D038E6">
      <w:pPr>
        <w:rPr>
          <w:rFonts w:cs="Arial"/>
          <w:sz w:val="22"/>
          <w:szCs w:val="22"/>
        </w:rPr>
      </w:pPr>
    </w:p>
    <w:p w:rsidR="00D038E6" w:rsidRPr="00D038E6" w:rsidRDefault="00D038E6" w:rsidP="00D038E6">
      <w:pPr>
        <w:rPr>
          <w:rFonts w:cs="Arial"/>
          <w:b/>
          <w:sz w:val="22"/>
          <w:szCs w:val="22"/>
        </w:rPr>
      </w:pPr>
      <w:r w:rsidRPr="00D038E6">
        <w:rPr>
          <w:rFonts w:cs="Arial"/>
          <w:b/>
          <w:sz w:val="22"/>
          <w:szCs w:val="22"/>
        </w:rPr>
        <w:t>Informe de las Secretarías Generales Técnicas de los Ministerios que resultan afectados.</w:t>
      </w:r>
    </w:p>
    <w:p w:rsidR="00D038E6" w:rsidRDefault="00D038E6" w:rsidP="00D038E6">
      <w:pPr>
        <w:rPr>
          <w:rFonts w:cs="Arial"/>
          <w:sz w:val="22"/>
          <w:szCs w:val="22"/>
        </w:rPr>
      </w:pPr>
    </w:p>
    <w:p w:rsidR="00D038E6" w:rsidRDefault="00D038E6" w:rsidP="00D038E6">
      <w:pPr>
        <w:rPr>
          <w:sz w:val="22"/>
          <w:lang w:bidi="es-ES"/>
        </w:rPr>
      </w:pPr>
      <w:r>
        <w:rPr>
          <w:rFonts w:cs="Arial"/>
          <w:sz w:val="22"/>
          <w:szCs w:val="22"/>
        </w:rPr>
        <w:t>D</w:t>
      </w:r>
      <w:r w:rsidRPr="0078245A">
        <w:rPr>
          <w:rFonts w:cs="Arial"/>
          <w:sz w:val="22"/>
          <w:szCs w:val="22"/>
        </w:rPr>
        <w:t xml:space="preserve">e </w:t>
      </w:r>
      <w:r>
        <w:rPr>
          <w:rFonts w:cs="Arial"/>
          <w:sz w:val="22"/>
          <w:szCs w:val="22"/>
        </w:rPr>
        <w:t xml:space="preserve">conformidad </w:t>
      </w:r>
      <w:r w:rsidRPr="0078245A">
        <w:rPr>
          <w:rFonts w:cs="Arial"/>
          <w:sz w:val="22"/>
          <w:szCs w:val="22"/>
        </w:rPr>
        <w:t>con lo previsto en el artículo 26.5 párrafo primero de la Ley 50/1997, d</w:t>
      </w:r>
      <w:r w:rsidR="001975EB">
        <w:rPr>
          <w:rFonts w:cs="Arial"/>
          <w:sz w:val="22"/>
          <w:szCs w:val="22"/>
        </w:rPr>
        <w:t xml:space="preserve">e 27 de noviembre, del Gobierno, </w:t>
      </w:r>
      <w:r w:rsidR="001975EB">
        <w:rPr>
          <w:sz w:val="22"/>
          <w:lang w:bidi="es-ES"/>
        </w:rPr>
        <w:t>s</w:t>
      </w:r>
      <w:r w:rsidR="001975EB" w:rsidRPr="0032323C">
        <w:rPr>
          <w:sz w:val="22"/>
          <w:lang w:bidi="es-ES"/>
        </w:rPr>
        <w:t>e han solicitado los preceptivos informes de las Secretarias Generales Técnicas</w:t>
      </w:r>
      <w:r w:rsidR="001975EB">
        <w:rPr>
          <w:sz w:val="22"/>
          <w:lang w:bidi="es-ES"/>
        </w:rPr>
        <w:t>,</w:t>
      </w:r>
      <w:r w:rsidR="001975EB" w:rsidRPr="0032323C">
        <w:rPr>
          <w:sz w:val="22"/>
          <w:lang w:bidi="es-ES"/>
        </w:rPr>
        <w:t xml:space="preserve"> </w:t>
      </w:r>
      <w:r w:rsidR="001975EB">
        <w:rPr>
          <w:sz w:val="22"/>
          <w:lang w:bidi="es-ES"/>
        </w:rPr>
        <w:t>recibiéndose los siguientes:</w:t>
      </w:r>
    </w:p>
    <w:p w:rsidR="001975EB" w:rsidRPr="00EC1137" w:rsidRDefault="001975EB" w:rsidP="00D038E6">
      <w:pPr>
        <w:rPr>
          <w:rFonts w:cs="Arial"/>
          <w:sz w:val="22"/>
          <w:szCs w:val="22"/>
        </w:rPr>
      </w:pPr>
    </w:p>
    <w:p w:rsidR="00EC1137" w:rsidRDefault="00EC1137" w:rsidP="00EC1137">
      <w:pPr>
        <w:pStyle w:val="Prrafodelista"/>
        <w:numPr>
          <w:ilvl w:val="0"/>
          <w:numId w:val="8"/>
        </w:numPr>
        <w:jc w:val="both"/>
        <w:rPr>
          <w:rFonts w:ascii="Arial" w:hAnsi="Arial" w:cs="Arial"/>
          <w:sz w:val="22"/>
          <w:szCs w:val="22"/>
        </w:rPr>
      </w:pPr>
      <w:r>
        <w:rPr>
          <w:rFonts w:ascii="Arial" w:hAnsi="Arial" w:cs="Arial"/>
          <w:sz w:val="22"/>
          <w:szCs w:val="22"/>
        </w:rPr>
        <w:lastRenderedPageBreak/>
        <w:t>I</w:t>
      </w:r>
      <w:r w:rsidRPr="00EC1137">
        <w:rPr>
          <w:rFonts w:ascii="Arial" w:hAnsi="Arial" w:cs="Arial"/>
          <w:sz w:val="22"/>
          <w:szCs w:val="22"/>
        </w:rPr>
        <w:t>nforme de la Secretaría General Técnica del Ministerio de Industria, Comercio y Turismo</w:t>
      </w:r>
      <w:r>
        <w:rPr>
          <w:rFonts w:ascii="Arial" w:hAnsi="Arial" w:cs="Arial"/>
          <w:sz w:val="22"/>
          <w:szCs w:val="22"/>
        </w:rPr>
        <w:t xml:space="preserve">. </w:t>
      </w:r>
      <w:r w:rsidRPr="00A95F97">
        <w:rPr>
          <w:rFonts w:ascii="Arial" w:hAnsi="Arial" w:cs="Arial"/>
          <w:sz w:val="22"/>
          <w:szCs w:val="22"/>
        </w:rPr>
        <w:t xml:space="preserve">Informe recibido el </w:t>
      </w:r>
      <w:r>
        <w:rPr>
          <w:rFonts w:ascii="Arial" w:hAnsi="Arial" w:cs="Arial"/>
          <w:sz w:val="22"/>
          <w:szCs w:val="22"/>
        </w:rPr>
        <w:t>25</w:t>
      </w:r>
      <w:r w:rsidRPr="00A95F97">
        <w:rPr>
          <w:rFonts w:ascii="Arial" w:hAnsi="Arial" w:cs="Arial"/>
          <w:sz w:val="22"/>
          <w:szCs w:val="22"/>
        </w:rPr>
        <w:t xml:space="preserve"> de </w:t>
      </w:r>
      <w:r>
        <w:rPr>
          <w:rFonts w:ascii="Arial" w:hAnsi="Arial" w:cs="Arial"/>
          <w:sz w:val="22"/>
          <w:szCs w:val="22"/>
        </w:rPr>
        <w:t>enero</w:t>
      </w:r>
      <w:r w:rsidRPr="00A95F97">
        <w:rPr>
          <w:rFonts w:ascii="Arial" w:hAnsi="Arial" w:cs="Arial"/>
          <w:sz w:val="22"/>
          <w:szCs w:val="22"/>
        </w:rPr>
        <w:t xml:space="preserve"> de 2023.</w:t>
      </w:r>
    </w:p>
    <w:p w:rsidR="00EC1137" w:rsidRDefault="00EC1137" w:rsidP="00EC1137">
      <w:pPr>
        <w:pStyle w:val="Prrafodelista"/>
        <w:numPr>
          <w:ilvl w:val="0"/>
          <w:numId w:val="8"/>
        </w:numPr>
        <w:jc w:val="both"/>
        <w:rPr>
          <w:rFonts w:ascii="Arial" w:hAnsi="Arial" w:cs="Arial"/>
          <w:sz w:val="22"/>
          <w:szCs w:val="22"/>
        </w:rPr>
      </w:pPr>
      <w:r>
        <w:rPr>
          <w:rFonts w:ascii="Arial" w:hAnsi="Arial" w:cs="Arial"/>
          <w:sz w:val="22"/>
          <w:szCs w:val="22"/>
        </w:rPr>
        <w:t>I</w:t>
      </w:r>
      <w:r w:rsidRPr="00EC1137">
        <w:rPr>
          <w:rFonts w:ascii="Arial" w:hAnsi="Arial" w:cs="Arial"/>
          <w:sz w:val="22"/>
          <w:szCs w:val="22"/>
        </w:rPr>
        <w:t>nforme de la Secretaría General Técnica del Ministerio de Transición Ecológica y Reto Demográfico</w:t>
      </w:r>
      <w:r>
        <w:rPr>
          <w:rFonts w:ascii="Arial" w:hAnsi="Arial" w:cs="Arial"/>
          <w:sz w:val="22"/>
          <w:szCs w:val="22"/>
        </w:rPr>
        <w:t>. Informe recibido el 6 de febrero de 2023.</w:t>
      </w:r>
    </w:p>
    <w:p w:rsidR="00EC1137" w:rsidRDefault="00EC1137" w:rsidP="00EC1137">
      <w:pPr>
        <w:pStyle w:val="Prrafodelista"/>
        <w:numPr>
          <w:ilvl w:val="0"/>
          <w:numId w:val="8"/>
        </w:numPr>
        <w:jc w:val="both"/>
        <w:rPr>
          <w:rFonts w:ascii="Arial" w:hAnsi="Arial" w:cs="Arial"/>
          <w:sz w:val="22"/>
          <w:szCs w:val="22"/>
        </w:rPr>
      </w:pPr>
      <w:r>
        <w:rPr>
          <w:rFonts w:ascii="Arial" w:hAnsi="Arial" w:cs="Arial"/>
          <w:sz w:val="22"/>
          <w:szCs w:val="22"/>
        </w:rPr>
        <w:t>I</w:t>
      </w:r>
      <w:r w:rsidRPr="00EC1137">
        <w:rPr>
          <w:rFonts w:ascii="Arial" w:hAnsi="Arial" w:cs="Arial"/>
          <w:sz w:val="22"/>
          <w:szCs w:val="22"/>
        </w:rPr>
        <w:t>nforme de la Secretaría General Técnica del Ministerio de Sanidad</w:t>
      </w:r>
      <w:r>
        <w:rPr>
          <w:rFonts w:ascii="Arial" w:hAnsi="Arial" w:cs="Arial"/>
          <w:sz w:val="22"/>
          <w:szCs w:val="22"/>
        </w:rPr>
        <w:t>. Informe recibido el 9 de febrero de 2023.</w:t>
      </w:r>
    </w:p>
    <w:p w:rsidR="00EC1137" w:rsidRPr="00EC1137" w:rsidRDefault="00EC1137" w:rsidP="00EC1137">
      <w:pPr>
        <w:pStyle w:val="Prrafodelista"/>
        <w:numPr>
          <w:ilvl w:val="0"/>
          <w:numId w:val="8"/>
        </w:numPr>
        <w:jc w:val="both"/>
        <w:rPr>
          <w:rFonts w:ascii="Arial" w:hAnsi="Arial" w:cs="Arial"/>
          <w:sz w:val="22"/>
          <w:szCs w:val="22"/>
        </w:rPr>
      </w:pPr>
      <w:r>
        <w:rPr>
          <w:rFonts w:ascii="Arial" w:hAnsi="Arial" w:cs="Arial"/>
          <w:sz w:val="22"/>
          <w:szCs w:val="22"/>
        </w:rPr>
        <w:t>Informe de la Secretaría General Técnica del Ministerio de Ciencia y Tecnología. Informe recibido el 15 de febrero de 2023.</w:t>
      </w:r>
    </w:p>
    <w:p w:rsidR="00EC1137" w:rsidRPr="00EC1137" w:rsidRDefault="00EC1137" w:rsidP="00D038E6">
      <w:pPr>
        <w:rPr>
          <w:rFonts w:cs="Arial"/>
          <w:sz w:val="22"/>
          <w:szCs w:val="22"/>
        </w:rPr>
      </w:pPr>
    </w:p>
    <w:p w:rsidR="00BA06BB" w:rsidRPr="00EC1137" w:rsidRDefault="00BA06BB" w:rsidP="00683AA4">
      <w:pPr>
        <w:ind w:right="44"/>
        <w:rPr>
          <w:rFonts w:cs="Arial"/>
          <w:sz w:val="22"/>
          <w:szCs w:val="22"/>
          <w:highlight w:val="yellow"/>
        </w:rPr>
      </w:pPr>
    </w:p>
    <w:p w:rsidR="00BA06BB" w:rsidRDefault="00BA06BB" w:rsidP="00BA06BB">
      <w:pPr>
        <w:ind w:right="44"/>
        <w:rPr>
          <w:rFonts w:cs="Arial"/>
          <w:sz w:val="22"/>
          <w:szCs w:val="22"/>
        </w:rPr>
      </w:pPr>
      <w:r w:rsidRPr="00BA06BB">
        <w:rPr>
          <w:rFonts w:cs="Arial"/>
          <w:b/>
          <w:bCs/>
          <w:sz w:val="22"/>
          <w:szCs w:val="22"/>
        </w:rPr>
        <w:t>Informe del Ministerio de Política Territorial,</w:t>
      </w:r>
      <w:r w:rsidRPr="00BA06BB">
        <w:rPr>
          <w:rFonts w:cs="Arial"/>
          <w:sz w:val="22"/>
          <w:szCs w:val="22"/>
        </w:rPr>
        <w:t xml:space="preserve"> acerca de la adecuación del proyecto al orden constitucional de dis</w:t>
      </w:r>
      <w:r w:rsidRPr="00BA06BB">
        <w:rPr>
          <w:rFonts w:cs="Arial"/>
          <w:sz w:val="22"/>
          <w:szCs w:val="22"/>
        </w:rPr>
        <w:lastRenderedPageBreak/>
        <w:t>tribución de competencias entre el Estado y las Comunidades Autónomas, de conformidad con el artículo 26.5, párrafo sexto de la citada Ley 50/1997, de 27 de noviembre.</w:t>
      </w:r>
    </w:p>
    <w:p w:rsidR="00EC1137" w:rsidRDefault="00EC1137" w:rsidP="00BA06BB">
      <w:pPr>
        <w:ind w:right="44"/>
        <w:rPr>
          <w:rFonts w:cs="Arial"/>
          <w:sz w:val="22"/>
          <w:szCs w:val="22"/>
        </w:rPr>
      </w:pPr>
    </w:p>
    <w:p w:rsidR="00EC1137" w:rsidRPr="00BA06BB" w:rsidRDefault="00EC1137" w:rsidP="00EC1137">
      <w:pPr>
        <w:ind w:right="44"/>
        <w:rPr>
          <w:rFonts w:cs="Arial"/>
          <w:sz w:val="22"/>
          <w:szCs w:val="22"/>
        </w:rPr>
      </w:pPr>
      <w:r w:rsidRPr="00EC1137">
        <w:rPr>
          <w:rFonts w:cs="Arial"/>
          <w:sz w:val="22"/>
          <w:szCs w:val="22"/>
        </w:rPr>
        <w:t xml:space="preserve">El </w:t>
      </w:r>
      <w:r>
        <w:rPr>
          <w:rFonts w:cs="Arial"/>
          <w:sz w:val="22"/>
          <w:szCs w:val="22"/>
        </w:rPr>
        <w:t>informe</w:t>
      </w:r>
      <w:r w:rsidR="00D03FF8">
        <w:rPr>
          <w:rFonts w:cs="Arial"/>
          <w:sz w:val="22"/>
          <w:szCs w:val="22"/>
        </w:rPr>
        <w:t>, recibido el 25 de enero de 2023,</w:t>
      </w:r>
      <w:r>
        <w:rPr>
          <w:rFonts w:cs="Arial"/>
          <w:sz w:val="22"/>
          <w:szCs w:val="22"/>
        </w:rPr>
        <w:t xml:space="preserve"> señala que el </w:t>
      </w:r>
      <w:r w:rsidRPr="00EC1137">
        <w:rPr>
          <w:rFonts w:cs="Arial"/>
          <w:sz w:val="22"/>
          <w:szCs w:val="22"/>
        </w:rPr>
        <w:t>contenido del proyecto puede ser considerado como estricto ejercicio de las competencias en materia de bases y coordinación general de la sanidad, atribuidas al Estado por el artículo 149.</w:t>
      </w:r>
      <w:proofErr w:type="gramStart"/>
      <w:r w:rsidRPr="00EC1137">
        <w:rPr>
          <w:rFonts w:cs="Arial"/>
          <w:sz w:val="22"/>
          <w:szCs w:val="22"/>
        </w:rPr>
        <w:t>1.16ª</w:t>
      </w:r>
      <w:proofErr w:type="gramEnd"/>
      <w:r w:rsidRPr="00EC1137">
        <w:rPr>
          <w:rFonts w:cs="Arial"/>
          <w:sz w:val="22"/>
          <w:szCs w:val="22"/>
        </w:rPr>
        <w:t xml:space="preserve"> de la Constitución, tal como se expresa en la Disposición final del proyecto.</w:t>
      </w:r>
      <w:r w:rsidR="009A0246">
        <w:rPr>
          <w:rFonts w:cs="Arial"/>
          <w:sz w:val="22"/>
          <w:szCs w:val="22"/>
        </w:rPr>
        <w:t xml:space="preserve"> </w:t>
      </w:r>
      <w:r w:rsidRPr="00EC1137">
        <w:rPr>
          <w:rFonts w:cs="Arial"/>
          <w:sz w:val="22"/>
          <w:szCs w:val="22"/>
        </w:rPr>
        <w:t xml:space="preserve">Sin embargo, dado que algunas de las normas que se derogan en la disposición derogatoria única de la orden proyectada invocan el título competencial que atribuye al Estado la competencia exclusiva sobre bases y coordinación de la planificación general de la actividad económica ex artículo </w:t>
      </w:r>
      <w:r w:rsidRPr="00EC1137">
        <w:rPr>
          <w:rFonts w:cs="Arial"/>
          <w:sz w:val="22"/>
          <w:szCs w:val="22"/>
        </w:rPr>
        <w:lastRenderedPageBreak/>
        <w:t>149.</w:t>
      </w:r>
      <w:proofErr w:type="gramStart"/>
      <w:r w:rsidRPr="00EC1137">
        <w:rPr>
          <w:rFonts w:cs="Arial"/>
          <w:sz w:val="22"/>
          <w:szCs w:val="22"/>
        </w:rPr>
        <w:t>1.13ª</w:t>
      </w:r>
      <w:proofErr w:type="gramEnd"/>
      <w:r w:rsidRPr="00EC1137">
        <w:rPr>
          <w:rFonts w:cs="Arial"/>
          <w:sz w:val="22"/>
          <w:szCs w:val="22"/>
        </w:rPr>
        <w:t xml:space="preserve"> de la Constitución Española, resulta procedente invocar también ese título en la Disposición final de la orden proyectada con la finalidad de garantizar la adecuada seguridad jurídica.</w:t>
      </w:r>
    </w:p>
    <w:p w:rsidR="00BA06BB" w:rsidRPr="00BA06BB" w:rsidRDefault="00BA06BB" w:rsidP="00BA06BB">
      <w:pPr>
        <w:ind w:right="44"/>
        <w:rPr>
          <w:rFonts w:cs="Arial"/>
          <w:sz w:val="22"/>
          <w:szCs w:val="22"/>
          <w:highlight w:val="yellow"/>
        </w:rPr>
      </w:pPr>
    </w:p>
    <w:p w:rsidR="00BA06BB" w:rsidRDefault="00BA06BB" w:rsidP="00683AA4">
      <w:pPr>
        <w:ind w:right="44"/>
        <w:rPr>
          <w:rFonts w:cs="Arial"/>
          <w:sz w:val="22"/>
          <w:szCs w:val="22"/>
          <w:highlight w:val="yellow"/>
        </w:rPr>
      </w:pPr>
    </w:p>
    <w:p w:rsidR="00BA06BB" w:rsidRPr="00D31045" w:rsidRDefault="00BA06BB" w:rsidP="00BA06BB">
      <w:pPr>
        <w:rPr>
          <w:rFonts w:cs="Arial"/>
          <w:b/>
          <w:bCs/>
          <w:sz w:val="22"/>
          <w:szCs w:val="22"/>
        </w:rPr>
      </w:pPr>
      <w:r w:rsidRPr="00D31045">
        <w:rPr>
          <w:rFonts w:cs="Arial"/>
          <w:b/>
          <w:bCs/>
          <w:sz w:val="22"/>
          <w:szCs w:val="22"/>
        </w:rPr>
        <w:t>Informe de la Comisión Interministerial para la Ordenación Alimentaria.</w:t>
      </w:r>
    </w:p>
    <w:p w:rsidR="00BA06BB" w:rsidRDefault="00BA06BB" w:rsidP="00BA06BB">
      <w:pPr>
        <w:ind w:left="360"/>
        <w:rPr>
          <w:rFonts w:cs="Arial"/>
          <w:sz w:val="22"/>
          <w:szCs w:val="22"/>
        </w:rPr>
      </w:pPr>
    </w:p>
    <w:p w:rsidR="00BA06BB" w:rsidRDefault="00BA06BB" w:rsidP="00BA06BB">
      <w:pPr>
        <w:rPr>
          <w:rFonts w:cs="Arial"/>
          <w:sz w:val="22"/>
          <w:szCs w:val="22"/>
        </w:rPr>
      </w:pPr>
      <w:r>
        <w:rPr>
          <w:rFonts w:cs="Arial"/>
          <w:sz w:val="22"/>
          <w:szCs w:val="22"/>
        </w:rPr>
        <w:t xml:space="preserve">El proyecto recibió </w:t>
      </w:r>
      <w:r w:rsidRPr="00D31045">
        <w:rPr>
          <w:rFonts w:cs="Arial"/>
          <w:sz w:val="22"/>
          <w:szCs w:val="22"/>
        </w:rPr>
        <w:t>el informe favorable en la sesión ordinaria celebrada por la Comisión Interministerial para la Ordenación Alimentaria e</w:t>
      </w:r>
      <w:r w:rsidRPr="009A0246">
        <w:rPr>
          <w:rFonts w:cs="Arial"/>
          <w:sz w:val="22"/>
          <w:szCs w:val="22"/>
        </w:rPr>
        <w:t xml:space="preserve">l </w:t>
      </w:r>
      <w:r w:rsidR="00D03FF8" w:rsidRPr="00D03FF8">
        <w:rPr>
          <w:rFonts w:cs="Arial"/>
          <w:sz w:val="22"/>
          <w:szCs w:val="22"/>
        </w:rPr>
        <w:t>9</w:t>
      </w:r>
      <w:r w:rsidRPr="009B4DC8">
        <w:rPr>
          <w:rFonts w:cs="Arial"/>
          <w:sz w:val="22"/>
          <w:szCs w:val="22"/>
        </w:rPr>
        <w:t xml:space="preserve"> de m</w:t>
      </w:r>
      <w:r w:rsidR="009A0246" w:rsidRPr="009B4DC8">
        <w:rPr>
          <w:rFonts w:cs="Arial"/>
          <w:sz w:val="22"/>
          <w:szCs w:val="22"/>
        </w:rPr>
        <w:t>arzo</w:t>
      </w:r>
      <w:r w:rsidRPr="009B4DC8">
        <w:rPr>
          <w:rFonts w:cs="Arial"/>
          <w:sz w:val="22"/>
          <w:szCs w:val="22"/>
        </w:rPr>
        <w:t xml:space="preserve"> de dos mil veintitrés</w:t>
      </w:r>
      <w:r w:rsidRPr="00D03FF8">
        <w:rPr>
          <w:rFonts w:cs="Arial"/>
          <w:sz w:val="22"/>
          <w:szCs w:val="22"/>
        </w:rPr>
        <w:t>.</w:t>
      </w:r>
    </w:p>
    <w:p w:rsidR="00F70EDF" w:rsidRDefault="00F70EDF" w:rsidP="00BA06BB">
      <w:pPr>
        <w:rPr>
          <w:rFonts w:cs="Arial"/>
          <w:sz w:val="22"/>
          <w:szCs w:val="22"/>
        </w:rPr>
      </w:pPr>
    </w:p>
    <w:p w:rsidR="00F70EDF" w:rsidRDefault="00F70EDF" w:rsidP="00BA06BB">
      <w:pPr>
        <w:rPr>
          <w:rFonts w:cs="Arial"/>
          <w:sz w:val="22"/>
          <w:szCs w:val="22"/>
        </w:rPr>
      </w:pPr>
    </w:p>
    <w:p w:rsidR="00F70EDF" w:rsidRPr="00F70EDF" w:rsidRDefault="00F70EDF" w:rsidP="00F70EDF">
      <w:pPr>
        <w:rPr>
          <w:rFonts w:cs="Arial"/>
          <w:b/>
          <w:sz w:val="22"/>
          <w:szCs w:val="22"/>
        </w:rPr>
      </w:pPr>
      <w:r w:rsidRPr="00F70EDF">
        <w:rPr>
          <w:rFonts w:eastAsia="ヒラギノ角ゴ Pro W3" w:cs="Arial"/>
          <w:b/>
          <w:sz w:val="22"/>
          <w:szCs w:val="22"/>
          <w:lang w:eastAsia="en-US"/>
        </w:rPr>
        <w:t xml:space="preserve">Informe de la Comunicación a la Comisión Europea en aplicación del procedimiento previsto en la Directiva </w:t>
      </w:r>
      <w:r w:rsidRPr="00F70EDF">
        <w:rPr>
          <w:rFonts w:eastAsia="ヒラギノ角ゴ Pro W3" w:cs="Arial"/>
          <w:b/>
          <w:sz w:val="22"/>
          <w:szCs w:val="22"/>
          <w:lang w:eastAsia="en-US"/>
        </w:rPr>
        <w:lastRenderedPageBreak/>
        <w:t>(UE) 2015/1535 del Parlamento Europeo y del Consejo, de 9 de septiembre de 2015 por la que se establece un procedimiento de información en materia de reglamentaciones técnicas y de reglas relativas a los servicios de la sociedad de la información.</w:t>
      </w:r>
    </w:p>
    <w:p w:rsidR="00F70EDF" w:rsidRDefault="00F70EDF" w:rsidP="00BA06BB">
      <w:pPr>
        <w:rPr>
          <w:rFonts w:cs="Arial"/>
          <w:sz w:val="22"/>
          <w:szCs w:val="22"/>
        </w:rPr>
      </w:pPr>
    </w:p>
    <w:p w:rsidR="00BA06BB" w:rsidRDefault="00021465" w:rsidP="00683AA4">
      <w:pPr>
        <w:ind w:right="44"/>
        <w:rPr>
          <w:rFonts w:cs="Arial"/>
          <w:sz w:val="22"/>
          <w:szCs w:val="22"/>
          <w:highlight w:val="yellow"/>
        </w:rPr>
      </w:pPr>
      <w:r>
        <w:rPr>
          <w:rFonts w:cs="Arial"/>
          <w:sz w:val="22"/>
          <w:szCs w:val="22"/>
          <w:highlight w:val="yellow"/>
        </w:rPr>
        <w:t>PENDIENTE</w:t>
      </w:r>
    </w:p>
    <w:p w:rsidR="00BA06BB" w:rsidRDefault="00BA06BB" w:rsidP="00683AA4">
      <w:pPr>
        <w:ind w:right="44"/>
        <w:rPr>
          <w:rFonts w:cs="Arial"/>
          <w:sz w:val="22"/>
          <w:szCs w:val="22"/>
          <w:highlight w:val="yellow"/>
        </w:rPr>
      </w:pPr>
    </w:p>
    <w:p w:rsidR="009A0246" w:rsidRDefault="00BA06BB" w:rsidP="00BA06BB">
      <w:pPr>
        <w:rPr>
          <w:rFonts w:cs="Arial"/>
          <w:b/>
          <w:bCs/>
          <w:sz w:val="22"/>
          <w:szCs w:val="22"/>
        </w:rPr>
      </w:pPr>
      <w:r w:rsidRPr="00D31045">
        <w:rPr>
          <w:rFonts w:cs="Arial"/>
          <w:b/>
          <w:bCs/>
          <w:sz w:val="22"/>
          <w:szCs w:val="22"/>
        </w:rPr>
        <w:t>Informe de la Oficina de Coordinación y de Calidad Normativa del Ministerio de Presidencia, Relaciones con las Cortes y Memoria Democrática</w:t>
      </w:r>
      <w:r w:rsidR="009A0246">
        <w:rPr>
          <w:rFonts w:cs="Arial"/>
          <w:b/>
          <w:bCs/>
          <w:sz w:val="22"/>
          <w:szCs w:val="22"/>
        </w:rPr>
        <w:t xml:space="preserve">, </w:t>
      </w:r>
      <w:r w:rsidR="009A0246" w:rsidRPr="009A0246">
        <w:rPr>
          <w:rFonts w:cs="Arial"/>
          <w:b/>
          <w:bCs/>
          <w:sz w:val="22"/>
          <w:szCs w:val="22"/>
        </w:rPr>
        <w:t>en cumplimiento del artículo 26.9 de la Ley 50/1997, de 27 de noviembre.</w:t>
      </w:r>
    </w:p>
    <w:p w:rsidR="00BA06BB" w:rsidRDefault="00BA06BB" w:rsidP="00BA06BB">
      <w:pPr>
        <w:rPr>
          <w:rFonts w:cs="Arial"/>
          <w:sz w:val="22"/>
          <w:szCs w:val="22"/>
        </w:rPr>
      </w:pPr>
    </w:p>
    <w:p w:rsidR="00021465" w:rsidRDefault="00021465" w:rsidP="00021465">
      <w:pPr>
        <w:ind w:right="44"/>
        <w:rPr>
          <w:rFonts w:cs="Arial"/>
          <w:sz w:val="22"/>
          <w:szCs w:val="22"/>
          <w:highlight w:val="yellow"/>
        </w:rPr>
      </w:pPr>
      <w:r>
        <w:rPr>
          <w:rFonts w:cs="Arial"/>
          <w:sz w:val="22"/>
          <w:szCs w:val="22"/>
          <w:highlight w:val="yellow"/>
        </w:rPr>
        <w:t>PENDIENTE</w:t>
      </w:r>
    </w:p>
    <w:p w:rsidR="00BA06BB" w:rsidRDefault="00BA06BB" w:rsidP="00BA06BB">
      <w:pPr>
        <w:rPr>
          <w:rFonts w:cs="Arial"/>
          <w:sz w:val="22"/>
          <w:szCs w:val="22"/>
        </w:rPr>
      </w:pPr>
    </w:p>
    <w:p w:rsidR="00BA06BB" w:rsidRPr="0078245A" w:rsidRDefault="00BA06BB" w:rsidP="003458AD">
      <w:pPr>
        <w:rPr>
          <w:rFonts w:cs="Arial"/>
          <w:sz w:val="22"/>
          <w:szCs w:val="22"/>
        </w:rPr>
      </w:pPr>
      <w:r w:rsidRPr="00C66A27">
        <w:rPr>
          <w:rFonts w:cs="Arial"/>
          <w:b/>
          <w:sz w:val="22"/>
          <w:szCs w:val="22"/>
        </w:rPr>
        <w:lastRenderedPageBreak/>
        <w:t>Informe del Consejo de Estado</w:t>
      </w:r>
      <w:r>
        <w:rPr>
          <w:rFonts w:cs="Arial"/>
          <w:sz w:val="22"/>
          <w:szCs w:val="22"/>
        </w:rPr>
        <w:t xml:space="preserve"> </w:t>
      </w:r>
      <w:r w:rsidRPr="009A0246">
        <w:rPr>
          <w:rFonts w:cs="Arial"/>
          <w:b/>
          <w:sz w:val="22"/>
          <w:szCs w:val="22"/>
        </w:rPr>
        <w:t>de conformidad con lo establecido en el artículo 22. Dos de la Ley Orgánica 3/1980, de 22 de abril, del Consejo de Estado</w:t>
      </w:r>
      <w:r w:rsidR="009A0246">
        <w:rPr>
          <w:rFonts w:cs="Arial"/>
          <w:b/>
          <w:sz w:val="22"/>
          <w:szCs w:val="22"/>
        </w:rPr>
        <w:t xml:space="preserve">. </w:t>
      </w:r>
    </w:p>
    <w:p w:rsidR="00BA06BB" w:rsidRPr="00D31045" w:rsidRDefault="00BA06BB" w:rsidP="00BA06BB">
      <w:pPr>
        <w:rPr>
          <w:rFonts w:cs="Arial"/>
          <w:sz w:val="22"/>
          <w:szCs w:val="22"/>
        </w:rPr>
      </w:pPr>
    </w:p>
    <w:p w:rsidR="00021465" w:rsidRDefault="00021465" w:rsidP="00021465">
      <w:pPr>
        <w:ind w:right="44"/>
        <w:rPr>
          <w:rFonts w:cs="Arial"/>
          <w:sz w:val="22"/>
          <w:szCs w:val="22"/>
          <w:highlight w:val="yellow"/>
        </w:rPr>
      </w:pPr>
      <w:r>
        <w:rPr>
          <w:rFonts w:cs="Arial"/>
          <w:sz w:val="22"/>
          <w:szCs w:val="22"/>
          <w:highlight w:val="yellow"/>
        </w:rPr>
        <w:t>PENDIENTE</w:t>
      </w:r>
    </w:p>
    <w:p w:rsidR="00BA06BB" w:rsidRDefault="00BA06BB" w:rsidP="00683AA4">
      <w:pPr>
        <w:ind w:right="44"/>
        <w:rPr>
          <w:rFonts w:cs="Arial"/>
          <w:sz w:val="22"/>
          <w:szCs w:val="22"/>
          <w:highlight w:val="yellow"/>
        </w:rPr>
      </w:pPr>
    </w:p>
    <w:p w:rsidR="00D942A1" w:rsidRDefault="00D942A1" w:rsidP="00D942A1">
      <w:pPr>
        <w:ind w:right="44"/>
        <w:rPr>
          <w:rFonts w:cs="Arial"/>
          <w:sz w:val="22"/>
          <w:szCs w:val="22"/>
        </w:rPr>
      </w:pPr>
    </w:p>
    <w:p w:rsidR="00D942A1" w:rsidRPr="001465AC" w:rsidRDefault="00683AA4" w:rsidP="001765E3">
      <w:pPr>
        <w:pStyle w:val="Ttulo1"/>
        <w:rPr>
          <w:lang w:val="pt-PT"/>
        </w:rPr>
      </w:pPr>
      <w:r>
        <w:rPr>
          <w:lang w:val="pt-PT"/>
        </w:rPr>
        <w:t>E</w:t>
      </w:r>
      <w:r w:rsidR="00D942A1" w:rsidRPr="001465AC">
        <w:rPr>
          <w:lang w:val="pt-PT"/>
        </w:rPr>
        <w:t>) ANÁLISIS DE IMPACTOS</w:t>
      </w:r>
    </w:p>
    <w:p w:rsidR="00D942A1" w:rsidRPr="001465AC" w:rsidRDefault="00D942A1" w:rsidP="00D942A1">
      <w:pPr>
        <w:rPr>
          <w:rFonts w:cs="Arial"/>
          <w:b/>
          <w:sz w:val="22"/>
          <w:szCs w:val="22"/>
          <w:u w:val="single"/>
          <w:lang w:val="pt-PT"/>
        </w:rPr>
      </w:pPr>
    </w:p>
    <w:p w:rsidR="00D942A1" w:rsidRDefault="00841F24" w:rsidP="001765E3">
      <w:pPr>
        <w:pStyle w:val="Ttulo2"/>
      </w:pPr>
      <w:r>
        <w:t>1</w:t>
      </w:r>
      <w:r w:rsidR="00D942A1" w:rsidRPr="00DE495A">
        <w:t>.- IMPACTO ECONÓMICO Y PRESUPUESTARIO</w:t>
      </w:r>
    </w:p>
    <w:p w:rsidR="00D942A1" w:rsidRDefault="00D942A1" w:rsidP="00D942A1">
      <w:pPr>
        <w:rPr>
          <w:rFonts w:cs="Arial"/>
          <w:b/>
          <w:sz w:val="22"/>
          <w:szCs w:val="22"/>
        </w:rPr>
      </w:pPr>
    </w:p>
    <w:p w:rsidR="00841F24" w:rsidRPr="00D619E6" w:rsidRDefault="000D5671" w:rsidP="001765E3">
      <w:pPr>
        <w:pStyle w:val="Ttulo3"/>
        <w:numPr>
          <w:ilvl w:val="0"/>
          <w:numId w:val="15"/>
        </w:numPr>
      </w:pPr>
      <w:r>
        <w:t>Impacto económico</w:t>
      </w:r>
    </w:p>
    <w:p w:rsidR="00841F24" w:rsidRDefault="00841F24" w:rsidP="003604AB">
      <w:pPr>
        <w:ind w:right="44"/>
        <w:rPr>
          <w:rFonts w:cs="Arial"/>
          <w:sz w:val="22"/>
          <w:szCs w:val="22"/>
        </w:rPr>
      </w:pPr>
    </w:p>
    <w:p w:rsidR="003604AB" w:rsidRDefault="007A3CCE" w:rsidP="003604AB">
      <w:pPr>
        <w:ind w:right="44"/>
        <w:rPr>
          <w:rFonts w:cs="Arial"/>
          <w:sz w:val="22"/>
          <w:szCs w:val="22"/>
        </w:rPr>
      </w:pPr>
      <w:r w:rsidRPr="008D67CA">
        <w:rPr>
          <w:rFonts w:cs="Arial"/>
          <w:sz w:val="22"/>
          <w:szCs w:val="22"/>
        </w:rPr>
        <w:t xml:space="preserve">El proyecto </w:t>
      </w:r>
      <w:r>
        <w:rPr>
          <w:rFonts w:cs="Arial"/>
          <w:sz w:val="22"/>
          <w:szCs w:val="22"/>
        </w:rPr>
        <w:t>no tiene</w:t>
      </w:r>
      <w:r w:rsidRPr="008D67CA">
        <w:rPr>
          <w:rFonts w:cs="Arial"/>
          <w:sz w:val="22"/>
          <w:szCs w:val="22"/>
        </w:rPr>
        <w:t xml:space="preserve"> </w:t>
      </w:r>
      <w:r>
        <w:rPr>
          <w:rFonts w:cs="Arial"/>
          <w:sz w:val="22"/>
          <w:szCs w:val="22"/>
        </w:rPr>
        <w:t xml:space="preserve">un impacto económico ni para la Administración, ni en los operadores económicos alimentarios, puesto que no incorporará actuaciones o requisitos </w:t>
      </w:r>
      <w:r>
        <w:rPr>
          <w:rFonts w:cs="Arial"/>
          <w:sz w:val="22"/>
          <w:szCs w:val="22"/>
        </w:rPr>
        <w:lastRenderedPageBreak/>
        <w:t>adicionales a los que ya existen, más allá de los relativos a la información que debe figurar en el envase o recipiente donde se comercialicen los coadyuvantes tecnológicos.</w:t>
      </w:r>
      <w:r w:rsidR="003604AB">
        <w:rPr>
          <w:rFonts w:cs="Arial"/>
          <w:sz w:val="22"/>
          <w:szCs w:val="22"/>
        </w:rPr>
        <w:t xml:space="preserve"> </w:t>
      </w:r>
    </w:p>
    <w:p w:rsidR="003604AB" w:rsidRDefault="003604AB" w:rsidP="003604AB">
      <w:pPr>
        <w:ind w:right="44"/>
        <w:rPr>
          <w:rFonts w:cs="Arial"/>
          <w:sz w:val="22"/>
          <w:szCs w:val="22"/>
        </w:rPr>
      </w:pPr>
    </w:p>
    <w:p w:rsidR="00D619E6" w:rsidRPr="0070252B" w:rsidRDefault="00D619E6" w:rsidP="001765E3">
      <w:pPr>
        <w:pStyle w:val="Ttulo3"/>
      </w:pPr>
      <w:r w:rsidRPr="0070252B">
        <w:t>Impacto presupuestario</w:t>
      </w:r>
    </w:p>
    <w:p w:rsidR="00841F24" w:rsidRDefault="00841F24" w:rsidP="003604AB">
      <w:pPr>
        <w:ind w:right="44"/>
        <w:rPr>
          <w:rFonts w:cs="Arial"/>
          <w:sz w:val="22"/>
          <w:szCs w:val="22"/>
        </w:rPr>
      </w:pPr>
    </w:p>
    <w:p w:rsidR="004E07BC" w:rsidRDefault="004E07BC" w:rsidP="003604AB">
      <w:pPr>
        <w:ind w:right="44"/>
        <w:rPr>
          <w:rFonts w:cs="Arial"/>
          <w:sz w:val="22"/>
          <w:szCs w:val="22"/>
        </w:rPr>
      </w:pPr>
      <w:r>
        <w:rPr>
          <w:rFonts w:cs="Arial"/>
          <w:sz w:val="22"/>
          <w:szCs w:val="22"/>
        </w:rPr>
        <w:t xml:space="preserve">La aplicación de la norma no tiene impacto en los presupuestos generales del Estado ni en los presupuestos de las </w:t>
      </w:r>
      <w:r w:rsidRPr="004E07BC">
        <w:rPr>
          <w:rFonts w:cs="Arial"/>
          <w:sz w:val="22"/>
          <w:szCs w:val="22"/>
        </w:rPr>
        <w:t xml:space="preserve">Comunidades Autónomas </w:t>
      </w:r>
      <w:r>
        <w:rPr>
          <w:rFonts w:cs="Arial"/>
          <w:sz w:val="22"/>
          <w:szCs w:val="22"/>
        </w:rPr>
        <w:t>ni</w:t>
      </w:r>
      <w:r w:rsidRPr="004E07BC">
        <w:rPr>
          <w:rFonts w:cs="Arial"/>
          <w:sz w:val="22"/>
          <w:szCs w:val="22"/>
        </w:rPr>
        <w:t xml:space="preserve"> de las Ciudades Autónomas de Ceuta y Melilla</w:t>
      </w:r>
      <w:r>
        <w:rPr>
          <w:rFonts w:cs="Arial"/>
          <w:sz w:val="22"/>
          <w:szCs w:val="22"/>
        </w:rPr>
        <w:t xml:space="preserve">, ya que los controles oficiales ejercidos por estas </w:t>
      </w:r>
      <w:r w:rsidR="004806B9">
        <w:rPr>
          <w:rFonts w:cs="Arial"/>
          <w:sz w:val="22"/>
          <w:szCs w:val="22"/>
        </w:rPr>
        <w:t>ya contemplan los coadyuvantes tecnológicos utilizados en la fabricación de alimentos.</w:t>
      </w:r>
    </w:p>
    <w:p w:rsidR="003604AB" w:rsidRDefault="003604AB" w:rsidP="003604AB">
      <w:pPr>
        <w:ind w:right="44"/>
        <w:rPr>
          <w:rFonts w:cs="Arial"/>
          <w:sz w:val="22"/>
          <w:szCs w:val="22"/>
        </w:rPr>
      </w:pPr>
    </w:p>
    <w:p w:rsidR="00D942A1" w:rsidRDefault="006B42A8" w:rsidP="001765E3">
      <w:pPr>
        <w:pStyle w:val="Ttulo2"/>
      </w:pPr>
      <w:r>
        <w:t>2</w:t>
      </w:r>
      <w:r w:rsidR="00D942A1" w:rsidRPr="008D67CA">
        <w:t>.- EFECTOS EN LA COMPETENCIA EN EL MERCADO</w:t>
      </w:r>
    </w:p>
    <w:p w:rsidR="00D942A1" w:rsidRPr="008D67CA" w:rsidRDefault="00D942A1" w:rsidP="00D942A1">
      <w:pPr>
        <w:rPr>
          <w:rFonts w:cs="Arial"/>
          <w:b/>
          <w:sz w:val="22"/>
          <w:szCs w:val="22"/>
        </w:rPr>
      </w:pPr>
    </w:p>
    <w:p w:rsidR="00D942A1" w:rsidRDefault="00D942A1" w:rsidP="00D942A1">
      <w:pPr>
        <w:ind w:right="44"/>
        <w:rPr>
          <w:rFonts w:cs="Arial"/>
          <w:sz w:val="22"/>
          <w:szCs w:val="22"/>
        </w:rPr>
      </w:pPr>
      <w:r w:rsidRPr="008D67CA">
        <w:rPr>
          <w:rFonts w:cs="Arial"/>
          <w:sz w:val="22"/>
          <w:szCs w:val="22"/>
        </w:rPr>
        <w:lastRenderedPageBreak/>
        <w:t xml:space="preserve">El proyecto </w:t>
      </w:r>
      <w:r>
        <w:rPr>
          <w:rFonts w:cs="Arial"/>
          <w:sz w:val="22"/>
          <w:szCs w:val="22"/>
        </w:rPr>
        <w:t>no tiene</w:t>
      </w:r>
      <w:r w:rsidRPr="008D67CA">
        <w:rPr>
          <w:rFonts w:cs="Arial"/>
          <w:sz w:val="22"/>
          <w:szCs w:val="22"/>
        </w:rPr>
        <w:t xml:space="preserve"> efecto</w:t>
      </w:r>
      <w:r>
        <w:rPr>
          <w:rFonts w:cs="Arial"/>
          <w:sz w:val="22"/>
          <w:szCs w:val="22"/>
        </w:rPr>
        <w:t xml:space="preserve">s definidos en </w:t>
      </w:r>
      <w:r w:rsidRPr="008D67CA">
        <w:rPr>
          <w:rFonts w:cs="Arial"/>
          <w:sz w:val="22"/>
          <w:szCs w:val="22"/>
        </w:rPr>
        <w:t>la unidad de mercado</w:t>
      </w:r>
      <w:r>
        <w:rPr>
          <w:rFonts w:cs="Arial"/>
          <w:sz w:val="22"/>
          <w:szCs w:val="22"/>
        </w:rPr>
        <w:t xml:space="preserve">, </w:t>
      </w:r>
      <w:r w:rsidRPr="008D67CA">
        <w:rPr>
          <w:rFonts w:cs="Arial"/>
          <w:sz w:val="22"/>
          <w:szCs w:val="22"/>
        </w:rPr>
        <w:t>no es susceptible de introducir elementos que distorsionen la competencia en el mercado</w:t>
      </w:r>
      <w:r w:rsidR="00D619E6">
        <w:rPr>
          <w:rFonts w:cs="Arial"/>
          <w:sz w:val="22"/>
          <w:szCs w:val="22"/>
        </w:rPr>
        <w:t xml:space="preserve">, ya que se aplica a todas las empresas que producen </w:t>
      </w:r>
      <w:r w:rsidR="00D502CA">
        <w:rPr>
          <w:rFonts w:cs="Arial"/>
          <w:sz w:val="22"/>
          <w:szCs w:val="22"/>
        </w:rPr>
        <w:t>o utilizan coadyuvantes tecnológicos</w:t>
      </w:r>
      <w:r w:rsidR="00D619E6">
        <w:rPr>
          <w:rFonts w:cs="Arial"/>
          <w:sz w:val="22"/>
          <w:szCs w:val="22"/>
        </w:rPr>
        <w:t>.</w:t>
      </w:r>
    </w:p>
    <w:p w:rsidR="00B820E6" w:rsidRDefault="00B820E6" w:rsidP="00D942A1">
      <w:pPr>
        <w:ind w:right="44"/>
        <w:rPr>
          <w:rFonts w:cs="Arial"/>
          <w:sz w:val="22"/>
          <w:szCs w:val="22"/>
        </w:rPr>
      </w:pPr>
    </w:p>
    <w:p w:rsidR="006B42A8" w:rsidRPr="0070252B" w:rsidRDefault="006B42A8" w:rsidP="001765E3">
      <w:pPr>
        <w:pStyle w:val="Ttulo2"/>
      </w:pPr>
      <w:r w:rsidRPr="0070252B">
        <w:t>3.- EFECTOS EN LAS CARGAS ADMINISTRATIVAS</w:t>
      </w:r>
    </w:p>
    <w:p w:rsidR="00D942A1" w:rsidRDefault="00D942A1" w:rsidP="00D942A1">
      <w:pPr>
        <w:ind w:right="44"/>
        <w:rPr>
          <w:rFonts w:cs="Arial"/>
          <w:sz w:val="22"/>
          <w:szCs w:val="22"/>
        </w:rPr>
      </w:pPr>
    </w:p>
    <w:p w:rsidR="00F44C4E" w:rsidRPr="00CD650F" w:rsidRDefault="00F44C4E" w:rsidP="00F44C4E">
      <w:pPr>
        <w:ind w:right="283"/>
        <w:rPr>
          <w:rFonts w:cs="Arial"/>
          <w:iCs/>
          <w:sz w:val="22"/>
          <w:szCs w:val="22"/>
          <w:lang w:val="es-ES_tradnl"/>
        </w:rPr>
      </w:pPr>
      <w:r w:rsidRPr="00CD650F">
        <w:rPr>
          <w:rFonts w:cs="Arial"/>
          <w:iCs/>
          <w:sz w:val="22"/>
          <w:szCs w:val="22"/>
          <w:lang w:val="es-ES_tradnl"/>
        </w:rPr>
        <w:t>Se consideran cargas administrativas todas aquellas tareas de naturaleza administrativa que deben llevar a cabo las empresas y los ciudadanos para cumplir con las obligaciones derivadas de la norma.</w:t>
      </w:r>
    </w:p>
    <w:p w:rsidR="00F44C4E" w:rsidRPr="00CD650F" w:rsidRDefault="00F44C4E" w:rsidP="00F44C4E">
      <w:pPr>
        <w:ind w:right="283"/>
        <w:rPr>
          <w:rFonts w:cs="Arial"/>
          <w:iCs/>
          <w:sz w:val="22"/>
          <w:szCs w:val="22"/>
          <w:lang w:val="es-ES_tradnl"/>
        </w:rPr>
      </w:pPr>
    </w:p>
    <w:p w:rsidR="00F44C4E" w:rsidRPr="00CD650F" w:rsidRDefault="00F44C4E" w:rsidP="00F44C4E">
      <w:pPr>
        <w:ind w:right="283"/>
        <w:rPr>
          <w:rFonts w:cs="Arial"/>
          <w:iCs/>
          <w:sz w:val="22"/>
          <w:szCs w:val="22"/>
          <w:lang w:val="es-ES_tradnl"/>
        </w:rPr>
      </w:pPr>
      <w:r w:rsidRPr="00CD650F">
        <w:rPr>
          <w:rFonts w:cs="Arial"/>
          <w:iCs/>
          <w:sz w:val="22"/>
          <w:szCs w:val="22"/>
          <w:lang w:val="es-ES_tradnl"/>
        </w:rPr>
        <w:t xml:space="preserve">Con el fin de determinar la posible generación de estas cargas por parte del proyecto normativo planteado, éste debe someterse a una “detección y medición de dichas </w:t>
      </w:r>
      <w:r w:rsidRPr="00CD650F">
        <w:rPr>
          <w:rFonts w:cs="Arial"/>
          <w:iCs/>
          <w:sz w:val="22"/>
          <w:szCs w:val="22"/>
          <w:lang w:val="es-ES_tradnl"/>
        </w:rPr>
        <w:lastRenderedPageBreak/>
        <w:t>cargas administrativas”, tal y como establece el artículo 2.1.e) del Real Decreto 931/2017, de 27 de octubre, por el que se regula la memoria del análisis de impacto normativo.</w:t>
      </w:r>
    </w:p>
    <w:p w:rsidR="00F44C4E" w:rsidRPr="00CD650F" w:rsidRDefault="00F44C4E" w:rsidP="00F44C4E">
      <w:pPr>
        <w:ind w:right="283"/>
        <w:rPr>
          <w:rFonts w:cs="Arial"/>
          <w:iCs/>
          <w:sz w:val="22"/>
          <w:szCs w:val="22"/>
          <w:lang w:val="es-ES_tradnl"/>
        </w:rPr>
      </w:pPr>
    </w:p>
    <w:p w:rsidR="00F44C4E" w:rsidRPr="00CD650F" w:rsidRDefault="00F44C4E" w:rsidP="00F44C4E">
      <w:pPr>
        <w:ind w:right="283"/>
        <w:rPr>
          <w:rFonts w:cs="Arial"/>
          <w:iCs/>
          <w:sz w:val="22"/>
          <w:szCs w:val="22"/>
          <w:lang w:val="es-ES_tradnl"/>
        </w:rPr>
      </w:pPr>
      <w:r w:rsidRPr="00CD650F">
        <w:rPr>
          <w:rFonts w:cs="Arial"/>
          <w:iCs/>
          <w:sz w:val="22"/>
          <w:szCs w:val="22"/>
          <w:lang w:val="es-ES_tradnl"/>
        </w:rPr>
        <w:t>En este sentido, el presente proyecto normativo no genera nuevas obligaciones para empresas ni ciudadanos.</w:t>
      </w:r>
    </w:p>
    <w:p w:rsidR="00D619E6" w:rsidRPr="00DE495A" w:rsidRDefault="00D619E6" w:rsidP="00D942A1">
      <w:pPr>
        <w:ind w:right="44"/>
        <w:rPr>
          <w:rFonts w:cs="Arial"/>
          <w:sz w:val="22"/>
          <w:szCs w:val="22"/>
        </w:rPr>
      </w:pPr>
    </w:p>
    <w:p w:rsidR="00D942A1" w:rsidRPr="00DE495A" w:rsidRDefault="00D942A1" w:rsidP="00D942A1">
      <w:pPr>
        <w:rPr>
          <w:rFonts w:cs="Arial"/>
          <w:b/>
          <w:sz w:val="22"/>
          <w:szCs w:val="22"/>
        </w:rPr>
      </w:pPr>
      <w:r>
        <w:rPr>
          <w:rFonts w:cs="Arial"/>
          <w:b/>
          <w:sz w:val="22"/>
          <w:szCs w:val="22"/>
        </w:rPr>
        <w:t>4</w:t>
      </w:r>
      <w:r w:rsidRPr="00DE495A">
        <w:rPr>
          <w:rFonts w:cs="Arial"/>
          <w:b/>
          <w:sz w:val="22"/>
          <w:szCs w:val="22"/>
        </w:rPr>
        <w:t>.- IMPACTO POR RAZÓN DE GÉNERO</w:t>
      </w:r>
    </w:p>
    <w:p w:rsidR="00D942A1" w:rsidRDefault="00D942A1" w:rsidP="00D942A1">
      <w:pPr>
        <w:rPr>
          <w:rFonts w:cs="Arial"/>
          <w:bCs/>
          <w:sz w:val="22"/>
          <w:szCs w:val="22"/>
        </w:rPr>
      </w:pPr>
    </w:p>
    <w:p w:rsidR="00D942A1" w:rsidRDefault="00D942A1" w:rsidP="00D942A1">
      <w:pPr>
        <w:rPr>
          <w:rFonts w:cs="Arial"/>
          <w:bCs/>
          <w:sz w:val="22"/>
          <w:szCs w:val="22"/>
        </w:rPr>
      </w:pPr>
      <w:r w:rsidRPr="00DE495A">
        <w:rPr>
          <w:rFonts w:cs="Arial"/>
          <w:bCs/>
          <w:sz w:val="22"/>
          <w:szCs w:val="22"/>
        </w:rPr>
        <w:t xml:space="preserve">El </w:t>
      </w:r>
      <w:r>
        <w:rPr>
          <w:rFonts w:cs="Arial"/>
          <w:bCs/>
          <w:sz w:val="22"/>
          <w:szCs w:val="22"/>
        </w:rPr>
        <w:t xml:space="preserve">real decreto tiene un impacto </w:t>
      </w:r>
      <w:r w:rsidRPr="00DE495A">
        <w:rPr>
          <w:rFonts w:cs="Arial"/>
          <w:bCs/>
          <w:sz w:val="22"/>
          <w:szCs w:val="22"/>
        </w:rPr>
        <w:t>nulo</w:t>
      </w:r>
      <w:r>
        <w:rPr>
          <w:rFonts w:cs="Arial"/>
          <w:bCs/>
          <w:sz w:val="22"/>
          <w:szCs w:val="22"/>
        </w:rPr>
        <w:t xml:space="preserve"> por razón de género</w:t>
      </w:r>
      <w:r w:rsidRPr="00DE495A">
        <w:rPr>
          <w:rFonts w:cs="Arial"/>
          <w:bCs/>
          <w:sz w:val="22"/>
          <w:szCs w:val="22"/>
        </w:rPr>
        <w:t xml:space="preserve">, a efectos de lo previsto en el artículo </w:t>
      </w:r>
      <w:r>
        <w:rPr>
          <w:rFonts w:cs="Arial"/>
          <w:bCs/>
          <w:sz w:val="22"/>
          <w:szCs w:val="22"/>
        </w:rPr>
        <w:t xml:space="preserve">26.3.f) </w:t>
      </w:r>
      <w:r w:rsidRPr="00DE495A">
        <w:rPr>
          <w:rFonts w:cs="Arial"/>
          <w:bCs/>
          <w:sz w:val="22"/>
          <w:szCs w:val="22"/>
        </w:rPr>
        <w:t>de la Ley 50/1997, de 27 de noviembre, del Gobierno.</w:t>
      </w:r>
    </w:p>
    <w:p w:rsidR="006B42A8" w:rsidRDefault="006B42A8" w:rsidP="00D942A1">
      <w:pPr>
        <w:rPr>
          <w:rFonts w:cs="Arial"/>
          <w:bCs/>
          <w:sz w:val="22"/>
          <w:szCs w:val="22"/>
        </w:rPr>
      </w:pPr>
    </w:p>
    <w:p w:rsidR="006B42A8" w:rsidRPr="001765E3" w:rsidRDefault="006B42A8" w:rsidP="006B42A8">
      <w:pPr>
        <w:rPr>
          <w:rFonts w:cs="Arial"/>
          <w:b/>
          <w:sz w:val="22"/>
          <w:szCs w:val="22"/>
        </w:rPr>
      </w:pPr>
      <w:r w:rsidRPr="001765E3">
        <w:rPr>
          <w:rFonts w:cs="Arial"/>
          <w:b/>
          <w:sz w:val="22"/>
          <w:szCs w:val="22"/>
        </w:rPr>
        <w:t xml:space="preserve">5.- IMPACTO EN RELACIÓN CON LA FAMILIA </w:t>
      </w:r>
    </w:p>
    <w:p w:rsidR="006B42A8" w:rsidRDefault="006B42A8" w:rsidP="006B42A8">
      <w:pPr>
        <w:rPr>
          <w:rFonts w:cs="Arial"/>
          <w:sz w:val="22"/>
          <w:szCs w:val="22"/>
        </w:rPr>
      </w:pPr>
    </w:p>
    <w:p w:rsidR="00500E9C" w:rsidRDefault="006B42A8" w:rsidP="006B42A8">
      <w:pPr>
        <w:rPr>
          <w:rFonts w:cs="Arial"/>
          <w:sz w:val="22"/>
          <w:szCs w:val="22"/>
        </w:rPr>
      </w:pPr>
      <w:r w:rsidRPr="006B42A8">
        <w:rPr>
          <w:rFonts w:cs="Arial"/>
          <w:sz w:val="22"/>
          <w:szCs w:val="22"/>
        </w:rPr>
        <w:lastRenderedPageBreak/>
        <w:t>No presenta impactos en lo que respecta a la familia, de acuerdo con lo previsto en la disposición adicional décima de la Ley 40/2003, de 18 de noviembre, de protección a las familias numerosas.</w:t>
      </w:r>
    </w:p>
    <w:p w:rsidR="00E120F3" w:rsidRDefault="00E120F3" w:rsidP="006B42A8">
      <w:pPr>
        <w:rPr>
          <w:rFonts w:cs="Arial"/>
          <w:sz w:val="22"/>
          <w:szCs w:val="22"/>
        </w:rPr>
      </w:pPr>
    </w:p>
    <w:p w:rsidR="00E120F3" w:rsidRDefault="00E120F3" w:rsidP="006B42A8">
      <w:pPr>
        <w:rPr>
          <w:rFonts w:cs="Arial"/>
          <w:b/>
          <w:sz w:val="22"/>
          <w:szCs w:val="22"/>
        </w:rPr>
      </w:pPr>
      <w:r w:rsidRPr="0032323C">
        <w:rPr>
          <w:rFonts w:cs="Arial"/>
          <w:b/>
          <w:sz w:val="22"/>
          <w:szCs w:val="22"/>
        </w:rPr>
        <w:t>6</w:t>
      </w:r>
      <w:r>
        <w:rPr>
          <w:rFonts w:cs="Arial"/>
          <w:sz w:val="22"/>
          <w:szCs w:val="22"/>
        </w:rPr>
        <w:t>.</w:t>
      </w:r>
      <w:r w:rsidRPr="0032323C">
        <w:rPr>
          <w:rFonts w:cs="Arial"/>
          <w:b/>
          <w:sz w:val="22"/>
          <w:szCs w:val="22"/>
        </w:rPr>
        <w:t>-</w:t>
      </w:r>
      <w:r>
        <w:rPr>
          <w:rFonts w:cs="Arial"/>
          <w:sz w:val="22"/>
          <w:szCs w:val="22"/>
        </w:rPr>
        <w:t xml:space="preserve"> </w:t>
      </w:r>
      <w:r w:rsidRPr="001765E3">
        <w:rPr>
          <w:rFonts w:cs="Arial"/>
          <w:b/>
          <w:sz w:val="22"/>
          <w:szCs w:val="22"/>
        </w:rPr>
        <w:t>IMPACTO EN RELACIÓN CON LA INFANCIA Y LA ADOLESCENCIA</w:t>
      </w:r>
    </w:p>
    <w:p w:rsidR="00E120F3" w:rsidRDefault="00E120F3" w:rsidP="006B42A8">
      <w:pPr>
        <w:rPr>
          <w:rFonts w:cs="Arial"/>
          <w:b/>
          <w:sz w:val="22"/>
          <w:szCs w:val="22"/>
        </w:rPr>
      </w:pPr>
    </w:p>
    <w:p w:rsidR="00E120F3" w:rsidRDefault="00E120F3" w:rsidP="00E120F3">
      <w:pPr>
        <w:rPr>
          <w:rFonts w:cs="Arial"/>
          <w:sz w:val="22"/>
          <w:szCs w:val="22"/>
        </w:rPr>
      </w:pPr>
      <w:r w:rsidRPr="006B42A8">
        <w:rPr>
          <w:rFonts w:cs="Arial"/>
          <w:sz w:val="22"/>
          <w:szCs w:val="22"/>
        </w:rPr>
        <w:t xml:space="preserve">No presenta impactos en lo que respecta a la infancia y la adolescencia, tal y como exige el artículo 22 </w:t>
      </w:r>
      <w:proofErr w:type="spellStart"/>
      <w:r w:rsidRPr="006B42A8">
        <w:rPr>
          <w:rFonts w:cs="Arial"/>
          <w:sz w:val="22"/>
          <w:szCs w:val="22"/>
        </w:rPr>
        <w:t>quinquies</w:t>
      </w:r>
      <w:proofErr w:type="spellEnd"/>
      <w:r w:rsidRPr="006B42A8">
        <w:rPr>
          <w:rFonts w:cs="Arial"/>
          <w:sz w:val="22"/>
          <w:szCs w:val="22"/>
        </w:rPr>
        <w:t xml:space="preserve"> de la Ley Orgánica 1/1996, de 15 de enero, de Protección Jurídica del Menor, </w:t>
      </w:r>
    </w:p>
    <w:p w:rsidR="00D942A1" w:rsidRDefault="00D942A1" w:rsidP="00D942A1">
      <w:pPr>
        <w:rPr>
          <w:rFonts w:cs="Arial"/>
          <w:b/>
          <w:sz w:val="22"/>
          <w:szCs w:val="22"/>
        </w:rPr>
      </w:pPr>
    </w:p>
    <w:p w:rsidR="006B42A8" w:rsidRPr="006B42A8" w:rsidRDefault="00E120F3" w:rsidP="006B42A8">
      <w:pPr>
        <w:rPr>
          <w:rFonts w:cs="Arial"/>
          <w:b/>
          <w:sz w:val="22"/>
          <w:szCs w:val="22"/>
        </w:rPr>
      </w:pPr>
      <w:r>
        <w:rPr>
          <w:rFonts w:cs="Arial"/>
          <w:b/>
          <w:sz w:val="22"/>
          <w:szCs w:val="22"/>
        </w:rPr>
        <w:t>7</w:t>
      </w:r>
      <w:r w:rsidR="006B42A8" w:rsidRPr="006B42A8">
        <w:rPr>
          <w:rFonts w:cs="Arial"/>
          <w:b/>
          <w:sz w:val="22"/>
          <w:szCs w:val="22"/>
        </w:rPr>
        <w:t>.- IMPACTO POR RAZÓN DE CAMBIO CLIMÁTICO</w:t>
      </w:r>
    </w:p>
    <w:p w:rsidR="006B42A8" w:rsidRDefault="006B42A8" w:rsidP="006B42A8">
      <w:pPr>
        <w:rPr>
          <w:rFonts w:cs="Arial"/>
          <w:b/>
          <w:sz w:val="22"/>
          <w:szCs w:val="22"/>
        </w:rPr>
      </w:pPr>
    </w:p>
    <w:p w:rsidR="006B42A8" w:rsidRPr="001765E3" w:rsidRDefault="006B42A8" w:rsidP="006B42A8">
      <w:pPr>
        <w:rPr>
          <w:rFonts w:cs="Arial"/>
          <w:sz w:val="22"/>
          <w:szCs w:val="22"/>
        </w:rPr>
      </w:pPr>
      <w:r w:rsidRPr="001765E3">
        <w:rPr>
          <w:rFonts w:cs="Arial"/>
          <w:sz w:val="22"/>
          <w:szCs w:val="22"/>
        </w:rPr>
        <w:lastRenderedPageBreak/>
        <w:t>El impacto por razón de cambio climático, cuyo análisis se lleva a cabo en virtud de lo establecido en el artículo 26.3 h) de la Ley del Gobierno, se considera nulo.</w:t>
      </w:r>
    </w:p>
    <w:p w:rsidR="00F6000F" w:rsidRDefault="00F6000F" w:rsidP="00D942A1">
      <w:pPr>
        <w:rPr>
          <w:rFonts w:cs="Arial"/>
          <w:sz w:val="22"/>
          <w:szCs w:val="22"/>
        </w:rPr>
        <w:sectPr w:rsidR="00F6000F" w:rsidSect="00307EC9">
          <w:headerReference w:type="default" r:id="rId8"/>
          <w:footerReference w:type="default" r:id="rId9"/>
          <w:headerReference w:type="first" r:id="rId10"/>
          <w:pgSz w:w="11906" w:h="16838" w:code="9"/>
          <w:pgMar w:top="2268" w:right="992" w:bottom="1418" w:left="1134" w:header="624" w:footer="709" w:gutter="0"/>
          <w:cols w:space="708"/>
          <w:titlePg/>
          <w:docGrid w:linePitch="360"/>
        </w:sectPr>
      </w:pPr>
    </w:p>
    <w:p w:rsidR="006B42A8" w:rsidRPr="001765E3" w:rsidRDefault="006B42A8" w:rsidP="00D942A1">
      <w:pPr>
        <w:rPr>
          <w:rFonts w:cs="Arial"/>
          <w:sz w:val="22"/>
          <w:szCs w:val="22"/>
        </w:rPr>
      </w:pPr>
    </w:p>
    <w:p w:rsidR="00D942A1" w:rsidRPr="00DE495A" w:rsidRDefault="00E120F3" w:rsidP="00D942A1">
      <w:pPr>
        <w:rPr>
          <w:rFonts w:cs="Arial"/>
          <w:b/>
          <w:sz w:val="22"/>
          <w:szCs w:val="22"/>
        </w:rPr>
      </w:pPr>
      <w:r>
        <w:rPr>
          <w:rFonts w:cs="Arial"/>
          <w:b/>
          <w:sz w:val="22"/>
          <w:szCs w:val="22"/>
        </w:rPr>
        <w:t>8</w:t>
      </w:r>
      <w:r w:rsidR="00D942A1" w:rsidRPr="00DE495A">
        <w:rPr>
          <w:rFonts w:cs="Arial"/>
          <w:b/>
          <w:sz w:val="22"/>
          <w:szCs w:val="22"/>
        </w:rPr>
        <w:t>.- OTROS IMPACTOS</w:t>
      </w:r>
    </w:p>
    <w:p w:rsidR="00D942A1" w:rsidRPr="00DE495A" w:rsidRDefault="00D942A1" w:rsidP="00D942A1">
      <w:pPr>
        <w:rPr>
          <w:rFonts w:cs="Arial"/>
          <w:iCs/>
          <w:sz w:val="22"/>
          <w:szCs w:val="22"/>
        </w:rPr>
      </w:pPr>
    </w:p>
    <w:p w:rsidR="00D942A1" w:rsidRPr="00DE495A" w:rsidRDefault="00D942A1" w:rsidP="00D942A1">
      <w:pPr>
        <w:rPr>
          <w:rFonts w:cs="Arial"/>
          <w:iCs/>
          <w:sz w:val="22"/>
          <w:szCs w:val="22"/>
        </w:rPr>
      </w:pPr>
      <w:r w:rsidRPr="00DE495A">
        <w:rPr>
          <w:rFonts w:cs="Arial"/>
          <w:iCs/>
          <w:sz w:val="22"/>
          <w:szCs w:val="22"/>
        </w:rPr>
        <w:t>No existen otros impactos significativos en materia de igualdad de oportunidades, no discriminación</w:t>
      </w:r>
      <w:r>
        <w:rPr>
          <w:rFonts w:cs="Arial"/>
          <w:iCs/>
          <w:sz w:val="22"/>
          <w:szCs w:val="22"/>
        </w:rPr>
        <w:t xml:space="preserve"> en el desarrollo o uso de los medios y servicios de la administración digital, ni por</w:t>
      </w:r>
      <w:r w:rsidRPr="00DE495A">
        <w:rPr>
          <w:rFonts w:cs="Arial"/>
          <w:iCs/>
          <w:sz w:val="22"/>
          <w:szCs w:val="22"/>
        </w:rPr>
        <w:t xml:space="preserve"> accesibilidad universal de las personas con discapacidad.</w:t>
      </w:r>
    </w:p>
    <w:p w:rsidR="007A3CCE" w:rsidRPr="00DE495A" w:rsidRDefault="007A3CCE" w:rsidP="00D942A1">
      <w:pPr>
        <w:rPr>
          <w:rFonts w:cs="Arial"/>
          <w:iCs/>
          <w:sz w:val="22"/>
          <w:szCs w:val="22"/>
        </w:rPr>
      </w:pPr>
    </w:p>
    <w:p w:rsidR="006B42A8" w:rsidRPr="001765E3" w:rsidRDefault="00B87CC3" w:rsidP="006B42A8">
      <w:pPr>
        <w:rPr>
          <w:rFonts w:cs="Arial"/>
          <w:b/>
          <w:iCs/>
          <w:sz w:val="22"/>
          <w:szCs w:val="22"/>
        </w:rPr>
      </w:pPr>
      <w:r>
        <w:rPr>
          <w:rFonts w:cs="Arial"/>
          <w:b/>
          <w:iCs/>
          <w:sz w:val="22"/>
          <w:szCs w:val="22"/>
        </w:rPr>
        <w:t>F</w:t>
      </w:r>
      <w:r w:rsidR="0004380D" w:rsidRPr="0004380D">
        <w:rPr>
          <w:rFonts w:cs="Arial"/>
          <w:b/>
          <w:iCs/>
          <w:sz w:val="22"/>
          <w:szCs w:val="22"/>
        </w:rPr>
        <w:t xml:space="preserve">) </w:t>
      </w:r>
      <w:r w:rsidR="006B42A8" w:rsidRPr="001765E3">
        <w:rPr>
          <w:rFonts w:cs="Arial"/>
          <w:b/>
          <w:iCs/>
          <w:sz w:val="22"/>
          <w:szCs w:val="22"/>
        </w:rPr>
        <w:t>EVALUACIÓN EX POST</w:t>
      </w:r>
    </w:p>
    <w:p w:rsidR="006B42A8" w:rsidRPr="006B42A8" w:rsidRDefault="006B42A8" w:rsidP="006B42A8">
      <w:pPr>
        <w:rPr>
          <w:rFonts w:cs="Arial"/>
          <w:iCs/>
          <w:sz w:val="22"/>
          <w:szCs w:val="22"/>
        </w:rPr>
      </w:pPr>
    </w:p>
    <w:p w:rsidR="00D942A1" w:rsidRDefault="006B42A8" w:rsidP="00D942A1">
      <w:pPr>
        <w:rPr>
          <w:rFonts w:cs="Arial"/>
          <w:iCs/>
          <w:sz w:val="22"/>
          <w:szCs w:val="22"/>
        </w:rPr>
      </w:pPr>
      <w:r w:rsidRPr="006B42A8">
        <w:rPr>
          <w:rFonts w:cs="Arial"/>
          <w:iCs/>
          <w:sz w:val="22"/>
          <w:szCs w:val="22"/>
        </w:rPr>
        <w:t xml:space="preserve">A la vista de lo establecido en los artículos 25.2 y 28.2 de la Ley 50/1997, de 27 de noviembre, y en el artículo 3 del </w:t>
      </w:r>
      <w:r w:rsidRPr="006B42A8">
        <w:rPr>
          <w:rFonts w:cs="Arial"/>
          <w:iCs/>
          <w:sz w:val="22"/>
          <w:szCs w:val="22"/>
        </w:rPr>
        <w:lastRenderedPageBreak/>
        <w:t xml:space="preserve">Real Decreto 286/2017, de 24 de marzo, por el que se regulan el Plan Anual Normativo y el Informe Anual de Evaluación Normativa de la Administración General del Estado y se crea la Junta de Planificación y Evaluación Normativa, este Departamento considera que esta norma </w:t>
      </w:r>
      <w:r>
        <w:rPr>
          <w:rFonts w:cs="Arial"/>
          <w:iCs/>
          <w:sz w:val="22"/>
          <w:szCs w:val="22"/>
        </w:rPr>
        <w:t xml:space="preserve">no </w:t>
      </w:r>
      <w:r w:rsidRPr="006B42A8">
        <w:rPr>
          <w:rFonts w:cs="Arial"/>
          <w:iCs/>
          <w:sz w:val="22"/>
          <w:szCs w:val="22"/>
        </w:rPr>
        <w:t>reúne los requisitos que determinan la necesidad de su sometimiento al análisis de los resultados de su aplicación, regulado en citada normativa</w:t>
      </w:r>
      <w:r>
        <w:rPr>
          <w:rFonts w:cs="Arial"/>
          <w:iCs/>
          <w:sz w:val="22"/>
          <w:szCs w:val="22"/>
        </w:rPr>
        <w:t xml:space="preserve">, por lo que no se requiere </w:t>
      </w:r>
      <w:r w:rsidRPr="006B42A8">
        <w:rPr>
          <w:rFonts w:cs="Arial"/>
          <w:iCs/>
          <w:sz w:val="22"/>
          <w:szCs w:val="22"/>
        </w:rPr>
        <w:t>una evaluación ex-post.</w:t>
      </w:r>
    </w:p>
    <w:p w:rsidR="00262301" w:rsidRDefault="00262301" w:rsidP="00B25C65">
      <w:pPr>
        <w:pStyle w:val="Textoindependiente"/>
        <w:rPr>
          <w:rFonts w:cs="Arial"/>
          <w:sz w:val="22"/>
          <w:szCs w:val="22"/>
        </w:rPr>
      </w:pPr>
    </w:p>
    <w:p w:rsidR="00F6000F" w:rsidRDefault="00F6000F" w:rsidP="00B25C65">
      <w:pPr>
        <w:pStyle w:val="Textoindependiente"/>
        <w:rPr>
          <w:rFonts w:cs="Arial"/>
          <w:sz w:val="22"/>
          <w:szCs w:val="22"/>
        </w:rPr>
      </w:pPr>
    </w:p>
    <w:p w:rsidR="00584E40" w:rsidRDefault="00584E40" w:rsidP="00B25C65">
      <w:pPr>
        <w:pStyle w:val="Textoindependiente"/>
        <w:rPr>
          <w:rFonts w:cs="Arial"/>
          <w:sz w:val="22"/>
          <w:szCs w:val="22"/>
        </w:rPr>
        <w:sectPr w:rsidR="00584E40" w:rsidSect="00262301">
          <w:type w:val="continuous"/>
          <w:pgSz w:w="11906" w:h="16838" w:code="9"/>
          <w:pgMar w:top="2268" w:right="992" w:bottom="1418" w:left="1134" w:header="624" w:footer="709" w:gutter="0"/>
          <w:cols w:space="708"/>
          <w:titlePg/>
          <w:docGrid w:linePitch="360"/>
        </w:sectPr>
      </w:pPr>
    </w:p>
    <w:p w:rsidR="009727D0" w:rsidRDefault="009727D0" w:rsidP="005D4B47">
      <w:pPr>
        <w:pStyle w:val="Textoindependiente"/>
        <w:rPr>
          <w:rFonts w:cs="Arial"/>
          <w:sz w:val="22"/>
          <w:szCs w:val="22"/>
        </w:rPr>
      </w:pPr>
    </w:p>
    <w:sectPr w:rsidR="009727D0" w:rsidSect="005D4B47">
      <w:type w:val="continuous"/>
      <w:pgSz w:w="11906" w:h="16838" w:code="9"/>
      <w:pgMar w:top="2268" w:right="992" w:bottom="1418" w:left="2410"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BF" w:rsidRDefault="001C34BF">
      <w:r>
        <w:separator/>
      </w:r>
    </w:p>
  </w:endnote>
  <w:endnote w:type="continuationSeparator" w:id="0">
    <w:p w:rsidR="001C34BF" w:rsidRDefault="001C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Gothic"/>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061721"/>
      <w:docPartObj>
        <w:docPartGallery w:val="Page Numbers (Bottom of Page)"/>
        <w:docPartUnique/>
      </w:docPartObj>
    </w:sdtPr>
    <w:sdtEndPr/>
    <w:sdtContent>
      <w:p w:rsidR="005411C5" w:rsidRDefault="005411C5">
        <w:pPr>
          <w:pStyle w:val="Piedepgina"/>
          <w:jc w:val="center"/>
        </w:pPr>
        <w:r>
          <w:fldChar w:fldCharType="begin"/>
        </w:r>
        <w:r>
          <w:instrText>PAGE   \* MERGEFORMAT</w:instrText>
        </w:r>
        <w:r>
          <w:fldChar w:fldCharType="separate"/>
        </w:r>
        <w:r w:rsidR="00FB63A0">
          <w:rPr>
            <w:noProof/>
          </w:rPr>
          <w:t>17</w:t>
        </w:r>
        <w:r>
          <w:fldChar w:fldCharType="end"/>
        </w:r>
      </w:p>
    </w:sdtContent>
  </w:sdt>
  <w:p w:rsidR="005411C5" w:rsidRDefault="005411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BF" w:rsidRDefault="001C34BF">
      <w:r>
        <w:separator/>
      </w:r>
    </w:p>
  </w:footnote>
  <w:footnote w:type="continuationSeparator" w:id="0">
    <w:p w:rsidR="001C34BF" w:rsidRDefault="001C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1C5" w:rsidRDefault="005411C5">
    <w:pPr>
      <w:pStyle w:val="Encabezado"/>
    </w:pPr>
    <w:r w:rsidRPr="00687C07">
      <w:rPr>
        <w:noProof/>
      </w:rPr>
      <w:drawing>
        <wp:anchor distT="0" distB="0" distL="114300" distR="114300" simplePos="0" relativeHeight="251659264" behindDoc="0" locked="0" layoutInCell="1" allowOverlap="1" wp14:anchorId="3AA5163E" wp14:editId="6A53256F">
          <wp:simplePos x="0" y="0"/>
          <wp:positionH relativeFrom="column">
            <wp:posOffset>0</wp:posOffset>
          </wp:positionH>
          <wp:positionV relativeFrom="paragraph">
            <wp:posOffset>170815</wp:posOffset>
          </wp:positionV>
          <wp:extent cx="2237740" cy="612775"/>
          <wp:effectExtent l="0" t="0" r="0" b="0"/>
          <wp:wrapTopAndBottom/>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740" cy="612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1C5" w:rsidRDefault="005411C5">
    <w:pPr>
      <w:pStyle w:val="Encabezado"/>
    </w:pPr>
    <w:r w:rsidRPr="00687C07">
      <w:rPr>
        <w:noProof/>
      </w:rPr>
      <w:drawing>
        <wp:anchor distT="0" distB="0" distL="114300" distR="114300" simplePos="0" relativeHeight="251661312" behindDoc="0" locked="0" layoutInCell="1" allowOverlap="1" wp14:anchorId="0A66E19E" wp14:editId="27EA2A50">
          <wp:simplePos x="0" y="0"/>
          <wp:positionH relativeFrom="column">
            <wp:posOffset>0</wp:posOffset>
          </wp:positionH>
          <wp:positionV relativeFrom="paragraph">
            <wp:posOffset>170815</wp:posOffset>
          </wp:positionV>
          <wp:extent cx="2237740" cy="61277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740" cy="612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B916B4"/>
    <w:multiLevelType w:val="hybridMultilevel"/>
    <w:tmpl w:val="BEA2D5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C022BC"/>
    <w:multiLevelType w:val="hybridMultilevel"/>
    <w:tmpl w:val="6ADD6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7031E"/>
    <w:multiLevelType w:val="hybridMultilevel"/>
    <w:tmpl w:val="A4865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D85360"/>
    <w:multiLevelType w:val="hybridMultilevel"/>
    <w:tmpl w:val="BC98A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9D4D9F"/>
    <w:multiLevelType w:val="hybridMultilevel"/>
    <w:tmpl w:val="3B92AE3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5092D"/>
    <w:multiLevelType w:val="hybridMultilevel"/>
    <w:tmpl w:val="4A40F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D2194"/>
    <w:multiLevelType w:val="hybridMultilevel"/>
    <w:tmpl w:val="1AF6ABC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40295C"/>
    <w:multiLevelType w:val="hybridMultilevel"/>
    <w:tmpl w:val="AD9E17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5E0441"/>
    <w:multiLevelType w:val="hybridMultilevel"/>
    <w:tmpl w:val="C316C854"/>
    <w:lvl w:ilvl="0" w:tplc="2C8E8ADE">
      <w:start w:val="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F2735B"/>
    <w:multiLevelType w:val="hybridMultilevel"/>
    <w:tmpl w:val="A4865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A7EC3"/>
    <w:multiLevelType w:val="hybridMultilevel"/>
    <w:tmpl w:val="BF1E7DFA"/>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9B94F2A"/>
    <w:multiLevelType w:val="hybridMultilevel"/>
    <w:tmpl w:val="D1507DE2"/>
    <w:lvl w:ilvl="0" w:tplc="D29E8F6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FC1AB5"/>
    <w:multiLevelType w:val="hybridMultilevel"/>
    <w:tmpl w:val="31D70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29178E"/>
    <w:multiLevelType w:val="hybridMultilevel"/>
    <w:tmpl w:val="0EC02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5C44D4"/>
    <w:multiLevelType w:val="hybridMultilevel"/>
    <w:tmpl w:val="B70A9CBE"/>
    <w:lvl w:ilvl="0" w:tplc="13748F90">
      <w:start w:val="1"/>
      <w:numFmt w:val="lowerLetter"/>
      <w:pStyle w:val="Ttulo3"/>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9F07A6"/>
    <w:multiLevelType w:val="hybridMultilevel"/>
    <w:tmpl w:val="2354B6B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4B13B35"/>
    <w:multiLevelType w:val="hybridMultilevel"/>
    <w:tmpl w:val="817EF6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7578F6"/>
    <w:multiLevelType w:val="hybridMultilevel"/>
    <w:tmpl w:val="3E8CD64A"/>
    <w:lvl w:ilvl="0" w:tplc="20420B64">
      <w:start w:val="2"/>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AB609F1"/>
    <w:multiLevelType w:val="hybridMultilevel"/>
    <w:tmpl w:val="2D78D5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931541"/>
    <w:multiLevelType w:val="hybridMultilevel"/>
    <w:tmpl w:val="2F66C7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FB5162"/>
    <w:multiLevelType w:val="multilevel"/>
    <w:tmpl w:val="C54C6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869EC"/>
    <w:multiLevelType w:val="hybridMultilevel"/>
    <w:tmpl w:val="A912A2FE"/>
    <w:lvl w:ilvl="0" w:tplc="2C8E8ADE">
      <w:start w:val="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4754F1"/>
    <w:multiLevelType w:val="hybridMultilevel"/>
    <w:tmpl w:val="93BAB0E2"/>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46FA3A4C">
      <w:start w:val="1"/>
      <w:numFmt w:val="decimal"/>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D3E119B"/>
    <w:multiLevelType w:val="hybridMultilevel"/>
    <w:tmpl w:val="B2E482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D67CE"/>
    <w:multiLevelType w:val="hybridMultilevel"/>
    <w:tmpl w:val="A48655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F2F9B6"/>
    <w:multiLevelType w:val="hybridMultilevel"/>
    <w:tmpl w:val="4F29C4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3324A7"/>
    <w:multiLevelType w:val="hybridMultilevel"/>
    <w:tmpl w:val="BF18AF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9E27D8"/>
    <w:multiLevelType w:val="hybridMultilevel"/>
    <w:tmpl w:val="298644B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75A5152E"/>
    <w:multiLevelType w:val="multilevel"/>
    <w:tmpl w:val="6DCA5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320EF"/>
    <w:multiLevelType w:val="hybridMultilevel"/>
    <w:tmpl w:val="54CC7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1"/>
  </w:num>
  <w:num w:numId="3">
    <w:abstractNumId w:val="26"/>
  </w:num>
  <w:num w:numId="4">
    <w:abstractNumId w:val="14"/>
  </w:num>
  <w:num w:numId="5">
    <w:abstractNumId w:val="17"/>
  </w:num>
  <w:num w:numId="6">
    <w:abstractNumId w:val="8"/>
  </w:num>
  <w:num w:numId="7">
    <w:abstractNumId w:val="21"/>
  </w:num>
  <w:num w:numId="8">
    <w:abstractNumId w:val="13"/>
  </w:num>
  <w:num w:numId="9">
    <w:abstractNumId w:val="3"/>
  </w:num>
  <w:num w:numId="10">
    <w:abstractNumId w:val="14"/>
  </w:num>
  <w:num w:numId="11">
    <w:abstractNumId w:val="14"/>
    <w:lvlOverride w:ilvl="0">
      <w:startOverride w:val="1"/>
    </w:lvlOverride>
  </w:num>
  <w:num w:numId="12">
    <w:abstractNumId w:val="14"/>
  </w:num>
  <w:num w:numId="13">
    <w:abstractNumId w:val="14"/>
    <w:lvlOverride w:ilvl="0">
      <w:startOverride w:val="2"/>
    </w:lvlOverride>
  </w:num>
  <w:num w:numId="14">
    <w:abstractNumId w:val="14"/>
  </w:num>
  <w:num w:numId="15">
    <w:abstractNumId w:val="14"/>
    <w:lvlOverride w:ilvl="0">
      <w:startOverride w:val="1"/>
    </w:lvlOverride>
  </w:num>
  <w:num w:numId="16">
    <w:abstractNumId w:val="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7"/>
  </w:num>
  <w:num w:numId="20">
    <w:abstractNumId w:val="15"/>
  </w:num>
  <w:num w:numId="21">
    <w:abstractNumId w:val="14"/>
    <w:lvlOverride w:ilvl="0">
      <w:startOverride w:val="1"/>
    </w:lvlOverride>
  </w:num>
  <w:num w:numId="22">
    <w:abstractNumId w:val="2"/>
  </w:num>
  <w:num w:numId="23">
    <w:abstractNumId w:val="24"/>
  </w:num>
  <w:num w:numId="24">
    <w:abstractNumId w:val="10"/>
  </w:num>
  <w:num w:numId="25">
    <w:abstractNumId w:val="9"/>
  </w:num>
  <w:num w:numId="26">
    <w:abstractNumId w:val="22"/>
  </w:num>
  <w:num w:numId="27">
    <w:abstractNumId w:val="28"/>
  </w:num>
  <w:num w:numId="28">
    <w:abstractNumId w:val="20"/>
  </w:num>
  <w:num w:numId="29">
    <w:abstractNumId w:val="0"/>
  </w:num>
  <w:num w:numId="30">
    <w:abstractNumId w:val="12"/>
  </w:num>
  <w:num w:numId="31">
    <w:abstractNumId w:val="16"/>
  </w:num>
  <w:num w:numId="32">
    <w:abstractNumId w:val="1"/>
  </w:num>
  <w:num w:numId="33">
    <w:abstractNumId w:val="25"/>
  </w:num>
  <w:num w:numId="34">
    <w:abstractNumId w:val="23"/>
  </w:num>
  <w:num w:numId="35">
    <w:abstractNumId w:val="19"/>
  </w:num>
  <w:num w:numId="36">
    <w:abstractNumId w:val="29"/>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A1"/>
    <w:rsid w:val="00000ADE"/>
    <w:rsid w:val="00001632"/>
    <w:rsid w:val="000047A7"/>
    <w:rsid w:val="00004B39"/>
    <w:rsid w:val="00012206"/>
    <w:rsid w:val="0001303C"/>
    <w:rsid w:val="00013173"/>
    <w:rsid w:val="00020C18"/>
    <w:rsid w:val="00021465"/>
    <w:rsid w:val="00023D60"/>
    <w:rsid w:val="00023F5E"/>
    <w:rsid w:val="00027275"/>
    <w:rsid w:val="000313D9"/>
    <w:rsid w:val="0003464B"/>
    <w:rsid w:val="00034CAF"/>
    <w:rsid w:val="00036098"/>
    <w:rsid w:val="00040654"/>
    <w:rsid w:val="0004380D"/>
    <w:rsid w:val="00044EEA"/>
    <w:rsid w:val="0005411C"/>
    <w:rsid w:val="00054821"/>
    <w:rsid w:val="00055850"/>
    <w:rsid w:val="00055946"/>
    <w:rsid w:val="000627BF"/>
    <w:rsid w:val="00063405"/>
    <w:rsid w:val="00064CA5"/>
    <w:rsid w:val="00067523"/>
    <w:rsid w:val="0006781D"/>
    <w:rsid w:val="00070A77"/>
    <w:rsid w:val="000771A7"/>
    <w:rsid w:val="0008472D"/>
    <w:rsid w:val="0008595C"/>
    <w:rsid w:val="000911E0"/>
    <w:rsid w:val="000A06CB"/>
    <w:rsid w:val="000A2C68"/>
    <w:rsid w:val="000A435E"/>
    <w:rsid w:val="000B5F1D"/>
    <w:rsid w:val="000B78DD"/>
    <w:rsid w:val="000C504E"/>
    <w:rsid w:val="000C57B8"/>
    <w:rsid w:val="000C79EA"/>
    <w:rsid w:val="000D5671"/>
    <w:rsid w:val="000E2832"/>
    <w:rsid w:val="000E53B0"/>
    <w:rsid w:val="000F1815"/>
    <w:rsid w:val="000F503D"/>
    <w:rsid w:val="000F51A3"/>
    <w:rsid w:val="00100736"/>
    <w:rsid w:val="001269FB"/>
    <w:rsid w:val="0013148A"/>
    <w:rsid w:val="00131AC8"/>
    <w:rsid w:val="0013420D"/>
    <w:rsid w:val="00147336"/>
    <w:rsid w:val="00147BAB"/>
    <w:rsid w:val="00155DB7"/>
    <w:rsid w:val="00163283"/>
    <w:rsid w:val="00165380"/>
    <w:rsid w:val="001744D0"/>
    <w:rsid w:val="0017518C"/>
    <w:rsid w:val="00176001"/>
    <w:rsid w:val="001765E3"/>
    <w:rsid w:val="00182C58"/>
    <w:rsid w:val="001839DA"/>
    <w:rsid w:val="00192CFC"/>
    <w:rsid w:val="0019648A"/>
    <w:rsid w:val="00197515"/>
    <w:rsid w:val="001975EB"/>
    <w:rsid w:val="001A0082"/>
    <w:rsid w:val="001A2973"/>
    <w:rsid w:val="001A2BAD"/>
    <w:rsid w:val="001A6A51"/>
    <w:rsid w:val="001B5928"/>
    <w:rsid w:val="001B6F30"/>
    <w:rsid w:val="001B7665"/>
    <w:rsid w:val="001C0323"/>
    <w:rsid w:val="001C3150"/>
    <w:rsid w:val="001C34BF"/>
    <w:rsid w:val="001D76DD"/>
    <w:rsid w:val="001E102E"/>
    <w:rsid w:val="001E5224"/>
    <w:rsid w:val="001E5CAD"/>
    <w:rsid w:val="001F7707"/>
    <w:rsid w:val="002116C9"/>
    <w:rsid w:val="00211A0D"/>
    <w:rsid w:val="00222239"/>
    <w:rsid w:val="0022726B"/>
    <w:rsid w:val="0022761E"/>
    <w:rsid w:val="00230414"/>
    <w:rsid w:val="00230CD5"/>
    <w:rsid w:val="00231E0D"/>
    <w:rsid w:val="0023237A"/>
    <w:rsid w:val="002356DE"/>
    <w:rsid w:val="002450A0"/>
    <w:rsid w:val="00245947"/>
    <w:rsid w:val="00245D53"/>
    <w:rsid w:val="002555AA"/>
    <w:rsid w:val="00260FD4"/>
    <w:rsid w:val="002619EF"/>
    <w:rsid w:val="00262301"/>
    <w:rsid w:val="00265B00"/>
    <w:rsid w:val="0027127A"/>
    <w:rsid w:val="002805E4"/>
    <w:rsid w:val="00282E88"/>
    <w:rsid w:val="00284115"/>
    <w:rsid w:val="0029409C"/>
    <w:rsid w:val="002959B9"/>
    <w:rsid w:val="00297FEA"/>
    <w:rsid w:val="002A0000"/>
    <w:rsid w:val="002A0BFB"/>
    <w:rsid w:val="002A5A31"/>
    <w:rsid w:val="002A66F8"/>
    <w:rsid w:val="002B196E"/>
    <w:rsid w:val="002C0CEF"/>
    <w:rsid w:val="002C1ACB"/>
    <w:rsid w:val="002D1738"/>
    <w:rsid w:val="002E0CEB"/>
    <w:rsid w:val="002E0EC9"/>
    <w:rsid w:val="002E2DFC"/>
    <w:rsid w:val="002F0020"/>
    <w:rsid w:val="002F0196"/>
    <w:rsid w:val="003041C5"/>
    <w:rsid w:val="003058F2"/>
    <w:rsid w:val="00306200"/>
    <w:rsid w:val="00306F6E"/>
    <w:rsid w:val="00307EC9"/>
    <w:rsid w:val="00315553"/>
    <w:rsid w:val="0032323C"/>
    <w:rsid w:val="00325070"/>
    <w:rsid w:val="003276D9"/>
    <w:rsid w:val="00331F34"/>
    <w:rsid w:val="0033431E"/>
    <w:rsid w:val="0033483B"/>
    <w:rsid w:val="00334B4D"/>
    <w:rsid w:val="00343E4A"/>
    <w:rsid w:val="003458AD"/>
    <w:rsid w:val="00355F6A"/>
    <w:rsid w:val="00357F34"/>
    <w:rsid w:val="003604AB"/>
    <w:rsid w:val="003610A6"/>
    <w:rsid w:val="00377C33"/>
    <w:rsid w:val="00382C78"/>
    <w:rsid w:val="00386FB7"/>
    <w:rsid w:val="003909BF"/>
    <w:rsid w:val="00391487"/>
    <w:rsid w:val="00392A92"/>
    <w:rsid w:val="003960C5"/>
    <w:rsid w:val="0039709B"/>
    <w:rsid w:val="003A09C3"/>
    <w:rsid w:val="003A1C68"/>
    <w:rsid w:val="003A4070"/>
    <w:rsid w:val="003B2FB5"/>
    <w:rsid w:val="003B77D7"/>
    <w:rsid w:val="003C064E"/>
    <w:rsid w:val="003C306C"/>
    <w:rsid w:val="003C362D"/>
    <w:rsid w:val="003C57DD"/>
    <w:rsid w:val="003D0633"/>
    <w:rsid w:val="003D2866"/>
    <w:rsid w:val="003F59C1"/>
    <w:rsid w:val="00404101"/>
    <w:rsid w:val="0042373A"/>
    <w:rsid w:val="00423B67"/>
    <w:rsid w:val="00424D39"/>
    <w:rsid w:val="00431FDF"/>
    <w:rsid w:val="00432D94"/>
    <w:rsid w:val="00434776"/>
    <w:rsid w:val="004542E9"/>
    <w:rsid w:val="00455A75"/>
    <w:rsid w:val="00455C5C"/>
    <w:rsid w:val="00456AB8"/>
    <w:rsid w:val="00456BEA"/>
    <w:rsid w:val="0046265F"/>
    <w:rsid w:val="004640A3"/>
    <w:rsid w:val="004717AF"/>
    <w:rsid w:val="00473C29"/>
    <w:rsid w:val="00474EA8"/>
    <w:rsid w:val="004806B9"/>
    <w:rsid w:val="00480EB2"/>
    <w:rsid w:val="0048158C"/>
    <w:rsid w:val="00483300"/>
    <w:rsid w:val="00483E86"/>
    <w:rsid w:val="004850EE"/>
    <w:rsid w:val="0049154A"/>
    <w:rsid w:val="00494B17"/>
    <w:rsid w:val="00495235"/>
    <w:rsid w:val="004A0DB9"/>
    <w:rsid w:val="004A1D30"/>
    <w:rsid w:val="004B2BE2"/>
    <w:rsid w:val="004B50E5"/>
    <w:rsid w:val="004B56D9"/>
    <w:rsid w:val="004E07BC"/>
    <w:rsid w:val="004E23CD"/>
    <w:rsid w:val="004E3370"/>
    <w:rsid w:val="004F01B4"/>
    <w:rsid w:val="004F1BF9"/>
    <w:rsid w:val="004F2AF7"/>
    <w:rsid w:val="004F2D66"/>
    <w:rsid w:val="004F7F57"/>
    <w:rsid w:val="00500E9C"/>
    <w:rsid w:val="005059CA"/>
    <w:rsid w:val="005109BD"/>
    <w:rsid w:val="0051247F"/>
    <w:rsid w:val="00514AB1"/>
    <w:rsid w:val="005238E7"/>
    <w:rsid w:val="005244F4"/>
    <w:rsid w:val="00530691"/>
    <w:rsid w:val="00532656"/>
    <w:rsid w:val="00533B1B"/>
    <w:rsid w:val="00537D03"/>
    <w:rsid w:val="005411C5"/>
    <w:rsid w:val="00553E22"/>
    <w:rsid w:val="005566BC"/>
    <w:rsid w:val="005631DB"/>
    <w:rsid w:val="00567C1B"/>
    <w:rsid w:val="005704DE"/>
    <w:rsid w:val="005710B7"/>
    <w:rsid w:val="00572EBE"/>
    <w:rsid w:val="005761C4"/>
    <w:rsid w:val="00584E40"/>
    <w:rsid w:val="00586231"/>
    <w:rsid w:val="00592F7E"/>
    <w:rsid w:val="005A286E"/>
    <w:rsid w:val="005A678B"/>
    <w:rsid w:val="005A70BC"/>
    <w:rsid w:val="005B12A8"/>
    <w:rsid w:val="005B1F82"/>
    <w:rsid w:val="005B2A37"/>
    <w:rsid w:val="005B3E48"/>
    <w:rsid w:val="005C0ED1"/>
    <w:rsid w:val="005C2EB6"/>
    <w:rsid w:val="005D46B5"/>
    <w:rsid w:val="005D4B47"/>
    <w:rsid w:val="005D75C4"/>
    <w:rsid w:val="005D7C8C"/>
    <w:rsid w:val="005E01F4"/>
    <w:rsid w:val="005E324E"/>
    <w:rsid w:val="005E40DA"/>
    <w:rsid w:val="00606DC0"/>
    <w:rsid w:val="00610413"/>
    <w:rsid w:val="00613D30"/>
    <w:rsid w:val="00615954"/>
    <w:rsid w:val="006200A6"/>
    <w:rsid w:val="006212D7"/>
    <w:rsid w:val="006314A7"/>
    <w:rsid w:val="00631649"/>
    <w:rsid w:val="006319A9"/>
    <w:rsid w:val="006358D8"/>
    <w:rsid w:val="00640C3B"/>
    <w:rsid w:val="00644C62"/>
    <w:rsid w:val="00646679"/>
    <w:rsid w:val="00651D4D"/>
    <w:rsid w:val="00660CE2"/>
    <w:rsid w:val="00666786"/>
    <w:rsid w:val="00674BCC"/>
    <w:rsid w:val="006752E5"/>
    <w:rsid w:val="006819CB"/>
    <w:rsid w:val="00683AA4"/>
    <w:rsid w:val="00686378"/>
    <w:rsid w:val="006869E5"/>
    <w:rsid w:val="006947A6"/>
    <w:rsid w:val="00696254"/>
    <w:rsid w:val="006A081C"/>
    <w:rsid w:val="006A2A72"/>
    <w:rsid w:val="006A3640"/>
    <w:rsid w:val="006A70B4"/>
    <w:rsid w:val="006B42A8"/>
    <w:rsid w:val="006B64A7"/>
    <w:rsid w:val="006B70DC"/>
    <w:rsid w:val="006C0DAE"/>
    <w:rsid w:val="006C3CB7"/>
    <w:rsid w:val="006D05DD"/>
    <w:rsid w:val="006D0C4D"/>
    <w:rsid w:val="006D2FA2"/>
    <w:rsid w:val="006D3475"/>
    <w:rsid w:val="006D37DF"/>
    <w:rsid w:val="006D6EEC"/>
    <w:rsid w:val="006E0CBE"/>
    <w:rsid w:val="006E2A48"/>
    <w:rsid w:val="006E45A6"/>
    <w:rsid w:val="006F1B8C"/>
    <w:rsid w:val="006F4DB1"/>
    <w:rsid w:val="006F4DB4"/>
    <w:rsid w:val="007007CE"/>
    <w:rsid w:val="007022ED"/>
    <w:rsid w:val="0070252B"/>
    <w:rsid w:val="00703B63"/>
    <w:rsid w:val="0072313B"/>
    <w:rsid w:val="00727B67"/>
    <w:rsid w:val="00730EAC"/>
    <w:rsid w:val="00732BCE"/>
    <w:rsid w:val="00732DAE"/>
    <w:rsid w:val="007341D3"/>
    <w:rsid w:val="00734562"/>
    <w:rsid w:val="00743071"/>
    <w:rsid w:val="00746102"/>
    <w:rsid w:val="007519BA"/>
    <w:rsid w:val="00752B8F"/>
    <w:rsid w:val="00753A44"/>
    <w:rsid w:val="00760E01"/>
    <w:rsid w:val="0078245A"/>
    <w:rsid w:val="007844C7"/>
    <w:rsid w:val="007877C5"/>
    <w:rsid w:val="00787B48"/>
    <w:rsid w:val="007945C5"/>
    <w:rsid w:val="007A1B73"/>
    <w:rsid w:val="007A3CCE"/>
    <w:rsid w:val="007A659C"/>
    <w:rsid w:val="007A777C"/>
    <w:rsid w:val="007C1C01"/>
    <w:rsid w:val="007C6386"/>
    <w:rsid w:val="007C63C5"/>
    <w:rsid w:val="007D00AD"/>
    <w:rsid w:val="007D105B"/>
    <w:rsid w:val="007D4303"/>
    <w:rsid w:val="007D4A15"/>
    <w:rsid w:val="007D4FAB"/>
    <w:rsid w:val="007E7DE1"/>
    <w:rsid w:val="007F1016"/>
    <w:rsid w:val="007F269F"/>
    <w:rsid w:val="007F5E5C"/>
    <w:rsid w:val="0081208F"/>
    <w:rsid w:val="008125DB"/>
    <w:rsid w:val="00840CFF"/>
    <w:rsid w:val="00841F24"/>
    <w:rsid w:val="00845E61"/>
    <w:rsid w:val="0084796D"/>
    <w:rsid w:val="008513E1"/>
    <w:rsid w:val="0085786C"/>
    <w:rsid w:val="00861AA8"/>
    <w:rsid w:val="00874D72"/>
    <w:rsid w:val="008774CC"/>
    <w:rsid w:val="008824CF"/>
    <w:rsid w:val="00891362"/>
    <w:rsid w:val="0089327F"/>
    <w:rsid w:val="00893E72"/>
    <w:rsid w:val="008968C5"/>
    <w:rsid w:val="008B02EC"/>
    <w:rsid w:val="008B12B2"/>
    <w:rsid w:val="008B4101"/>
    <w:rsid w:val="008B50AE"/>
    <w:rsid w:val="008B5E0B"/>
    <w:rsid w:val="008C3784"/>
    <w:rsid w:val="008D078F"/>
    <w:rsid w:val="008D5D94"/>
    <w:rsid w:val="008E5D98"/>
    <w:rsid w:val="008E6593"/>
    <w:rsid w:val="008F03DD"/>
    <w:rsid w:val="008F2746"/>
    <w:rsid w:val="008F68B6"/>
    <w:rsid w:val="0090593C"/>
    <w:rsid w:val="00911566"/>
    <w:rsid w:val="009121E3"/>
    <w:rsid w:val="00917A27"/>
    <w:rsid w:val="00923E65"/>
    <w:rsid w:val="009312D5"/>
    <w:rsid w:val="00934829"/>
    <w:rsid w:val="0095016D"/>
    <w:rsid w:val="00951C51"/>
    <w:rsid w:val="0095392D"/>
    <w:rsid w:val="0096489B"/>
    <w:rsid w:val="009664DA"/>
    <w:rsid w:val="00967DD4"/>
    <w:rsid w:val="00972615"/>
    <w:rsid w:val="009727D0"/>
    <w:rsid w:val="00985335"/>
    <w:rsid w:val="00992763"/>
    <w:rsid w:val="00992F03"/>
    <w:rsid w:val="00992FF9"/>
    <w:rsid w:val="009936C9"/>
    <w:rsid w:val="0099436B"/>
    <w:rsid w:val="00995C24"/>
    <w:rsid w:val="009A0246"/>
    <w:rsid w:val="009A2EB6"/>
    <w:rsid w:val="009A51D7"/>
    <w:rsid w:val="009A5F16"/>
    <w:rsid w:val="009B31DE"/>
    <w:rsid w:val="009B4DC8"/>
    <w:rsid w:val="009B5308"/>
    <w:rsid w:val="009B66C2"/>
    <w:rsid w:val="009C0348"/>
    <w:rsid w:val="009C0503"/>
    <w:rsid w:val="009C17FF"/>
    <w:rsid w:val="009C33E2"/>
    <w:rsid w:val="009D3092"/>
    <w:rsid w:val="009D3992"/>
    <w:rsid w:val="009D3C8D"/>
    <w:rsid w:val="009D484C"/>
    <w:rsid w:val="009D7B5C"/>
    <w:rsid w:val="009E03D1"/>
    <w:rsid w:val="009E1CF9"/>
    <w:rsid w:val="009E33D2"/>
    <w:rsid w:val="009E5FA1"/>
    <w:rsid w:val="009E66C1"/>
    <w:rsid w:val="00A106ED"/>
    <w:rsid w:val="00A1560F"/>
    <w:rsid w:val="00A26B14"/>
    <w:rsid w:val="00A30F16"/>
    <w:rsid w:val="00A4377D"/>
    <w:rsid w:val="00A45807"/>
    <w:rsid w:val="00A6024F"/>
    <w:rsid w:val="00A60885"/>
    <w:rsid w:val="00A66AB4"/>
    <w:rsid w:val="00A72A03"/>
    <w:rsid w:val="00A72D8C"/>
    <w:rsid w:val="00A822E8"/>
    <w:rsid w:val="00A84CA2"/>
    <w:rsid w:val="00A85DEB"/>
    <w:rsid w:val="00A94C53"/>
    <w:rsid w:val="00A95F97"/>
    <w:rsid w:val="00A96B03"/>
    <w:rsid w:val="00A971DC"/>
    <w:rsid w:val="00AA031D"/>
    <w:rsid w:val="00AA33F3"/>
    <w:rsid w:val="00AA6C04"/>
    <w:rsid w:val="00AA7252"/>
    <w:rsid w:val="00AB0E5D"/>
    <w:rsid w:val="00AB7F3F"/>
    <w:rsid w:val="00AC36C8"/>
    <w:rsid w:val="00AC7F24"/>
    <w:rsid w:val="00AD3518"/>
    <w:rsid w:val="00AD757D"/>
    <w:rsid w:val="00AE7CFC"/>
    <w:rsid w:val="00AF0B4C"/>
    <w:rsid w:val="00AF2CA4"/>
    <w:rsid w:val="00AF63F4"/>
    <w:rsid w:val="00AF706C"/>
    <w:rsid w:val="00B001C6"/>
    <w:rsid w:val="00B03909"/>
    <w:rsid w:val="00B0763E"/>
    <w:rsid w:val="00B21208"/>
    <w:rsid w:val="00B21BC9"/>
    <w:rsid w:val="00B23E29"/>
    <w:rsid w:val="00B249B2"/>
    <w:rsid w:val="00B25C65"/>
    <w:rsid w:val="00B33A43"/>
    <w:rsid w:val="00B471A6"/>
    <w:rsid w:val="00B50D39"/>
    <w:rsid w:val="00B544B5"/>
    <w:rsid w:val="00B655E5"/>
    <w:rsid w:val="00B66854"/>
    <w:rsid w:val="00B70D58"/>
    <w:rsid w:val="00B73757"/>
    <w:rsid w:val="00B74B75"/>
    <w:rsid w:val="00B820E6"/>
    <w:rsid w:val="00B873F6"/>
    <w:rsid w:val="00B87CC3"/>
    <w:rsid w:val="00B94DD2"/>
    <w:rsid w:val="00B95B36"/>
    <w:rsid w:val="00B96F3B"/>
    <w:rsid w:val="00BA06BB"/>
    <w:rsid w:val="00BA1A1C"/>
    <w:rsid w:val="00BA2204"/>
    <w:rsid w:val="00BA2A78"/>
    <w:rsid w:val="00BA63DE"/>
    <w:rsid w:val="00BB26CC"/>
    <w:rsid w:val="00BB3D57"/>
    <w:rsid w:val="00BB4222"/>
    <w:rsid w:val="00BB724B"/>
    <w:rsid w:val="00BC532B"/>
    <w:rsid w:val="00BD2FB1"/>
    <w:rsid w:val="00BE1E79"/>
    <w:rsid w:val="00BE5D2B"/>
    <w:rsid w:val="00BF79AC"/>
    <w:rsid w:val="00BF7CD4"/>
    <w:rsid w:val="00C06C17"/>
    <w:rsid w:val="00C16121"/>
    <w:rsid w:val="00C17395"/>
    <w:rsid w:val="00C208B3"/>
    <w:rsid w:val="00C4519E"/>
    <w:rsid w:val="00C45784"/>
    <w:rsid w:val="00C46D48"/>
    <w:rsid w:val="00C47857"/>
    <w:rsid w:val="00C47B72"/>
    <w:rsid w:val="00C50434"/>
    <w:rsid w:val="00C551BB"/>
    <w:rsid w:val="00C57C2B"/>
    <w:rsid w:val="00C67AC8"/>
    <w:rsid w:val="00C81046"/>
    <w:rsid w:val="00C87D7F"/>
    <w:rsid w:val="00C87FB7"/>
    <w:rsid w:val="00C9100B"/>
    <w:rsid w:val="00C9514E"/>
    <w:rsid w:val="00CB54B3"/>
    <w:rsid w:val="00CB76DE"/>
    <w:rsid w:val="00CC1BC8"/>
    <w:rsid w:val="00CC61FF"/>
    <w:rsid w:val="00CD30FA"/>
    <w:rsid w:val="00CD427B"/>
    <w:rsid w:val="00CD7EFA"/>
    <w:rsid w:val="00CE1A3F"/>
    <w:rsid w:val="00CE33DB"/>
    <w:rsid w:val="00CE7891"/>
    <w:rsid w:val="00CF0CA1"/>
    <w:rsid w:val="00CF1BBA"/>
    <w:rsid w:val="00CF69E6"/>
    <w:rsid w:val="00CF74CE"/>
    <w:rsid w:val="00D038E6"/>
    <w:rsid w:val="00D03FF8"/>
    <w:rsid w:val="00D1380D"/>
    <w:rsid w:val="00D15D57"/>
    <w:rsid w:val="00D22873"/>
    <w:rsid w:val="00D241A2"/>
    <w:rsid w:val="00D312E4"/>
    <w:rsid w:val="00D3503B"/>
    <w:rsid w:val="00D41910"/>
    <w:rsid w:val="00D502CA"/>
    <w:rsid w:val="00D549BA"/>
    <w:rsid w:val="00D619E6"/>
    <w:rsid w:val="00D63719"/>
    <w:rsid w:val="00D64F6C"/>
    <w:rsid w:val="00D7672B"/>
    <w:rsid w:val="00D83C67"/>
    <w:rsid w:val="00D84461"/>
    <w:rsid w:val="00D84E3B"/>
    <w:rsid w:val="00D942A1"/>
    <w:rsid w:val="00D9530D"/>
    <w:rsid w:val="00D9642C"/>
    <w:rsid w:val="00DA0358"/>
    <w:rsid w:val="00DB4B19"/>
    <w:rsid w:val="00DD77B7"/>
    <w:rsid w:val="00DE1C02"/>
    <w:rsid w:val="00DF3099"/>
    <w:rsid w:val="00DF5BE7"/>
    <w:rsid w:val="00E0086D"/>
    <w:rsid w:val="00E01980"/>
    <w:rsid w:val="00E120F3"/>
    <w:rsid w:val="00E12304"/>
    <w:rsid w:val="00E1289D"/>
    <w:rsid w:val="00E25C53"/>
    <w:rsid w:val="00E33FB3"/>
    <w:rsid w:val="00E342E7"/>
    <w:rsid w:val="00E565B9"/>
    <w:rsid w:val="00E6692B"/>
    <w:rsid w:val="00E67DFF"/>
    <w:rsid w:val="00E72607"/>
    <w:rsid w:val="00E750C3"/>
    <w:rsid w:val="00E752C5"/>
    <w:rsid w:val="00E75978"/>
    <w:rsid w:val="00E77F58"/>
    <w:rsid w:val="00E82AB8"/>
    <w:rsid w:val="00E85DAD"/>
    <w:rsid w:val="00E97E0C"/>
    <w:rsid w:val="00EB1E72"/>
    <w:rsid w:val="00EC1137"/>
    <w:rsid w:val="00EC4491"/>
    <w:rsid w:val="00EC6F53"/>
    <w:rsid w:val="00EC7F63"/>
    <w:rsid w:val="00ED1A5E"/>
    <w:rsid w:val="00ED2582"/>
    <w:rsid w:val="00ED6DF9"/>
    <w:rsid w:val="00EE5B63"/>
    <w:rsid w:val="00EE6294"/>
    <w:rsid w:val="00EE7360"/>
    <w:rsid w:val="00EF3C63"/>
    <w:rsid w:val="00EF5E14"/>
    <w:rsid w:val="00F00C1D"/>
    <w:rsid w:val="00F02084"/>
    <w:rsid w:val="00F033B3"/>
    <w:rsid w:val="00F06A8F"/>
    <w:rsid w:val="00F1304E"/>
    <w:rsid w:val="00F26861"/>
    <w:rsid w:val="00F31564"/>
    <w:rsid w:val="00F32356"/>
    <w:rsid w:val="00F353FB"/>
    <w:rsid w:val="00F36C5A"/>
    <w:rsid w:val="00F40EF1"/>
    <w:rsid w:val="00F44641"/>
    <w:rsid w:val="00F44751"/>
    <w:rsid w:val="00F44774"/>
    <w:rsid w:val="00F44C4E"/>
    <w:rsid w:val="00F47837"/>
    <w:rsid w:val="00F6000F"/>
    <w:rsid w:val="00F67356"/>
    <w:rsid w:val="00F70EDF"/>
    <w:rsid w:val="00F83E3C"/>
    <w:rsid w:val="00F83F4C"/>
    <w:rsid w:val="00F91905"/>
    <w:rsid w:val="00FA2FEF"/>
    <w:rsid w:val="00FB1455"/>
    <w:rsid w:val="00FB5BA8"/>
    <w:rsid w:val="00FB63A0"/>
    <w:rsid w:val="00FC5194"/>
    <w:rsid w:val="00FD0D19"/>
    <w:rsid w:val="00FD6C03"/>
    <w:rsid w:val="00FE0F17"/>
    <w:rsid w:val="00FE1E2E"/>
    <w:rsid w:val="00FE2248"/>
    <w:rsid w:val="00FE2964"/>
    <w:rsid w:val="00FF6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5DC23-9B73-4860-93E0-160E29FF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A1"/>
    <w:pPr>
      <w:spacing w:after="0" w:line="240" w:lineRule="auto"/>
      <w:jc w:val="both"/>
    </w:pPr>
    <w:rPr>
      <w:rFonts w:ascii="Arial" w:eastAsia="Times New Roman" w:hAnsi="Arial" w:cs="Times New Roman"/>
      <w:sz w:val="24"/>
      <w:szCs w:val="24"/>
      <w:lang w:eastAsia="es-ES"/>
    </w:rPr>
  </w:style>
  <w:style w:type="paragraph" w:styleId="Ttulo1">
    <w:name w:val="heading 1"/>
    <w:basedOn w:val="Normal"/>
    <w:next w:val="Normal"/>
    <w:link w:val="Ttulo1Car"/>
    <w:uiPriority w:val="9"/>
    <w:qFormat/>
    <w:rsid w:val="00E72607"/>
    <w:pPr>
      <w:ind w:left="360" w:hanging="360"/>
      <w:outlineLvl w:val="0"/>
    </w:pPr>
    <w:rPr>
      <w:rFonts w:cs="Arial"/>
      <w:b/>
      <w:sz w:val="22"/>
      <w:szCs w:val="22"/>
      <w:u w:val="single"/>
    </w:rPr>
  </w:style>
  <w:style w:type="paragraph" w:styleId="Ttulo2">
    <w:name w:val="heading 2"/>
    <w:basedOn w:val="Normal"/>
    <w:next w:val="Normal"/>
    <w:link w:val="Ttulo2Car"/>
    <w:uiPriority w:val="9"/>
    <w:unhideWhenUsed/>
    <w:qFormat/>
    <w:rsid w:val="00E72607"/>
    <w:pPr>
      <w:ind w:left="360" w:hanging="360"/>
      <w:outlineLvl w:val="1"/>
    </w:pPr>
    <w:rPr>
      <w:rFonts w:cs="Arial"/>
      <w:b/>
      <w:sz w:val="22"/>
      <w:szCs w:val="22"/>
    </w:rPr>
  </w:style>
  <w:style w:type="paragraph" w:styleId="Ttulo3">
    <w:name w:val="heading 3"/>
    <w:basedOn w:val="Prrafodelista"/>
    <w:next w:val="Normal"/>
    <w:link w:val="Ttulo3Car"/>
    <w:uiPriority w:val="9"/>
    <w:unhideWhenUsed/>
    <w:qFormat/>
    <w:rsid w:val="00E72607"/>
    <w:pPr>
      <w:numPr>
        <w:numId w:val="14"/>
      </w:numPr>
      <w:contextualSpacing w:val="0"/>
      <w:jc w:val="both"/>
      <w:outlineLvl w:val="2"/>
    </w:pPr>
    <w:rPr>
      <w:rFonts w:ascii="Arial" w:hAnsi="Arial" w:cs="Arial"/>
      <w:b/>
      <w:color w:val="000000"/>
      <w:sz w:val="22"/>
      <w:szCs w:val="22"/>
    </w:rPr>
  </w:style>
  <w:style w:type="paragraph" w:styleId="Ttulo4">
    <w:name w:val="heading 4"/>
    <w:basedOn w:val="Normal"/>
    <w:next w:val="Normal"/>
    <w:link w:val="Ttulo4Car"/>
    <w:uiPriority w:val="9"/>
    <w:unhideWhenUsed/>
    <w:qFormat/>
    <w:rsid w:val="00F44C4E"/>
    <w:pPr>
      <w:ind w:right="44"/>
      <w:outlineLvl w:val="3"/>
    </w:pPr>
    <w:rPr>
      <w:rFonts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942A1"/>
    <w:pPr>
      <w:tabs>
        <w:tab w:val="center" w:pos="4252"/>
        <w:tab w:val="right" w:pos="8504"/>
      </w:tabs>
    </w:pPr>
  </w:style>
  <w:style w:type="character" w:customStyle="1" w:styleId="EncabezadoCar">
    <w:name w:val="Encabezado Car"/>
    <w:basedOn w:val="Fuentedeprrafopredeter"/>
    <w:link w:val="Encabezado"/>
    <w:rsid w:val="00D942A1"/>
    <w:rPr>
      <w:rFonts w:ascii="Arial" w:eastAsia="Times New Roman" w:hAnsi="Arial" w:cs="Times New Roman"/>
      <w:sz w:val="24"/>
      <w:szCs w:val="24"/>
      <w:lang w:eastAsia="es-ES"/>
    </w:rPr>
  </w:style>
  <w:style w:type="paragraph" w:styleId="Piedepgina">
    <w:name w:val="footer"/>
    <w:basedOn w:val="Normal"/>
    <w:link w:val="PiedepginaCar"/>
    <w:uiPriority w:val="99"/>
    <w:rsid w:val="00D942A1"/>
    <w:pPr>
      <w:tabs>
        <w:tab w:val="center" w:pos="4252"/>
        <w:tab w:val="right" w:pos="8504"/>
      </w:tabs>
    </w:pPr>
  </w:style>
  <w:style w:type="character" w:customStyle="1" w:styleId="PiedepginaCar">
    <w:name w:val="Pie de página Car"/>
    <w:basedOn w:val="Fuentedeprrafopredeter"/>
    <w:link w:val="Piedepgina"/>
    <w:uiPriority w:val="99"/>
    <w:rsid w:val="00D942A1"/>
    <w:rPr>
      <w:rFonts w:ascii="Arial" w:eastAsia="Times New Roman" w:hAnsi="Arial" w:cs="Times New Roman"/>
      <w:sz w:val="24"/>
      <w:szCs w:val="24"/>
      <w:lang w:eastAsia="es-ES"/>
    </w:rPr>
  </w:style>
  <w:style w:type="character" w:styleId="Hipervnculo">
    <w:name w:val="Hyperlink"/>
    <w:rsid w:val="00D942A1"/>
    <w:rPr>
      <w:color w:val="0000FF"/>
      <w:u w:val="single"/>
    </w:rPr>
  </w:style>
  <w:style w:type="character" w:styleId="Nmerodepgina">
    <w:name w:val="page number"/>
    <w:basedOn w:val="Fuentedeprrafopredeter"/>
    <w:rsid w:val="00D942A1"/>
  </w:style>
  <w:style w:type="paragraph" w:styleId="Textoindependiente">
    <w:name w:val="Body Text"/>
    <w:basedOn w:val="Normal"/>
    <w:link w:val="TextoindependienteCar"/>
    <w:uiPriority w:val="99"/>
    <w:unhideWhenUsed/>
    <w:rsid w:val="00D942A1"/>
    <w:pPr>
      <w:spacing w:after="120"/>
    </w:pPr>
  </w:style>
  <w:style w:type="character" w:customStyle="1" w:styleId="TextoindependienteCar">
    <w:name w:val="Texto independiente Car"/>
    <w:basedOn w:val="Fuentedeprrafopredeter"/>
    <w:link w:val="Textoindependiente"/>
    <w:uiPriority w:val="99"/>
    <w:rsid w:val="00D942A1"/>
    <w:rPr>
      <w:rFonts w:ascii="Arial" w:eastAsia="Times New Roman" w:hAnsi="Arial" w:cs="Times New Roman"/>
      <w:sz w:val="24"/>
      <w:szCs w:val="24"/>
      <w:lang w:eastAsia="es-ES"/>
    </w:rPr>
  </w:style>
  <w:style w:type="paragraph" w:styleId="Prrafodelista">
    <w:name w:val="List Paragraph"/>
    <w:basedOn w:val="Normal"/>
    <w:link w:val="PrrafodelistaCar"/>
    <w:uiPriority w:val="34"/>
    <w:qFormat/>
    <w:rsid w:val="00D942A1"/>
    <w:pPr>
      <w:ind w:left="720"/>
      <w:contextualSpacing/>
      <w:jc w:val="left"/>
    </w:pPr>
    <w:rPr>
      <w:rFonts w:ascii="Times New Roman" w:hAnsi="Times New Roman"/>
    </w:rPr>
  </w:style>
  <w:style w:type="paragraph" w:customStyle="1" w:styleId="Formatolibre">
    <w:name w:val="Formato libre"/>
    <w:rsid w:val="00D942A1"/>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styleId="Textodeglobo">
    <w:name w:val="Balloon Text"/>
    <w:basedOn w:val="Normal"/>
    <w:link w:val="TextodegloboCar"/>
    <w:uiPriority w:val="99"/>
    <w:semiHidden/>
    <w:unhideWhenUsed/>
    <w:rsid w:val="00F478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7837"/>
    <w:rPr>
      <w:rFonts w:ascii="Segoe UI" w:eastAsia="Times New Roman" w:hAnsi="Segoe UI" w:cs="Segoe UI"/>
      <w:sz w:val="18"/>
      <w:szCs w:val="18"/>
      <w:lang w:eastAsia="es-ES"/>
    </w:rPr>
  </w:style>
  <w:style w:type="character" w:customStyle="1" w:styleId="Ttulo1Car">
    <w:name w:val="Título 1 Car"/>
    <w:basedOn w:val="Fuentedeprrafopredeter"/>
    <w:link w:val="Ttulo1"/>
    <w:uiPriority w:val="9"/>
    <w:rsid w:val="00E72607"/>
    <w:rPr>
      <w:rFonts w:ascii="Arial" w:eastAsia="Times New Roman" w:hAnsi="Arial" w:cs="Arial"/>
      <w:b/>
      <w:u w:val="single"/>
      <w:lang w:eastAsia="es-ES"/>
    </w:rPr>
  </w:style>
  <w:style w:type="character" w:customStyle="1" w:styleId="Ttulo2Car">
    <w:name w:val="Título 2 Car"/>
    <w:basedOn w:val="Fuentedeprrafopredeter"/>
    <w:link w:val="Ttulo2"/>
    <w:uiPriority w:val="9"/>
    <w:rsid w:val="00E72607"/>
    <w:rPr>
      <w:rFonts w:ascii="Arial" w:eastAsia="Times New Roman" w:hAnsi="Arial" w:cs="Arial"/>
      <w:b/>
      <w:lang w:eastAsia="es-ES"/>
    </w:rPr>
  </w:style>
  <w:style w:type="character" w:customStyle="1" w:styleId="Ttulo3Car">
    <w:name w:val="Título 3 Car"/>
    <w:basedOn w:val="Fuentedeprrafopredeter"/>
    <w:link w:val="Ttulo3"/>
    <w:uiPriority w:val="9"/>
    <w:rsid w:val="00E72607"/>
    <w:rPr>
      <w:rFonts w:ascii="Arial" w:eastAsia="Times New Roman" w:hAnsi="Arial" w:cs="Arial"/>
      <w:b/>
      <w:color w:val="000000"/>
      <w:lang w:eastAsia="es-ES"/>
    </w:rPr>
  </w:style>
  <w:style w:type="character" w:customStyle="1" w:styleId="PrrafodelistaCar">
    <w:name w:val="Párrafo de lista Car"/>
    <w:link w:val="Prrafodelista"/>
    <w:uiPriority w:val="34"/>
    <w:locked/>
    <w:rsid w:val="00F44C4E"/>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rsid w:val="00F44C4E"/>
    <w:rPr>
      <w:rFonts w:ascii="Arial" w:eastAsia="Times New Roman" w:hAnsi="Arial" w:cs="Arial"/>
      <w:b/>
      <w:lang w:eastAsia="es-ES"/>
    </w:rPr>
  </w:style>
  <w:style w:type="paragraph" w:styleId="Sangra3detindependiente">
    <w:name w:val="Body Text Indent 3"/>
    <w:basedOn w:val="Normal"/>
    <w:link w:val="Sangra3detindependienteCar"/>
    <w:rsid w:val="0070252B"/>
    <w:pPr>
      <w:ind w:left="1985"/>
    </w:pPr>
  </w:style>
  <w:style w:type="character" w:customStyle="1" w:styleId="Sangra3detindependienteCar">
    <w:name w:val="Sangría 3 de t. independiente Car"/>
    <w:basedOn w:val="Fuentedeprrafopredeter"/>
    <w:link w:val="Sangra3detindependiente"/>
    <w:rsid w:val="0070252B"/>
    <w:rPr>
      <w:rFonts w:ascii="Arial" w:eastAsia="Times New Roman" w:hAnsi="Arial" w:cs="Times New Roman"/>
      <w:sz w:val="24"/>
      <w:szCs w:val="24"/>
      <w:lang w:eastAsia="es-ES"/>
    </w:rPr>
  </w:style>
  <w:style w:type="character" w:styleId="Refdecomentario">
    <w:name w:val="annotation reference"/>
    <w:basedOn w:val="Fuentedeprrafopredeter"/>
    <w:uiPriority w:val="99"/>
    <w:semiHidden/>
    <w:unhideWhenUsed/>
    <w:rsid w:val="0070252B"/>
    <w:rPr>
      <w:sz w:val="16"/>
      <w:szCs w:val="16"/>
    </w:rPr>
  </w:style>
  <w:style w:type="paragraph" w:styleId="Textocomentario">
    <w:name w:val="annotation text"/>
    <w:basedOn w:val="Normal"/>
    <w:link w:val="TextocomentarioCar"/>
    <w:uiPriority w:val="99"/>
    <w:semiHidden/>
    <w:unhideWhenUsed/>
    <w:rsid w:val="0070252B"/>
    <w:rPr>
      <w:sz w:val="20"/>
      <w:szCs w:val="20"/>
    </w:rPr>
  </w:style>
  <w:style w:type="character" w:customStyle="1" w:styleId="TextocomentarioCar">
    <w:name w:val="Texto comentario Car"/>
    <w:basedOn w:val="Fuentedeprrafopredeter"/>
    <w:link w:val="Textocomentario"/>
    <w:uiPriority w:val="99"/>
    <w:semiHidden/>
    <w:rsid w:val="0070252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0252B"/>
    <w:rPr>
      <w:b/>
      <w:bCs/>
    </w:rPr>
  </w:style>
  <w:style w:type="character" w:customStyle="1" w:styleId="AsuntodelcomentarioCar">
    <w:name w:val="Asunto del comentario Car"/>
    <w:basedOn w:val="TextocomentarioCar"/>
    <w:link w:val="Asuntodelcomentario"/>
    <w:uiPriority w:val="99"/>
    <w:semiHidden/>
    <w:rsid w:val="0070252B"/>
    <w:rPr>
      <w:rFonts w:ascii="Arial" w:eastAsia="Times New Roman" w:hAnsi="Arial" w:cs="Times New Roman"/>
      <w:b/>
      <w:bCs/>
      <w:sz w:val="20"/>
      <w:szCs w:val="20"/>
      <w:lang w:eastAsia="es-ES"/>
    </w:rPr>
  </w:style>
  <w:style w:type="paragraph" w:styleId="Revisin">
    <w:name w:val="Revision"/>
    <w:hidden/>
    <w:uiPriority w:val="99"/>
    <w:semiHidden/>
    <w:rsid w:val="0070252B"/>
    <w:pPr>
      <w:spacing w:after="0" w:line="240" w:lineRule="auto"/>
    </w:pPr>
    <w:rPr>
      <w:rFonts w:ascii="Arial" w:eastAsia="Times New Roman" w:hAnsi="Arial" w:cs="Times New Roman"/>
      <w:sz w:val="24"/>
      <w:szCs w:val="24"/>
      <w:lang w:eastAsia="es-ES"/>
    </w:rPr>
  </w:style>
  <w:style w:type="paragraph" w:customStyle="1" w:styleId="Default">
    <w:name w:val="Default"/>
    <w:rsid w:val="00686378"/>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D1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Fuentedeprrafopredeter"/>
    <w:rsid w:val="0002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6214">
      <w:bodyDiv w:val="1"/>
      <w:marLeft w:val="0"/>
      <w:marRight w:val="0"/>
      <w:marTop w:val="0"/>
      <w:marBottom w:val="0"/>
      <w:divBdr>
        <w:top w:val="none" w:sz="0" w:space="0" w:color="auto"/>
        <w:left w:val="none" w:sz="0" w:space="0" w:color="auto"/>
        <w:bottom w:val="none" w:sz="0" w:space="0" w:color="auto"/>
        <w:right w:val="none" w:sz="0" w:space="0" w:color="auto"/>
      </w:divBdr>
    </w:div>
    <w:div w:id="92827282">
      <w:bodyDiv w:val="1"/>
      <w:marLeft w:val="0"/>
      <w:marRight w:val="0"/>
      <w:marTop w:val="0"/>
      <w:marBottom w:val="0"/>
      <w:divBdr>
        <w:top w:val="none" w:sz="0" w:space="0" w:color="auto"/>
        <w:left w:val="none" w:sz="0" w:space="0" w:color="auto"/>
        <w:bottom w:val="none" w:sz="0" w:space="0" w:color="auto"/>
        <w:right w:val="none" w:sz="0" w:space="0" w:color="auto"/>
      </w:divBdr>
    </w:div>
    <w:div w:id="126164898">
      <w:bodyDiv w:val="1"/>
      <w:marLeft w:val="0"/>
      <w:marRight w:val="0"/>
      <w:marTop w:val="0"/>
      <w:marBottom w:val="0"/>
      <w:divBdr>
        <w:top w:val="none" w:sz="0" w:space="0" w:color="auto"/>
        <w:left w:val="none" w:sz="0" w:space="0" w:color="auto"/>
        <w:bottom w:val="none" w:sz="0" w:space="0" w:color="auto"/>
        <w:right w:val="none" w:sz="0" w:space="0" w:color="auto"/>
      </w:divBdr>
    </w:div>
    <w:div w:id="153687961">
      <w:bodyDiv w:val="1"/>
      <w:marLeft w:val="0"/>
      <w:marRight w:val="0"/>
      <w:marTop w:val="0"/>
      <w:marBottom w:val="0"/>
      <w:divBdr>
        <w:top w:val="none" w:sz="0" w:space="0" w:color="auto"/>
        <w:left w:val="none" w:sz="0" w:space="0" w:color="auto"/>
        <w:bottom w:val="none" w:sz="0" w:space="0" w:color="auto"/>
        <w:right w:val="none" w:sz="0" w:space="0" w:color="auto"/>
      </w:divBdr>
    </w:div>
    <w:div w:id="337999814">
      <w:bodyDiv w:val="1"/>
      <w:marLeft w:val="0"/>
      <w:marRight w:val="0"/>
      <w:marTop w:val="0"/>
      <w:marBottom w:val="0"/>
      <w:divBdr>
        <w:top w:val="none" w:sz="0" w:space="0" w:color="auto"/>
        <w:left w:val="none" w:sz="0" w:space="0" w:color="auto"/>
        <w:bottom w:val="none" w:sz="0" w:space="0" w:color="auto"/>
        <w:right w:val="none" w:sz="0" w:space="0" w:color="auto"/>
      </w:divBdr>
    </w:div>
    <w:div w:id="362486387">
      <w:bodyDiv w:val="1"/>
      <w:marLeft w:val="0"/>
      <w:marRight w:val="0"/>
      <w:marTop w:val="0"/>
      <w:marBottom w:val="0"/>
      <w:divBdr>
        <w:top w:val="none" w:sz="0" w:space="0" w:color="auto"/>
        <w:left w:val="none" w:sz="0" w:space="0" w:color="auto"/>
        <w:bottom w:val="none" w:sz="0" w:space="0" w:color="auto"/>
        <w:right w:val="none" w:sz="0" w:space="0" w:color="auto"/>
      </w:divBdr>
    </w:div>
    <w:div w:id="399401431">
      <w:bodyDiv w:val="1"/>
      <w:marLeft w:val="0"/>
      <w:marRight w:val="0"/>
      <w:marTop w:val="0"/>
      <w:marBottom w:val="0"/>
      <w:divBdr>
        <w:top w:val="none" w:sz="0" w:space="0" w:color="auto"/>
        <w:left w:val="none" w:sz="0" w:space="0" w:color="auto"/>
        <w:bottom w:val="none" w:sz="0" w:space="0" w:color="auto"/>
        <w:right w:val="none" w:sz="0" w:space="0" w:color="auto"/>
      </w:divBdr>
    </w:div>
    <w:div w:id="414017167">
      <w:bodyDiv w:val="1"/>
      <w:marLeft w:val="0"/>
      <w:marRight w:val="0"/>
      <w:marTop w:val="0"/>
      <w:marBottom w:val="0"/>
      <w:divBdr>
        <w:top w:val="none" w:sz="0" w:space="0" w:color="auto"/>
        <w:left w:val="none" w:sz="0" w:space="0" w:color="auto"/>
        <w:bottom w:val="none" w:sz="0" w:space="0" w:color="auto"/>
        <w:right w:val="none" w:sz="0" w:space="0" w:color="auto"/>
      </w:divBdr>
    </w:div>
    <w:div w:id="582644522">
      <w:bodyDiv w:val="1"/>
      <w:marLeft w:val="0"/>
      <w:marRight w:val="0"/>
      <w:marTop w:val="0"/>
      <w:marBottom w:val="0"/>
      <w:divBdr>
        <w:top w:val="none" w:sz="0" w:space="0" w:color="auto"/>
        <w:left w:val="none" w:sz="0" w:space="0" w:color="auto"/>
        <w:bottom w:val="none" w:sz="0" w:space="0" w:color="auto"/>
        <w:right w:val="none" w:sz="0" w:space="0" w:color="auto"/>
      </w:divBdr>
    </w:div>
    <w:div w:id="694695981">
      <w:bodyDiv w:val="1"/>
      <w:marLeft w:val="0"/>
      <w:marRight w:val="0"/>
      <w:marTop w:val="0"/>
      <w:marBottom w:val="0"/>
      <w:divBdr>
        <w:top w:val="none" w:sz="0" w:space="0" w:color="auto"/>
        <w:left w:val="none" w:sz="0" w:space="0" w:color="auto"/>
        <w:bottom w:val="none" w:sz="0" w:space="0" w:color="auto"/>
        <w:right w:val="none" w:sz="0" w:space="0" w:color="auto"/>
      </w:divBdr>
    </w:div>
    <w:div w:id="830175775">
      <w:bodyDiv w:val="1"/>
      <w:marLeft w:val="0"/>
      <w:marRight w:val="0"/>
      <w:marTop w:val="0"/>
      <w:marBottom w:val="0"/>
      <w:divBdr>
        <w:top w:val="none" w:sz="0" w:space="0" w:color="auto"/>
        <w:left w:val="none" w:sz="0" w:space="0" w:color="auto"/>
        <w:bottom w:val="none" w:sz="0" w:space="0" w:color="auto"/>
        <w:right w:val="none" w:sz="0" w:space="0" w:color="auto"/>
      </w:divBdr>
    </w:div>
    <w:div w:id="876771269">
      <w:bodyDiv w:val="1"/>
      <w:marLeft w:val="0"/>
      <w:marRight w:val="0"/>
      <w:marTop w:val="0"/>
      <w:marBottom w:val="0"/>
      <w:divBdr>
        <w:top w:val="none" w:sz="0" w:space="0" w:color="auto"/>
        <w:left w:val="none" w:sz="0" w:space="0" w:color="auto"/>
        <w:bottom w:val="none" w:sz="0" w:space="0" w:color="auto"/>
        <w:right w:val="none" w:sz="0" w:space="0" w:color="auto"/>
      </w:divBdr>
    </w:div>
    <w:div w:id="954871859">
      <w:bodyDiv w:val="1"/>
      <w:marLeft w:val="0"/>
      <w:marRight w:val="0"/>
      <w:marTop w:val="0"/>
      <w:marBottom w:val="0"/>
      <w:divBdr>
        <w:top w:val="none" w:sz="0" w:space="0" w:color="auto"/>
        <w:left w:val="none" w:sz="0" w:space="0" w:color="auto"/>
        <w:bottom w:val="none" w:sz="0" w:space="0" w:color="auto"/>
        <w:right w:val="none" w:sz="0" w:space="0" w:color="auto"/>
      </w:divBdr>
    </w:div>
    <w:div w:id="1017272521">
      <w:bodyDiv w:val="1"/>
      <w:marLeft w:val="0"/>
      <w:marRight w:val="0"/>
      <w:marTop w:val="0"/>
      <w:marBottom w:val="0"/>
      <w:divBdr>
        <w:top w:val="none" w:sz="0" w:space="0" w:color="auto"/>
        <w:left w:val="none" w:sz="0" w:space="0" w:color="auto"/>
        <w:bottom w:val="none" w:sz="0" w:space="0" w:color="auto"/>
        <w:right w:val="none" w:sz="0" w:space="0" w:color="auto"/>
      </w:divBdr>
    </w:div>
    <w:div w:id="1056851744">
      <w:bodyDiv w:val="1"/>
      <w:marLeft w:val="0"/>
      <w:marRight w:val="0"/>
      <w:marTop w:val="0"/>
      <w:marBottom w:val="0"/>
      <w:divBdr>
        <w:top w:val="none" w:sz="0" w:space="0" w:color="auto"/>
        <w:left w:val="none" w:sz="0" w:space="0" w:color="auto"/>
        <w:bottom w:val="none" w:sz="0" w:space="0" w:color="auto"/>
        <w:right w:val="none" w:sz="0" w:space="0" w:color="auto"/>
      </w:divBdr>
    </w:div>
    <w:div w:id="1133518771">
      <w:bodyDiv w:val="1"/>
      <w:marLeft w:val="0"/>
      <w:marRight w:val="0"/>
      <w:marTop w:val="0"/>
      <w:marBottom w:val="0"/>
      <w:divBdr>
        <w:top w:val="none" w:sz="0" w:space="0" w:color="auto"/>
        <w:left w:val="none" w:sz="0" w:space="0" w:color="auto"/>
        <w:bottom w:val="none" w:sz="0" w:space="0" w:color="auto"/>
        <w:right w:val="none" w:sz="0" w:space="0" w:color="auto"/>
      </w:divBdr>
    </w:div>
    <w:div w:id="1308970565">
      <w:bodyDiv w:val="1"/>
      <w:marLeft w:val="0"/>
      <w:marRight w:val="0"/>
      <w:marTop w:val="0"/>
      <w:marBottom w:val="0"/>
      <w:divBdr>
        <w:top w:val="none" w:sz="0" w:space="0" w:color="auto"/>
        <w:left w:val="none" w:sz="0" w:space="0" w:color="auto"/>
        <w:bottom w:val="none" w:sz="0" w:space="0" w:color="auto"/>
        <w:right w:val="none" w:sz="0" w:space="0" w:color="auto"/>
      </w:divBdr>
    </w:div>
    <w:div w:id="1350064055">
      <w:bodyDiv w:val="1"/>
      <w:marLeft w:val="0"/>
      <w:marRight w:val="0"/>
      <w:marTop w:val="0"/>
      <w:marBottom w:val="0"/>
      <w:divBdr>
        <w:top w:val="none" w:sz="0" w:space="0" w:color="auto"/>
        <w:left w:val="none" w:sz="0" w:space="0" w:color="auto"/>
        <w:bottom w:val="none" w:sz="0" w:space="0" w:color="auto"/>
        <w:right w:val="none" w:sz="0" w:space="0" w:color="auto"/>
      </w:divBdr>
    </w:div>
    <w:div w:id="1386828583">
      <w:bodyDiv w:val="1"/>
      <w:marLeft w:val="0"/>
      <w:marRight w:val="0"/>
      <w:marTop w:val="0"/>
      <w:marBottom w:val="0"/>
      <w:divBdr>
        <w:top w:val="none" w:sz="0" w:space="0" w:color="auto"/>
        <w:left w:val="none" w:sz="0" w:space="0" w:color="auto"/>
        <w:bottom w:val="none" w:sz="0" w:space="0" w:color="auto"/>
        <w:right w:val="none" w:sz="0" w:space="0" w:color="auto"/>
      </w:divBdr>
    </w:div>
    <w:div w:id="1429279523">
      <w:bodyDiv w:val="1"/>
      <w:marLeft w:val="0"/>
      <w:marRight w:val="0"/>
      <w:marTop w:val="0"/>
      <w:marBottom w:val="0"/>
      <w:divBdr>
        <w:top w:val="none" w:sz="0" w:space="0" w:color="auto"/>
        <w:left w:val="none" w:sz="0" w:space="0" w:color="auto"/>
        <w:bottom w:val="none" w:sz="0" w:space="0" w:color="auto"/>
        <w:right w:val="none" w:sz="0" w:space="0" w:color="auto"/>
      </w:divBdr>
    </w:div>
    <w:div w:id="1762219785">
      <w:bodyDiv w:val="1"/>
      <w:marLeft w:val="0"/>
      <w:marRight w:val="0"/>
      <w:marTop w:val="0"/>
      <w:marBottom w:val="0"/>
      <w:divBdr>
        <w:top w:val="none" w:sz="0" w:space="0" w:color="auto"/>
        <w:left w:val="none" w:sz="0" w:space="0" w:color="auto"/>
        <w:bottom w:val="none" w:sz="0" w:space="0" w:color="auto"/>
        <w:right w:val="none" w:sz="0" w:space="0" w:color="auto"/>
      </w:divBdr>
    </w:div>
    <w:div w:id="1966156626">
      <w:bodyDiv w:val="1"/>
      <w:marLeft w:val="0"/>
      <w:marRight w:val="0"/>
      <w:marTop w:val="0"/>
      <w:marBottom w:val="0"/>
      <w:divBdr>
        <w:top w:val="none" w:sz="0" w:space="0" w:color="auto"/>
        <w:left w:val="none" w:sz="0" w:space="0" w:color="auto"/>
        <w:bottom w:val="none" w:sz="0" w:space="0" w:color="auto"/>
        <w:right w:val="none" w:sz="0" w:space="0" w:color="auto"/>
      </w:divBdr>
    </w:div>
    <w:div w:id="2010021184">
      <w:bodyDiv w:val="1"/>
      <w:marLeft w:val="0"/>
      <w:marRight w:val="0"/>
      <w:marTop w:val="0"/>
      <w:marBottom w:val="0"/>
      <w:divBdr>
        <w:top w:val="none" w:sz="0" w:space="0" w:color="auto"/>
        <w:left w:val="none" w:sz="0" w:space="0" w:color="auto"/>
        <w:bottom w:val="none" w:sz="0" w:space="0" w:color="auto"/>
        <w:right w:val="none" w:sz="0" w:space="0" w:color="auto"/>
      </w:divBdr>
    </w:div>
    <w:div w:id="2070952247">
      <w:bodyDiv w:val="1"/>
      <w:marLeft w:val="0"/>
      <w:marRight w:val="0"/>
      <w:marTop w:val="0"/>
      <w:marBottom w:val="0"/>
      <w:divBdr>
        <w:top w:val="none" w:sz="0" w:space="0" w:color="auto"/>
        <w:left w:val="none" w:sz="0" w:space="0" w:color="auto"/>
        <w:bottom w:val="none" w:sz="0" w:space="0" w:color="auto"/>
        <w:right w:val="none" w:sz="0" w:space="0" w:color="auto"/>
      </w:divBdr>
    </w:div>
    <w:div w:id="21343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82AA-3510-47A1-BAEA-3DD2E187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6009</Words>
  <Characters>33054</Characters>
  <Application>Microsoft Office Word</Application>
  <DocSecurity>4</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Merino Fernandez. David</dc:creator>
  <cp:lastModifiedBy>Palma Barriga. Agustín</cp:lastModifiedBy>
  <cp:revision>2</cp:revision>
  <dcterms:created xsi:type="dcterms:W3CDTF">2023-03-09T09:43:00Z</dcterms:created>
  <dcterms:modified xsi:type="dcterms:W3CDTF">2023-03-09T09:43:00Z</dcterms:modified>
</cp:coreProperties>
</file>