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94A4"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416B0FC6"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4349019C"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62CF9FFA"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2391FA6" w14:textId="472647D3" w:rsidR="007765E7" w:rsidRPr="0069792C" w:rsidRDefault="00B76475" w:rsidP="0069792C">
      <w:pPr>
        <w:spacing w:before="100" w:beforeAutospacing="1" w:after="100" w:afterAutospacing="1" w:line="288" w:lineRule="auto"/>
        <w:jc w:val="center"/>
        <w:rPr>
          <w:rFonts w:ascii="Arial" w:hAnsi="Arial" w:cs="Arial"/>
          <w:b/>
          <w:sz w:val="32"/>
        </w:rPr>
      </w:pPr>
      <w:r>
        <w:rPr>
          <w:rFonts w:ascii="Arial" w:hAnsi="Arial"/>
          <w:b/>
          <w:sz w:val="32"/>
        </w:rPr>
        <w:t>Modifications des dispositions relatives à la location à court terme de l’article 3 </w:t>
      </w:r>
      <w:r>
        <w:rPr>
          <w:rFonts w:ascii="Arial" w:hAnsi="Arial"/>
          <w:b/>
          <w:i/>
          <w:iCs/>
          <w:sz w:val="32"/>
        </w:rPr>
        <w:t>bis</w:t>
      </w:r>
      <w:r>
        <w:rPr>
          <w:rFonts w:ascii="Arial" w:hAnsi="Arial"/>
          <w:b/>
          <w:sz w:val="32"/>
        </w:rPr>
        <w:t xml:space="preserve"> de la loi de 2000 sur la planification et le développement, telles qu’elles sont proposées à l’article 3 du projet de loi de 2022 sur la planification et le développement, le transport maritime et l’évaluation (modification).</w:t>
      </w:r>
    </w:p>
    <w:p w14:paraId="6C41F012"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38A3C66B" w14:textId="77777777" w:rsidR="007765E7" w:rsidRPr="0069792C" w:rsidRDefault="007765E7" w:rsidP="0069792C">
      <w:pPr>
        <w:spacing w:before="100" w:beforeAutospacing="1" w:after="100" w:afterAutospacing="1" w:line="288" w:lineRule="auto"/>
        <w:jc w:val="center"/>
        <w:rPr>
          <w:rFonts w:ascii="Arial" w:hAnsi="Arial" w:cs="Arial"/>
          <w:b/>
          <w:sz w:val="32"/>
          <w:u w:val="single"/>
        </w:rPr>
      </w:pPr>
      <w:r>
        <w:rPr>
          <w:rFonts w:ascii="Arial" w:hAnsi="Arial"/>
          <w:b/>
          <w:sz w:val="32"/>
          <w:u w:val="single"/>
        </w:rPr>
        <w:t xml:space="preserve">Analyse d’impact réglementaire (AIR) </w:t>
      </w:r>
    </w:p>
    <w:p w14:paraId="7DFFD5A7"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AB45F41"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4B7168E"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653FD58A"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5CF004FE" w14:textId="77777777" w:rsidR="007765E7" w:rsidRPr="0069792C" w:rsidRDefault="007765E7" w:rsidP="0069792C">
      <w:pPr>
        <w:spacing w:before="100" w:beforeAutospacing="1" w:after="100" w:afterAutospacing="1" w:line="288" w:lineRule="auto"/>
        <w:jc w:val="center"/>
        <w:rPr>
          <w:rFonts w:ascii="Arial" w:hAnsi="Arial" w:cs="Arial"/>
          <w:b/>
          <w:sz w:val="32"/>
        </w:rPr>
      </w:pPr>
    </w:p>
    <w:p w14:paraId="7EFC79C2" w14:textId="77777777" w:rsidR="007765E7" w:rsidRPr="0069792C" w:rsidRDefault="007765E7" w:rsidP="0069792C">
      <w:pPr>
        <w:spacing w:before="100" w:beforeAutospacing="1" w:after="100" w:afterAutospacing="1" w:line="288" w:lineRule="auto"/>
        <w:jc w:val="right"/>
        <w:rPr>
          <w:rFonts w:ascii="Arial" w:hAnsi="Arial" w:cs="Arial"/>
          <w:b/>
          <w:sz w:val="32"/>
        </w:rPr>
      </w:pPr>
    </w:p>
    <w:p w14:paraId="17977C60" w14:textId="77777777" w:rsidR="007765E7" w:rsidRPr="0069792C" w:rsidRDefault="007765E7" w:rsidP="0069792C">
      <w:pPr>
        <w:spacing w:before="100" w:beforeAutospacing="1" w:after="100" w:afterAutospacing="1" w:line="288" w:lineRule="auto"/>
        <w:jc w:val="right"/>
        <w:rPr>
          <w:rFonts w:ascii="Arial" w:hAnsi="Arial" w:cs="Arial"/>
          <w:b/>
          <w:sz w:val="32"/>
        </w:rPr>
      </w:pPr>
    </w:p>
    <w:p w14:paraId="5C77A86C" w14:textId="77777777" w:rsidR="007765E7" w:rsidRPr="00F400A4" w:rsidRDefault="007765E7" w:rsidP="0069792C">
      <w:pPr>
        <w:spacing w:before="100" w:beforeAutospacing="1" w:after="100" w:afterAutospacing="1" w:line="288" w:lineRule="auto"/>
        <w:jc w:val="right"/>
        <w:rPr>
          <w:rFonts w:ascii="Arial" w:hAnsi="Arial" w:cs="Arial"/>
          <w:b/>
          <w:sz w:val="29"/>
          <w:szCs w:val="29"/>
        </w:rPr>
      </w:pPr>
      <w:r w:rsidRPr="00F400A4">
        <w:rPr>
          <w:rFonts w:ascii="Arial" w:hAnsi="Arial"/>
          <w:b/>
          <w:sz w:val="29"/>
          <w:szCs w:val="29"/>
        </w:rPr>
        <w:t>Ministère du logement, des collectivités locales et du patrimoine</w:t>
      </w:r>
    </w:p>
    <w:p w14:paraId="0F8A9972" w14:textId="1314FC85" w:rsidR="006855D9" w:rsidRPr="0069792C" w:rsidRDefault="006B3BCE" w:rsidP="0069792C">
      <w:pPr>
        <w:spacing w:before="100" w:beforeAutospacing="1" w:after="100" w:afterAutospacing="1" w:line="288" w:lineRule="auto"/>
        <w:jc w:val="right"/>
        <w:rPr>
          <w:rFonts w:ascii="Arial" w:hAnsi="Arial" w:cs="Arial"/>
          <w:b/>
          <w:sz w:val="32"/>
        </w:rPr>
      </w:pPr>
      <w:r>
        <w:rPr>
          <w:rFonts w:ascii="Arial" w:hAnsi="Arial"/>
          <w:b/>
          <w:sz w:val="32"/>
        </w:rPr>
        <w:lastRenderedPageBreak/>
        <w:t xml:space="preserve">10 </w:t>
      </w:r>
      <w:r w:rsidR="00F400A4">
        <w:rPr>
          <w:rFonts w:ascii="Arial" w:hAnsi="Arial"/>
          <w:b/>
          <w:sz w:val="32"/>
        </w:rPr>
        <w:t>août</w:t>
      </w:r>
      <w:r>
        <w:rPr>
          <w:rFonts w:ascii="Arial" w:hAnsi="Arial"/>
          <w:b/>
          <w:sz w:val="32"/>
        </w:rPr>
        <w:t> 2022</w:t>
      </w:r>
      <w:r>
        <w:rPr>
          <w:rFonts w:ascii="Arial" w:hAnsi="Arial"/>
          <w:b/>
          <w:sz w:val="32"/>
        </w:rPr>
        <w:br w:type="page"/>
      </w:r>
    </w:p>
    <w:sdt>
      <w:sdtPr>
        <w:rPr>
          <w:rFonts w:asciiTheme="minorHAnsi" w:eastAsiaTheme="minorHAnsi" w:hAnsiTheme="minorHAnsi" w:cs="Arial"/>
          <w:b w:val="0"/>
          <w:color w:val="auto"/>
          <w:sz w:val="22"/>
          <w:szCs w:val="22"/>
          <w:u w:val="none"/>
        </w:rPr>
        <w:id w:val="1687014821"/>
        <w:docPartObj>
          <w:docPartGallery w:val="Table of Contents"/>
          <w:docPartUnique/>
        </w:docPartObj>
      </w:sdtPr>
      <w:sdtEndPr>
        <w:rPr>
          <w:bCs/>
          <w:noProof/>
        </w:rPr>
      </w:sdtEndPr>
      <w:sdtContent>
        <w:p w14:paraId="0E3E4817" w14:textId="77777777" w:rsidR="007765E7" w:rsidRPr="0069792C" w:rsidRDefault="007765E7" w:rsidP="0069792C">
          <w:pPr>
            <w:pStyle w:val="TOCHeading"/>
            <w:spacing w:before="100" w:beforeAutospacing="1" w:after="100" w:afterAutospacing="1" w:line="288" w:lineRule="auto"/>
            <w:rPr>
              <w:rFonts w:cs="Arial"/>
            </w:rPr>
          </w:pPr>
          <w:r>
            <w:t>Table des matières</w:t>
          </w:r>
        </w:p>
        <w:p w14:paraId="53B15E65" w14:textId="70DAAE55" w:rsidR="00F400A4" w:rsidRPr="00F400A4" w:rsidRDefault="007765E7"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r w:rsidRPr="00F400A4">
            <w:rPr>
              <w:rFonts w:cstheme="minorHAnsi"/>
            </w:rPr>
            <w:fldChar w:fldCharType="begin"/>
          </w:r>
          <w:r w:rsidRPr="00F400A4">
            <w:rPr>
              <w:rFonts w:cstheme="minorHAnsi"/>
            </w:rPr>
            <w:instrText xml:space="preserve"> TOC \o "1-3" \h \z \u </w:instrText>
          </w:r>
          <w:r w:rsidRPr="00F400A4">
            <w:rPr>
              <w:rFonts w:cstheme="minorHAnsi"/>
            </w:rPr>
            <w:fldChar w:fldCharType="separate"/>
          </w:r>
          <w:hyperlink w:anchor="_Toc123202866" w:history="1">
            <w:r w:rsidR="00F400A4" w:rsidRPr="00F400A4">
              <w:rPr>
                <w:rStyle w:val="Hyperlink"/>
                <w:rFonts w:cstheme="minorHAnsi"/>
                <w:noProof/>
              </w:rPr>
              <w:t>1.</w:t>
            </w:r>
            <w:r w:rsidR="00F400A4" w:rsidRPr="00F400A4">
              <w:rPr>
                <w:rFonts w:eastAsiaTheme="minorEastAsia" w:cstheme="minorHAnsi"/>
                <w:noProof/>
                <w:lang w:val="en-US"/>
              </w:rPr>
              <w:tab/>
            </w:r>
            <w:r w:rsidR="00F400A4" w:rsidRPr="00F400A4">
              <w:rPr>
                <w:rStyle w:val="Hyperlink"/>
                <w:rFonts w:cstheme="minorHAnsi"/>
                <w:noProof/>
              </w:rPr>
              <w:t>Résumé</w:t>
            </w:r>
            <w:r w:rsidR="00F400A4" w:rsidRPr="00F400A4">
              <w:rPr>
                <w:rFonts w:cstheme="minorHAnsi"/>
                <w:noProof/>
                <w:webHidden/>
              </w:rPr>
              <w:tab/>
            </w:r>
            <w:r w:rsidR="00F400A4" w:rsidRPr="00F400A4">
              <w:rPr>
                <w:rFonts w:cstheme="minorHAnsi"/>
                <w:noProof/>
                <w:webHidden/>
              </w:rPr>
              <w:fldChar w:fldCharType="begin"/>
            </w:r>
            <w:r w:rsidR="00F400A4" w:rsidRPr="00F400A4">
              <w:rPr>
                <w:rFonts w:cstheme="minorHAnsi"/>
                <w:noProof/>
                <w:webHidden/>
              </w:rPr>
              <w:instrText xml:space="preserve"> PAGEREF _Toc123202866 \h </w:instrText>
            </w:r>
            <w:r w:rsidR="00F400A4" w:rsidRPr="00F400A4">
              <w:rPr>
                <w:rFonts w:cstheme="minorHAnsi"/>
                <w:noProof/>
                <w:webHidden/>
              </w:rPr>
            </w:r>
            <w:r w:rsidR="00F400A4" w:rsidRPr="00F400A4">
              <w:rPr>
                <w:rFonts w:cstheme="minorHAnsi"/>
                <w:noProof/>
                <w:webHidden/>
              </w:rPr>
              <w:fldChar w:fldCharType="separate"/>
            </w:r>
            <w:r w:rsidR="00A917D7">
              <w:rPr>
                <w:rFonts w:cstheme="minorHAnsi"/>
                <w:noProof/>
                <w:webHidden/>
              </w:rPr>
              <w:t>3</w:t>
            </w:r>
            <w:r w:rsidR="00F400A4" w:rsidRPr="00F400A4">
              <w:rPr>
                <w:rFonts w:cstheme="minorHAnsi"/>
                <w:noProof/>
                <w:webHidden/>
              </w:rPr>
              <w:fldChar w:fldCharType="end"/>
            </w:r>
          </w:hyperlink>
        </w:p>
        <w:p w14:paraId="567F3543" w14:textId="225BC3F0" w:rsidR="00F400A4" w:rsidRPr="00F400A4" w:rsidRDefault="00F400A4"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hyperlink w:anchor="_Toc123202867" w:history="1">
            <w:r w:rsidRPr="00F400A4">
              <w:rPr>
                <w:rStyle w:val="Hyperlink"/>
                <w:rFonts w:cstheme="minorHAnsi"/>
                <w:noProof/>
              </w:rPr>
              <w:t>2.</w:t>
            </w:r>
            <w:r w:rsidRPr="00F400A4">
              <w:rPr>
                <w:rFonts w:eastAsiaTheme="minorEastAsia" w:cstheme="minorHAnsi"/>
                <w:noProof/>
                <w:lang w:val="en-US"/>
              </w:rPr>
              <w:tab/>
            </w:r>
            <w:r w:rsidRPr="00F400A4">
              <w:rPr>
                <w:rStyle w:val="Hyperlink"/>
                <w:rFonts w:cstheme="minorHAnsi"/>
                <w:noProof/>
              </w:rPr>
              <w:t>Contexte politique et objectifs</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_Toc123202867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4</w:t>
            </w:r>
            <w:r w:rsidRPr="00F400A4">
              <w:rPr>
                <w:rFonts w:cstheme="minorHAnsi"/>
                <w:noProof/>
                <w:webHidden/>
              </w:rPr>
              <w:fldChar w:fldCharType="end"/>
            </w:r>
          </w:hyperlink>
        </w:p>
        <w:p w14:paraId="692B2CBF" w14:textId="6C803801" w:rsidR="00F400A4" w:rsidRPr="00F400A4" w:rsidRDefault="00F400A4" w:rsidP="00F400A4">
          <w:pPr>
            <w:pStyle w:val="TOC2"/>
            <w:tabs>
              <w:tab w:val="right" w:leader="dot" w:pos="9016"/>
            </w:tabs>
            <w:spacing w:before="100" w:beforeAutospacing="1" w:afterAutospacing="1" w:line="288" w:lineRule="auto"/>
            <w:rPr>
              <w:rFonts w:eastAsiaTheme="minorEastAsia" w:cstheme="minorHAnsi"/>
              <w:noProof/>
              <w:lang w:val="en-US"/>
            </w:rPr>
          </w:pPr>
          <w:hyperlink w:anchor="_Toc123202868" w:history="1">
            <w:r w:rsidRPr="00F400A4">
              <w:rPr>
                <w:rStyle w:val="Hyperlink"/>
                <w:rFonts w:cstheme="minorHAnsi"/>
                <w:noProof/>
              </w:rPr>
              <w:t>2.1 Contexte politique</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_Toc123202868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4</w:t>
            </w:r>
            <w:r w:rsidRPr="00F400A4">
              <w:rPr>
                <w:rFonts w:cstheme="minorHAnsi"/>
                <w:noProof/>
                <w:webHidden/>
              </w:rPr>
              <w:fldChar w:fldCharType="end"/>
            </w:r>
          </w:hyperlink>
        </w:p>
        <w:p w14:paraId="38607A52" w14:textId="00CE5DAD" w:rsidR="00F400A4" w:rsidRPr="00F400A4" w:rsidRDefault="00F400A4" w:rsidP="00F400A4">
          <w:pPr>
            <w:pStyle w:val="TOC2"/>
            <w:tabs>
              <w:tab w:val="right" w:leader="dot" w:pos="9016"/>
            </w:tabs>
            <w:spacing w:before="100" w:beforeAutospacing="1" w:afterAutospacing="1" w:line="288" w:lineRule="auto"/>
            <w:rPr>
              <w:rFonts w:eastAsiaTheme="minorEastAsia" w:cstheme="minorHAnsi"/>
              <w:noProof/>
              <w:lang w:val="en-US"/>
            </w:rPr>
          </w:pPr>
          <w:hyperlink w:anchor="_Toc123202869" w:history="1">
            <w:r w:rsidRPr="00F400A4">
              <w:rPr>
                <w:rStyle w:val="Hyperlink"/>
                <w:rFonts w:cstheme="minorHAnsi"/>
                <w:noProof/>
              </w:rPr>
              <w:t>2.2 Objectifs</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_Toc123202869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5</w:t>
            </w:r>
            <w:r w:rsidRPr="00F400A4">
              <w:rPr>
                <w:rFonts w:cstheme="minorHAnsi"/>
                <w:noProof/>
                <w:webHidden/>
              </w:rPr>
              <w:fldChar w:fldCharType="end"/>
            </w:r>
          </w:hyperlink>
        </w:p>
        <w:p w14:paraId="68417AF2" w14:textId="136C0882" w:rsidR="00F400A4" w:rsidRPr="00F400A4" w:rsidRDefault="00F400A4"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hyperlink w:anchor="_Toc123202870" w:history="1">
            <w:r w:rsidRPr="00F400A4">
              <w:rPr>
                <w:rStyle w:val="Hyperlink"/>
                <w:rFonts w:cstheme="minorHAnsi"/>
                <w:noProof/>
              </w:rPr>
              <w:t>3.</w:t>
            </w:r>
            <w:r w:rsidRPr="00F400A4">
              <w:rPr>
                <w:rFonts w:eastAsiaTheme="minorEastAsia" w:cstheme="minorHAnsi"/>
                <w:noProof/>
                <w:lang w:val="en-US"/>
              </w:rPr>
              <w:tab/>
            </w:r>
            <w:r w:rsidRPr="00F400A4">
              <w:rPr>
                <w:rStyle w:val="Hyperlink"/>
                <w:rFonts w:cstheme="minorHAnsi"/>
                <w:noProof/>
              </w:rPr>
              <w:t>Identification des options</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_Toc123202870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6</w:t>
            </w:r>
            <w:r w:rsidRPr="00F400A4">
              <w:rPr>
                <w:rFonts w:cstheme="minorHAnsi"/>
                <w:noProof/>
                <w:webHidden/>
              </w:rPr>
              <w:fldChar w:fldCharType="end"/>
            </w:r>
          </w:hyperlink>
        </w:p>
        <w:p w14:paraId="331689FB" w14:textId="3A564BBC" w:rsidR="00F400A4" w:rsidRPr="00F400A4" w:rsidRDefault="00F400A4"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hyperlink w:anchor="_Toc123202871" w:history="1">
            <w:r w:rsidRPr="00F400A4">
              <w:rPr>
                <w:rStyle w:val="Hyperlink"/>
                <w:rFonts w:cstheme="minorHAnsi"/>
                <w:noProof/>
              </w:rPr>
              <w:t>4.</w:t>
            </w:r>
            <w:r w:rsidRPr="00F400A4">
              <w:rPr>
                <w:rFonts w:eastAsiaTheme="minorEastAsia" w:cstheme="minorHAnsi"/>
                <w:noProof/>
                <w:lang w:val="en-US"/>
              </w:rPr>
              <w:tab/>
            </w:r>
            <w:r w:rsidRPr="00F400A4">
              <w:rPr>
                <w:rStyle w:val="Hyperlink"/>
                <w:rFonts w:cstheme="minorHAnsi"/>
                <w:noProof/>
              </w:rPr>
              <w:t>Détermination des coûts, avantages et répercussions</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_Toc123202871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8</w:t>
            </w:r>
            <w:r w:rsidRPr="00F400A4">
              <w:rPr>
                <w:rFonts w:cstheme="minorHAnsi"/>
                <w:noProof/>
                <w:webHidden/>
              </w:rPr>
              <w:fldChar w:fldCharType="end"/>
            </w:r>
          </w:hyperlink>
        </w:p>
        <w:p w14:paraId="02B82386" w14:textId="070D1C27" w:rsidR="00F400A4" w:rsidRPr="00F400A4" w:rsidRDefault="00F400A4" w:rsidP="00F400A4">
          <w:pPr>
            <w:pStyle w:val="TOC2"/>
            <w:tabs>
              <w:tab w:val="right" w:leader="dot" w:pos="9016"/>
            </w:tabs>
            <w:spacing w:before="100" w:beforeAutospacing="1" w:afterAutospacing="1" w:line="288" w:lineRule="auto"/>
            <w:rPr>
              <w:rFonts w:eastAsiaTheme="minorEastAsia" w:cstheme="minorHAnsi"/>
              <w:noProof/>
              <w:lang w:val="en-US"/>
            </w:rPr>
          </w:pPr>
          <w:hyperlink w:anchor="_Toc123202872" w:history="1">
            <w:r w:rsidRPr="00F400A4">
              <w:rPr>
                <w:rStyle w:val="Hyperlink"/>
                <w:rFonts w:cstheme="minorHAnsi"/>
                <w:noProof/>
              </w:rPr>
              <w:t>4.1 Coûts</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_Toc123202872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8</w:t>
            </w:r>
            <w:r w:rsidRPr="00F400A4">
              <w:rPr>
                <w:rFonts w:cstheme="minorHAnsi"/>
                <w:noProof/>
                <w:webHidden/>
              </w:rPr>
              <w:fldChar w:fldCharType="end"/>
            </w:r>
          </w:hyperlink>
        </w:p>
        <w:p w14:paraId="6D378E23" w14:textId="4BB78F68" w:rsidR="00F400A4" w:rsidRPr="00F400A4" w:rsidRDefault="00F400A4" w:rsidP="00F400A4">
          <w:pPr>
            <w:pStyle w:val="TOC2"/>
            <w:tabs>
              <w:tab w:val="right" w:leader="dot" w:pos="9016"/>
            </w:tabs>
            <w:spacing w:before="100" w:beforeAutospacing="1" w:afterAutospacing="1" w:line="288" w:lineRule="auto"/>
            <w:rPr>
              <w:rFonts w:eastAsiaTheme="minorEastAsia" w:cstheme="minorHAnsi"/>
              <w:noProof/>
              <w:lang w:val="en-US"/>
            </w:rPr>
          </w:pPr>
          <w:hyperlink w:anchor="_Toc123202873" w:history="1">
            <w:r w:rsidRPr="00F400A4">
              <w:rPr>
                <w:rStyle w:val="Hyperlink"/>
                <w:rFonts w:cstheme="minorHAnsi"/>
                <w:noProof/>
              </w:rPr>
              <w:t>4.2 Avantages</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_Toc123202873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8</w:t>
            </w:r>
            <w:r w:rsidRPr="00F400A4">
              <w:rPr>
                <w:rFonts w:cstheme="minorHAnsi"/>
                <w:noProof/>
                <w:webHidden/>
              </w:rPr>
              <w:fldChar w:fldCharType="end"/>
            </w:r>
          </w:hyperlink>
        </w:p>
        <w:p w14:paraId="0754D958" w14:textId="57546C09" w:rsidR="00F400A4" w:rsidRPr="00F400A4" w:rsidRDefault="00F400A4" w:rsidP="00F400A4">
          <w:pPr>
            <w:pStyle w:val="TOC2"/>
            <w:tabs>
              <w:tab w:val="right" w:leader="dot" w:pos="9016"/>
            </w:tabs>
            <w:spacing w:before="100" w:beforeAutospacing="1" w:afterAutospacing="1" w:line="288" w:lineRule="auto"/>
            <w:rPr>
              <w:rFonts w:eastAsiaTheme="minorEastAsia" w:cstheme="minorHAnsi"/>
              <w:noProof/>
              <w:lang w:val="en-US"/>
            </w:rPr>
          </w:pPr>
          <w:hyperlink w:anchor="_Toc123202874" w:history="1">
            <w:r w:rsidRPr="00F400A4">
              <w:rPr>
                <w:rStyle w:val="Hyperlink"/>
                <w:rFonts w:cstheme="minorHAnsi"/>
                <w:noProof/>
              </w:rPr>
              <w:t>4.3 Impacts</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_Toc123202874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8</w:t>
            </w:r>
            <w:r w:rsidRPr="00F400A4">
              <w:rPr>
                <w:rFonts w:cstheme="minorHAnsi"/>
                <w:noProof/>
                <w:webHidden/>
              </w:rPr>
              <w:fldChar w:fldCharType="end"/>
            </w:r>
          </w:hyperlink>
        </w:p>
        <w:p w14:paraId="5D22BC7D" w14:textId="03185F20" w:rsidR="00F400A4" w:rsidRPr="00F400A4" w:rsidRDefault="00F400A4"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hyperlink w:anchor="_Toc123202875" w:history="1">
            <w:r w:rsidRPr="00F400A4">
              <w:rPr>
                <w:rStyle w:val="Hyperlink"/>
                <w:rFonts w:cstheme="minorHAnsi"/>
                <w:noProof/>
              </w:rPr>
              <w:t>5.</w:t>
            </w:r>
            <w:r w:rsidRPr="00F400A4">
              <w:rPr>
                <w:rFonts w:eastAsiaTheme="minorEastAsia" w:cstheme="minorHAnsi"/>
                <w:noProof/>
                <w:lang w:val="en-US"/>
              </w:rPr>
              <w:tab/>
            </w:r>
            <w:r w:rsidRPr="00F400A4">
              <w:rPr>
                <w:rStyle w:val="Hyperlink"/>
                <w:rFonts w:cstheme="minorHAnsi"/>
                <w:noProof/>
              </w:rPr>
              <w:t>Consultation</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_Toc123202875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9</w:t>
            </w:r>
            <w:r w:rsidRPr="00F400A4">
              <w:rPr>
                <w:rFonts w:cstheme="minorHAnsi"/>
                <w:noProof/>
                <w:webHidden/>
              </w:rPr>
              <w:fldChar w:fldCharType="end"/>
            </w:r>
          </w:hyperlink>
        </w:p>
        <w:p w14:paraId="18A5F81B" w14:textId="55C23A2C" w:rsidR="00F400A4" w:rsidRPr="00F400A4" w:rsidRDefault="00F400A4"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hyperlink w:anchor="_Toc123202876" w:history="1">
            <w:r w:rsidRPr="00F400A4">
              <w:rPr>
                <w:rStyle w:val="Hyperlink"/>
                <w:rFonts w:cstheme="minorHAnsi"/>
                <w:noProof/>
              </w:rPr>
              <w:t>6.</w:t>
            </w:r>
            <w:r w:rsidRPr="00F400A4">
              <w:rPr>
                <w:rFonts w:eastAsiaTheme="minorEastAsia" w:cstheme="minorHAnsi"/>
                <w:noProof/>
                <w:lang w:val="en-US"/>
              </w:rPr>
              <w:tab/>
            </w:r>
            <w:r w:rsidRPr="00F400A4">
              <w:rPr>
                <w:rStyle w:val="Hyperlink"/>
                <w:rFonts w:cstheme="minorHAnsi"/>
                <w:noProof/>
              </w:rPr>
              <w:t>Application et conformité</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_Toc123202876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9</w:t>
            </w:r>
            <w:r w:rsidRPr="00F400A4">
              <w:rPr>
                <w:rFonts w:cstheme="minorHAnsi"/>
                <w:noProof/>
                <w:webHidden/>
              </w:rPr>
              <w:fldChar w:fldCharType="end"/>
            </w:r>
          </w:hyperlink>
        </w:p>
        <w:p w14:paraId="322BDE7B" w14:textId="54F22036" w:rsidR="00F400A4" w:rsidRPr="00F400A4" w:rsidRDefault="00F400A4"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hyperlink w:anchor="_Toc123202877" w:history="1">
            <w:r w:rsidRPr="00F400A4">
              <w:rPr>
                <w:rStyle w:val="Hyperlink"/>
                <w:rFonts w:cstheme="minorHAnsi"/>
                <w:noProof/>
              </w:rPr>
              <w:t>7.</w:t>
            </w:r>
            <w:r w:rsidRPr="00F400A4">
              <w:rPr>
                <w:rFonts w:eastAsiaTheme="minorEastAsia" w:cstheme="minorHAnsi"/>
                <w:noProof/>
                <w:lang w:val="en-US"/>
              </w:rPr>
              <w:tab/>
            </w:r>
            <w:r w:rsidRPr="00F400A4">
              <w:rPr>
                <w:rStyle w:val="Hyperlink"/>
                <w:rFonts w:cstheme="minorHAnsi"/>
                <w:noProof/>
              </w:rPr>
              <w:t>Examen</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_Toc123202877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9</w:t>
            </w:r>
            <w:r w:rsidRPr="00F400A4">
              <w:rPr>
                <w:rFonts w:cstheme="minorHAnsi"/>
                <w:noProof/>
                <w:webHidden/>
              </w:rPr>
              <w:fldChar w:fldCharType="end"/>
            </w:r>
          </w:hyperlink>
        </w:p>
        <w:p w14:paraId="5802D0C6" w14:textId="61B0E1DF" w:rsidR="00F400A4" w:rsidRPr="00F400A4" w:rsidRDefault="00F400A4" w:rsidP="00F400A4">
          <w:pPr>
            <w:pStyle w:val="TOC1"/>
            <w:tabs>
              <w:tab w:val="left" w:pos="440"/>
              <w:tab w:val="right" w:leader="dot" w:pos="9016"/>
            </w:tabs>
            <w:spacing w:before="100" w:beforeAutospacing="1" w:afterAutospacing="1" w:line="288" w:lineRule="auto"/>
            <w:rPr>
              <w:rFonts w:eastAsiaTheme="minorEastAsia" w:cstheme="minorHAnsi"/>
              <w:noProof/>
              <w:lang w:val="en-US"/>
            </w:rPr>
          </w:pPr>
          <w:hyperlink w:anchor="_Toc123202878" w:history="1">
            <w:r w:rsidRPr="00F400A4">
              <w:rPr>
                <w:rStyle w:val="Hyperlink"/>
                <w:rFonts w:cstheme="minorHAnsi"/>
                <w:noProof/>
              </w:rPr>
              <w:t>8.</w:t>
            </w:r>
            <w:r w:rsidRPr="00F400A4">
              <w:rPr>
                <w:rFonts w:eastAsiaTheme="minorEastAsia" w:cstheme="minorHAnsi"/>
                <w:noProof/>
                <w:lang w:val="en-US"/>
              </w:rPr>
              <w:tab/>
            </w:r>
            <w:r w:rsidRPr="00F400A4">
              <w:rPr>
                <w:rStyle w:val="Hyperlink"/>
                <w:rFonts w:cstheme="minorHAnsi"/>
                <w:noProof/>
              </w:rPr>
              <w:t>Publication</w:t>
            </w:r>
            <w:r w:rsidRPr="00F400A4">
              <w:rPr>
                <w:rFonts w:cstheme="minorHAnsi"/>
                <w:noProof/>
                <w:webHidden/>
              </w:rPr>
              <w:tab/>
            </w:r>
            <w:r w:rsidRPr="00F400A4">
              <w:rPr>
                <w:rFonts w:cstheme="minorHAnsi"/>
                <w:noProof/>
                <w:webHidden/>
              </w:rPr>
              <w:fldChar w:fldCharType="begin"/>
            </w:r>
            <w:r w:rsidRPr="00F400A4">
              <w:rPr>
                <w:rFonts w:cstheme="minorHAnsi"/>
                <w:noProof/>
                <w:webHidden/>
              </w:rPr>
              <w:instrText xml:space="preserve"> PAGEREF _Toc123202878 \h </w:instrText>
            </w:r>
            <w:r w:rsidRPr="00F400A4">
              <w:rPr>
                <w:rFonts w:cstheme="minorHAnsi"/>
                <w:noProof/>
                <w:webHidden/>
              </w:rPr>
            </w:r>
            <w:r w:rsidRPr="00F400A4">
              <w:rPr>
                <w:rFonts w:cstheme="minorHAnsi"/>
                <w:noProof/>
                <w:webHidden/>
              </w:rPr>
              <w:fldChar w:fldCharType="separate"/>
            </w:r>
            <w:r w:rsidR="00A917D7">
              <w:rPr>
                <w:rFonts w:cstheme="minorHAnsi"/>
                <w:noProof/>
                <w:webHidden/>
              </w:rPr>
              <w:t>9</w:t>
            </w:r>
            <w:r w:rsidRPr="00F400A4">
              <w:rPr>
                <w:rFonts w:cstheme="minorHAnsi"/>
                <w:noProof/>
                <w:webHidden/>
              </w:rPr>
              <w:fldChar w:fldCharType="end"/>
            </w:r>
          </w:hyperlink>
        </w:p>
        <w:p w14:paraId="5E8B6509" w14:textId="7F102FB1" w:rsidR="007765E7" w:rsidRPr="0069792C" w:rsidRDefault="007765E7" w:rsidP="00F400A4">
          <w:pPr>
            <w:spacing w:before="100" w:beforeAutospacing="1" w:after="100" w:afterAutospacing="1" w:line="288" w:lineRule="auto"/>
            <w:rPr>
              <w:rFonts w:ascii="Arial" w:hAnsi="Arial" w:cs="Arial"/>
            </w:rPr>
          </w:pPr>
          <w:r w:rsidRPr="00F400A4">
            <w:rPr>
              <w:rFonts w:cstheme="minorHAnsi"/>
              <w:b/>
            </w:rPr>
            <w:fldChar w:fldCharType="end"/>
          </w:r>
        </w:p>
      </w:sdtContent>
    </w:sdt>
    <w:p w14:paraId="24AFE2C3" w14:textId="77777777" w:rsidR="007765E7" w:rsidRPr="0069792C" w:rsidRDefault="007765E7" w:rsidP="0069792C">
      <w:pPr>
        <w:spacing w:before="100" w:beforeAutospacing="1" w:after="100" w:afterAutospacing="1" w:line="288" w:lineRule="auto"/>
        <w:rPr>
          <w:rFonts w:ascii="Arial" w:hAnsi="Arial" w:cs="Arial"/>
          <w:b/>
          <w:sz w:val="32"/>
        </w:rPr>
      </w:pPr>
      <w:r>
        <w:br w:type="page"/>
      </w:r>
    </w:p>
    <w:p w14:paraId="0A9B1A2D" w14:textId="77777777" w:rsidR="007765E7" w:rsidRPr="0069792C" w:rsidRDefault="007765E7" w:rsidP="0069792C">
      <w:pPr>
        <w:pStyle w:val="Heading1"/>
        <w:numPr>
          <w:ilvl w:val="0"/>
          <w:numId w:val="3"/>
        </w:numPr>
        <w:spacing w:before="100" w:beforeAutospacing="1" w:after="100" w:afterAutospacing="1" w:line="288" w:lineRule="auto"/>
        <w:rPr>
          <w:rFonts w:cs="Arial"/>
        </w:rPr>
      </w:pPr>
      <w:bookmarkStart w:id="0" w:name="_Toc123202866"/>
      <w:r>
        <w:lastRenderedPageBreak/>
        <w:t>Résumé</w:t>
      </w:r>
      <w:bookmarkEnd w:id="0"/>
    </w:p>
    <w:tbl>
      <w:tblPr>
        <w:tblW w:w="8927" w:type="dxa"/>
        <w:tblInd w:w="109" w:type="dxa"/>
        <w:tblLayout w:type="fixed"/>
        <w:tblCellMar>
          <w:left w:w="0" w:type="dxa"/>
          <w:right w:w="0" w:type="dxa"/>
        </w:tblCellMar>
        <w:tblLook w:val="01E0" w:firstRow="1" w:lastRow="1" w:firstColumn="1" w:lastColumn="1" w:noHBand="0" w:noVBand="0"/>
      </w:tblPr>
      <w:tblGrid>
        <w:gridCol w:w="4461"/>
        <w:gridCol w:w="4466"/>
      </w:tblGrid>
      <w:tr w:rsidR="00282AFD" w:rsidRPr="0069792C" w14:paraId="0F88EC80" w14:textId="77777777" w:rsidTr="00B72EFB">
        <w:trPr>
          <w:trHeight w:hRule="exact" w:val="592"/>
        </w:trPr>
        <w:tc>
          <w:tcPr>
            <w:tcW w:w="8927" w:type="dxa"/>
            <w:gridSpan w:val="2"/>
            <w:tcBorders>
              <w:top w:val="single" w:sz="5" w:space="0" w:color="000000"/>
              <w:left w:val="single" w:sz="5" w:space="0" w:color="000000"/>
              <w:bottom w:val="single" w:sz="5" w:space="0" w:color="000000"/>
              <w:right w:val="single" w:sz="5" w:space="0" w:color="000000"/>
            </w:tcBorders>
          </w:tcPr>
          <w:p w14:paraId="7B47E0D3" w14:textId="77777777" w:rsidR="00282AFD" w:rsidRPr="0069792C" w:rsidRDefault="00282AFD" w:rsidP="0069792C">
            <w:pPr>
              <w:spacing w:before="100" w:beforeAutospacing="1" w:after="100" w:afterAutospacing="1" w:line="288" w:lineRule="auto"/>
              <w:ind w:left="105"/>
              <w:rPr>
                <w:rFonts w:ascii="Arial" w:eastAsia="Calibri" w:hAnsi="Arial" w:cs="Arial"/>
              </w:rPr>
            </w:pPr>
            <w:r>
              <w:rPr>
                <w:rFonts w:ascii="Arial" w:hAnsi="Arial"/>
                <w:b/>
              </w:rPr>
              <w:t>Résumé de l’analyse d’impact réglementaire (AIR)</w:t>
            </w:r>
          </w:p>
        </w:tc>
      </w:tr>
      <w:tr w:rsidR="00282AFD" w:rsidRPr="0069792C" w14:paraId="6D40FF7D" w14:textId="77777777" w:rsidTr="009E140B">
        <w:trPr>
          <w:trHeight w:hRule="exact" w:val="577"/>
        </w:trPr>
        <w:tc>
          <w:tcPr>
            <w:tcW w:w="4461" w:type="dxa"/>
            <w:tcBorders>
              <w:top w:val="single" w:sz="5" w:space="0" w:color="000000"/>
              <w:left w:val="single" w:sz="5" w:space="0" w:color="000000"/>
              <w:bottom w:val="nil"/>
              <w:right w:val="single" w:sz="5" w:space="0" w:color="000000"/>
            </w:tcBorders>
          </w:tcPr>
          <w:p w14:paraId="12E5A911" w14:textId="77777777" w:rsidR="00282AFD" w:rsidRPr="0069792C" w:rsidRDefault="00282AFD" w:rsidP="0069792C">
            <w:pPr>
              <w:spacing w:before="100" w:beforeAutospacing="1" w:after="100" w:afterAutospacing="1" w:line="288" w:lineRule="auto"/>
              <w:ind w:left="105"/>
              <w:rPr>
                <w:rFonts w:ascii="Arial" w:eastAsia="Calibri" w:hAnsi="Arial" w:cs="Arial"/>
              </w:rPr>
            </w:pPr>
            <w:r>
              <w:rPr>
                <w:rFonts w:ascii="Arial" w:hAnsi="Arial"/>
                <w:b/>
              </w:rPr>
              <w:t>Ministère/Direction:</w:t>
            </w:r>
          </w:p>
        </w:tc>
        <w:tc>
          <w:tcPr>
            <w:tcW w:w="4466" w:type="dxa"/>
            <w:vMerge w:val="restart"/>
            <w:tcBorders>
              <w:top w:val="single" w:sz="5" w:space="0" w:color="000000"/>
              <w:left w:val="single" w:sz="5" w:space="0" w:color="000000"/>
              <w:right w:val="single" w:sz="5" w:space="0" w:color="000000"/>
            </w:tcBorders>
          </w:tcPr>
          <w:p w14:paraId="0F93BE5B" w14:textId="77777777" w:rsidR="00282AFD" w:rsidRPr="0069792C" w:rsidRDefault="00282AFD" w:rsidP="0069792C">
            <w:pPr>
              <w:spacing w:before="100" w:beforeAutospacing="1" w:after="100" w:afterAutospacing="1" w:line="288" w:lineRule="auto"/>
              <w:ind w:left="102"/>
              <w:rPr>
                <w:rFonts w:ascii="Arial" w:eastAsia="Calibri" w:hAnsi="Arial" w:cs="Arial"/>
              </w:rPr>
            </w:pPr>
            <w:r>
              <w:rPr>
                <w:rFonts w:ascii="Arial" w:hAnsi="Arial"/>
                <w:b/>
              </w:rPr>
              <w:t>Titre de la législation:</w:t>
            </w:r>
          </w:p>
          <w:p w14:paraId="31FA5FFB" w14:textId="714DE648" w:rsidR="00282AFD" w:rsidRPr="0069792C" w:rsidRDefault="00B76475" w:rsidP="0069792C">
            <w:pPr>
              <w:spacing w:before="100" w:beforeAutospacing="1" w:after="100" w:afterAutospacing="1" w:line="288" w:lineRule="auto"/>
              <w:ind w:left="102"/>
              <w:rPr>
                <w:rFonts w:ascii="Arial" w:eastAsia="Calibri" w:hAnsi="Arial" w:cs="Arial"/>
              </w:rPr>
            </w:pPr>
            <w:r>
              <w:rPr>
                <w:rFonts w:ascii="Arial" w:hAnsi="Arial"/>
              </w:rPr>
              <w:t>Projet de loi 2022 relatif à la planification et au développement, au transport maritime et à l’évaluation (modification).</w:t>
            </w:r>
          </w:p>
        </w:tc>
      </w:tr>
      <w:tr w:rsidR="00282AFD" w:rsidRPr="0069792C" w14:paraId="077E8C78" w14:textId="77777777" w:rsidTr="009E140B">
        <w:trPr>
          <w:trHeight w:hRule="exact" w:val="1174"/>
        </w:trPr>
        <w:tc>
          <w:tcPr>
            <w:tcW w:w="4461" w:type="dxa"/>
            <w:tcBorders>
              <w:top w:val="nil"/>
              <w:left w:val="single" w:sz="5" w:space="0" w:color="000000"/>
              <w:bottom w:val="single" w:sz="5" w:space="0" w:color="000000"/>
              <w:right w:val="single" w:sz="5" w:space="0" w:color="000000"/>
            </w:tcBorders>
          </w:tcPr>
          <w:p w14:paraId="71966068" w14:textId="77777777" w:rsidR="00282AFD" w:rsidRPr="0069792C" w:rsidRDefault="00282AFD" w:rsidP="0069792C">
            <w:pPr>
              <w:spacing w:before="100" w:beforeAutospacing="1" w:after="100" w:afterAutospacing="1" w:line="288" w:lineRule="auto"/>
              <w:ind w:left="105"/>
              <w:rPr>
                <w:rFonts w:ascii="Arial" w:eastAsia="Calibri" w:hAnsi="Arial" w:cs="Arial"/>
              </w:rPr>
            </w:pPr>
            <w:r>
              <w:rPr>
                <w:rFonts w:ascii="Arial" w:hAnsi="Arial"/>
              </w:rPr>
              <w:t>Ministère du logement, des collectivités locales et du patrimoine</w:t>
            </w:r>
          </w:p>
        </w:tc>
        <w:tc>
          <w:tcPr>
            <w:tcW w:w="4466" w:type="dxa"/>
            <w:vMerge/>
            <w:tcBorders>
              <w:left w:val="single" w:sz="5" w:space="0" w:color="000000"/>
              <w:bottom w:val="single" w:sz="5" w:space="0" w:color="000000"/>
              <w:right w:val="single" w:sz="5" w:space="0" w:color="000000"/>
            </w:tcBorders>
          </w:tcPr>
          <w:p w14:paraId="30FD7BAE"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724645AD" w14:textId="77777777" w:rsidTr="009E140B">
        <w:trPr>
          <w:trHeight w:hRule="exact" w:val="592"/>
        </w:trPr>
        <w:tc>
          <w:tcPr>
            <w:tcW w:w="4461" w:type="dxa"/>
            <w:tcBorders>
              <w:top w:val="single" w:sz="5" w:space="0" w:color="000000"/>
              <w:left w:val="single" w:sz="5" w:space="0" w:color="000000"/>
              <w:bottom w:val="single" w:sz="5" w:space="0" w:color="000000"/>
              <w:right w:val="single" w:sz="5" w:space="0" w:color="000000"/>
            </w:tcBorders>
          </w:tcPr>
          <w:p w14:paraId="1CDF8B4C" w14:textId="33F7B6AA" w:rsidR="00282AFD" w:rsidRPr="00F64AFA" w:rsidRDefault="00282AFD" w:rsidP="009E140B">
            <w:pPr>
              <w:spacing w:before="100" w:beforeAutospacing="1" w:after="100" w:afterAutospacing="1" w:line="288" w:lineRule="auto"/>
              <w:ind w:left="105"/>
              <w:rPr>
                <w:rFonts w:ascii="Arial" w:eastAsia="Calibri" w:hAnsi="Arial" w:cs="Arial"/>
              </w:rPr>
            </w:pPr>
            <w:r>
              <w:rPr>
                <w:rFonts w:ascii="Arial" w:hAnsi="Arial"/>
                <w:b/>
              </w:rPr>
              <w:t xml:space="preserve">Avancement: </w:t>
            </w:r>
            <w:r>
              <w:rPr>
                <w:rFonts w:ascii="Arial" w:hAnsi="Arial"/>
              </w:rPr>
              <w:t>Proposition de loi</w:t>
            </w:r>
          </w:p>
        </w:tc>
        <w:tc>
          <w:tcPr>
            <w:tcW w:w="4466" w:type="dxa"/>
            <w:tcBorders>
              <w:top w:val="single" w:sz="5" w:space="0" w:color="000000"/>
              <w:left w:val="single" w:sz="5" w:space="0" w:color="000000"/>
              <w:bottom w:val="single" w:sz="5" w:space="0" w:color="000000"/>
              <w:right w:val="single" w:sz="5" w:space="0" w:color="000000"/>
            </w:tcBorders>
          </w:tcPr>
          <w:p w14:paraId="46EFA2D3" w14:textId="6C3D2746" w:rsidR="00282AFD" w:rsidRPr="00F64AFA" w:rsidRDefault="00282AFD" w:rsidP="00D27CAD">
            <w:pPr>
              <w:spacing w:before="100" w:beforeAutospacing="1" w:after="100" w:afterAutospacing="1" w:line="288" w:lineRule="auto"/>
              <w:ind w:left="102"/>
              <w:rPr>
                <w:rFonts w:ascii="Arial" w:eastAsia="Calibri" w:hAnsi="Arial" w:cs="Arial"/>
              </w:rPr>
            </w:pPr>
            <w:r>
              <w:rPr>
                <w:rFonts w:ascii="Arial" w:hAnsi="Arial"/>
                <w:b/>
              </w:rPr>
              <w:t xml:space="preserve">Date: </w:t>
            </w:r>
            <w:r>
              <w:rPr>
                <w:rFonts w:ascii="Arial" w:hAnsi="Arial"/>
              </w:rPr>
              <w:t xml:space="preserve"> Finalisée le 10 août 2022</w:t>
            </w:r>
          </w:p>
        </w:tc>
      </w:tr>
      <w:tr w:rsidR="00282AFD" w:rsidRPr="0069792C" w14:paraId="0AF1F383" w14:textId="77777777" w:rsidTr="00B72EFB">
        <w:trPr>
          <w:trHeight w:hRule="exact" w:val="2278"/>
        </w:trPr>
        <w:tc>
          <w:tcPr>
            <w:tcW w:w="8927" w:type="dxa"/>
            <w:gridSpan w:val="2"/>
            <w:tcBorders>
              <w:left w:val="single" w:sz="5" w:space="0" w:color="000000"/>
              <w:bottom w:val="single" w:sz="5" w:space="0" w:color="000000"/>
              <w:right w:val="single" w:sz="5" w:space="0" w:color="000000"/>
            </w:tcBorders>
          </w:tcPr>
          <w:p w14:paraId="2760BF19" w14:textId="77777777" w:rsidR="005522AE" w:rsidRDefault="00D27CAD" w:rsidP="00D27CAD">
            <w:pPr>
              <w:spacing w:before="100" w:beforeAutospacing="1" w:after="100" w:afterAutospacing="1" w:line="288" w:lineRule="auto"/>
            </w:pPr>
            <w:r>
              <w:rPr>
                <w:rFonts w:ascii="Arial" w:hAnsi="Arial"/>
                <w:b/>
              </w:rPr>
              <w:t>Publications connexes:</w:t>
            </w:r>
            <w:r>
              <w:t xml:space="preserve"> </w:t>
            </w:r>
          </w:p>
          <w:p w14:paraId="6256177E" w14:textId="458FFC98" w:rsidR="00D27CAD" w:rsidRPr="00D27CAD" w:rsidRDefault="005522AE" w:rsidP="00D27CAD">
            <w:pPr>
              <w:spacing w:before="100" w:beforeAutospacing="1" w:after="100" w:afterAutospacing="1" w:line="288" w:lineRule="auto"/>
              <w:rPr>
                <w:rFonts w:ascii="Arial" w:hAnsi="Arial" w:cs="Arial"/>
                <w:b/>
              </w:rPr>
            </w:pPr>
            <w:r>
              <w:rPr>
                <w:rFonts w:ascii="Arial" w:hAnsi="Arial"/>
                <w:b/>
              </w:rPr>
              <w:t>Le logement pour tous - un nouveau plan de logement pour l’Irlande</w:t>
            </w:r>
          </w:p>
          <w:p w14:paraId="1BD03A81" w14:textId="289198A8" w:rsidR="00D27CAD" w:rsidRPr="00D27CAD" w:rsidRDefault="00D27CAD" w:rsidP="00D27CAD">
            <w:pPr>
              <w:spacing w:before="100" w:beforeAutospacing="1" w:after="100" w:afterAutospacing="1" w:line="288" w:lineRule="auto"/>
              <w:rPr>
                <w:rFonts w:ascii="Arial" w:hAnsi="Arial" w:cs="Arial"/>
              </w:rPr>
            </w:pPr>
          </w:p>
          <w:p w14:paraId="03AC7ADC" w14:textId="7DE14829" w:rsidR="00282AFD" w:rsidRPr="0069792C" w:rsidRDefault="00282AFD" w:rsidP="00D27CAD">
            <w:pPr>
              <w:spacing w:before="100" w:beforeAutospacing="1" w:after="100" w:afterAutospacing="1" w:line="288" w:lineRule="auto"/>
              <w:rPr>
                <w:rFonts w:ascii="Arial" w:hAnsi="Arial" w:cs="Arial"/>
              </w:rPr>
            </w:pPr>
          </w:p>
        </w:tc>
      </w:tr>
      <w:tr w:rsidR="00282AFD" w:rsidRPr="0069792C" w14:paraId="705A5EAC" w14:textId="77777777" w:rsidTr="00B72EFB">
        <w:trPr>
          <w:trHeight w:hRule="exact" w:val="572"/>
        </w:trPr>
        <w:tc>
          <w:tcPr>
            <w:tcW w:w="8927" w:type="dxa"/>
            <w:gridSpan w:val="2"/>
            <w:vMerge w:val="restart"/>
            <w:tcBorders>
              <w:top w:val="single" w:sz="5" w:space="0" w:color="000000"/>
              <w:left w:val="single" w:sz="5" w:space="0" w:color="000000"/>
              <w:right w:val="single" w:sz="5" w:space="0" w:color="000000"/>
            </w:tcBorders>
          </w:tcPr>
          <w:p w14:paraId="7F1794CB" w14:textId="77777777" w:rsidR="00282AFD" w:rsidRPr="0069792C" w:rsidRDefault="00282AFD" w:rsidP="0069792C">
            <w:pPr>
              <w:spacing w:before="100" w:beforeAutospacing="1" w:after="100" w:afterAutospacing="1" w:line="288" w:lineRule="auto"/>
              <w:ind w:left="105"/>
              <w:rPr>
                <w:rFonts w:ascii="Arial" w:eastAsia="Calibri" w:hAnsi="Arial" w:cs="Arial"/>
              </w:rPr>
            </w:pPr>
            <w:r>
              <w:rPr>
                <w:rFonts w:ascii="Arial" w:hAnsi="Arial"/>
                <w:b/>
              </w:rPr>
              <w:t xml:space="preserve">Document pouvant être consulté ou téléchargé à </w:t>
            </w:r>
            <w:proofErr w:type="spellStart"/>
            <w:r>
              <w:rPr>
                <w:rFonts w:ascii="Arial" w:hAnsi="Arial"/>
                <w:b/>
              </w:rPr>
              <w:t>lʼadresse</w:t>
            </w:r>
            <w:proofErr w:type="spellEnd"/>
            <w:r>
              <w:rPr>
                <w:rFonts w:ascii="Arial" w:hAnsi="Arial"/>
                <w:b/>
              </w:rPr>
              <w:t xml:space="preserve"> suivante:</w:t>
            </w:r>
          </w:p>
          <w:p w14:paraId="46B43664" w14:textId="69C5BB57" w:rsidR="00282AFD" w:rsidRPr="0069792C" w:rsidRDefault="00A917D7" w:rsidP="0069792C">
            <w:pPr>
              <w:spacing w:before="100" w:beforeAutospacing="1" w:after="100" w:afterAutospacing="1" w:line="288" w:lineRule="auto"/>
              <w:ind w:left="105"/>
              <w:rPr>
                <w:rFonts w:ascii="Arial" w:eastAsia="Calibri" w:hAnsi="Arial" w:cs="Arial"/>
                <w:color w:val="0000FF"/>
                <w:u w:val="single" w:color="0000FF"/>
              </w:rPr>
            </w:pPr>
            <w:hyperlink r:id="rId11" w:history="1">
              <w:r>
                <w:rPr>
                  <w:rStyle w:val="Hyperlink"/>
                  <w:rFonts w:ascii="Arial" w:hAnsi="Arial"/>
                  <w:u w:color="0000FF"/>
                </w:rPr>
                <w:t>https://www.gov.ie/en/publication/ef5ec-housing-for-all-a-new-housing-plan-for-ireland/</w:t>
              </w:r>
            </w:hyperlink>
            <w:r>
              <w:rPr>
                <w:rFonts w:ascii="Arial" w:hAnsi="Arial"/>
                <w:color w:val="0000FF"/>
                <w:u w:val="single" w:color="0000FF"/>
              </w:rPr>
              <w:t xml:space="preserve"> </w:t>
            </w:r>
          </w:p>
          <w:p w14:paraId="0A9783E8" w14:textId="77777777" w:rsidR="00282AFD" w:rsidRPr="0069792C" w:rsidRDefault="00282AFD" w:rsidP="0069792C">
            <w:pPr>
              <w:spacing w:before="100" w:beforeAutospacing="1" w:after="100" w:afterAutospacing="1" w:line="288" w:lineRule="auto"/>
              <w:ind w:left="105"/>
              <w:rPr>
                <w:rFonts w:ascii="Arial" w:eastAsia="Calibri" w:hAnsi="Arial" w:cs="Arial"/>
                <w:color w:val="0000FF"/>
                <w:u w:val="single" w:color="0000FF"/>
              </w:rPr>
            </w:pPr>
          </w:p>
          <w:p w14:paraId="71AC0C22" w14:textId="77777777" w:rsidR="00282AFD" w:rsidRPr="0069792C" w:rsidRDefault="00282AFD" w:rsidP="0069792C">
            <w:pPr>
              <w:spacing w:before="100" w:beforeAutospacing="1" w:after="100" w:afterAutospacing="1" w:line="288" w:lineRule="auto"/>
              <w:ind w:left="105"/>
              <w:rPr>
                <w:rFonts w:ascii="Arial" w:eastAsia="Calibri" w:hAnsi="Arial" w:cs="Arial"/>
              </w:rPr>
            </w:pPr>
          </w:p>
        </w:tc>
      </w:tr>
      <w:tr w:rsidR="00282AFD" w:rsidRPr="0069792C" w14:paraId="488AFE3D" w14:textId="77777777" w:rsidTr="00B72EFB">
        <w:trPr>
          <w:trHeight w:hRule="exact" w:val="670"/>
        </w:trPr>
        <w:tc>
          <w:tcPr>
            <w:tcW w:w="8927" w:type="dxa"/>
            <w:gridSpan w:val="2"/>
            <w:vMerge/>
            <w:tcBorders>
              <w:left w:val="single" w:sz="5" w:space="0" w:color="000000"/>
              <w:bottom w:val="single" w:sz="5" w:space="0" w:color="000000"/>
              <w:right w:val="single" w:sz="5" w:space="0" w:color="000000"/>
            </w:tcBorders>
          </w:tcPr>
          <w:p w14:paraId="55EEE318"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46CEE5EA" w14:textId="77777777" w:rsidTr="00535690">
        <w:trPr>
          <w:trHeight w:hRule="exact" w:val="6675"/>
        </w:trPr>
        <w:tc>
          <w:tcPr>
            <w:tcW w:w="8927" w:type="dxa"/>
            <w:gridSpan w:val="2"/>
            <w:vMerge w:val="restart"/>
            <w:tcBorders>
              <w:top w:val="single" w:sz="5" w:space="0" w:color="000000"/>
              <w:left w:val="single" w:sz="5" w:space="0" w:color="000000"/>
              <w:right w:val="single" w:sz="5" w:space="0" w:color="000000"/>
            </w:tcBorders>
          </w:tcPr>
          <w:p w14:paraId="174840EE" w14:textId="5684D684" w:rsidR="00282AFD" w:rsidRPr="00A917D7" w:rsidRDefault="00282AFD" w:rsidP="0069792C">
            <w:pPr>
              <w:spacing w:before="100" w:beforeAutospacing="1" w:after="100" w:afterAutospacing="1" w:line="288" w:lineRule="auto"/>
              <w:ind w:left="105"/>
              <w:rPr>
                <w:rFonts w:ascii="Arial" w:eastAsia="Calibri" w:hAnsi="Arial" w:cs="Arial"/>
                <w:sz w:val="21"/>
                <w:szCs w:val="21"/>
              </w:rPr>
            </w:pPr>
            <w:r w:rsidRPr="00A917D7">
              <w:rPr>
                <w:rFonts w:ascii="Arial" w:hAnsi="Arial"/>
                <w:b/>
                <w:sz w:val="21"/>
                <w:szCs w:val="21"/>
              </w:rPr>
              <w:t xml:space="preserve">Contact pour tout renseignement: </w:t>
            </w:r>
            <w:proofErr w:type="spellStart"/>
            <w:r w:rsidRPr="00A917D7">
              <w:rPr>
                <w:rFonts w:ascii="Arial" w:hAnsi="Arial"/>
                <w:sz w:val="21"/>
                <w:szCs w:val="21"/>
              </w:rPr>
              <w:t>Eoghan</w:t>
            </w:r>
            <w:proofErr w:type="spellEnd"/>
            <w:r w:rsidRPr="00A917D7">
              <w:rPr>
                <w:rFonts w:ascii="Arial" w:hAnsi="Arial"/>
                <w:sz w:val="21"/>
                <w:szCs w:val="21"/>
              </w:rPr>
              <w:t xml:space="preserve"> O’Brien </w:t>
            </w:r>
            <w:r w:rsidRPr="00A917D7">
              <w:rPr>
                <w:rFonts w:ascii="Arial" w:hAnsi="Arial"/>
                <w:b/>
                <w:sz w:val="21"/>
                <w:szCs w:val="21"/>
              </w:rPr>
              <w:t xml:space="preserve">Email: </w:t>
            </w:r>
            <w:r w:rsidRPr="00A917D7">
              <w:rPr>
                <w:rFonts w:ascii="Arial" w:hAnsi="Arial"/>
                <w:sz w:val="21"/>
                <w:szCs w:val="21"/>
              </w:rPr>
              <w:t>Eoghan.obrien@housing.gov.ie</w:t>
            </w:r>
            <w:r w:rsidRPr="00A917D7">
              <w:rPr>
                <w:rFonts w:ascii="Arial" w:hAnsi="Arial"/>
                <w:b/>
                <w:sz w:val="21"/>
                <w:szCs w:val="21"/>
              </w:rPr>
              <w:t xml:space="preserve"> </w:t>
            </w:r>
          </w:p>
          <w:p w14:paraId="49EFAAF9" w14:textId="088C3260" w:rsidR="00282AFD" w:rsidRPr="00A917D7" w:rsidRDefault="00282AFD" w:rsidP="0069792C">
            <w:pPr>
              <w:spacing w:before="100" w:beforeAutospacing="1" w:after="100" w:afterAutospacing="1" w:line="288" w:lineRule="auto"/>
              <w:ind w:left="105"/>
              <w:rPr>
                <w:rFonts w:ascii="Arial" w:eastAsia="Calibri" w:hAnsi="Arial" w:cs="Arial"/>
                <w:sz w:val="21"/>
                <w:szCs w:val="21"/>
              </w:rPr>
            </w:pPr>
            <w:r w:rsidRPr="00A917D7">
              <w:rPr>
                <w:rFonts w:ascii="Arial" w:hAnsi="Arial"/>
                <w:sz w:val="21"/>
                <w:szCs w:val="21"/>
              </w:rPr>
              <w:t>Les options stratégiques suivantes ont été examinées en ce qui concerne les modifications de l’article 3 </w:t>
            </w:r>
            <w:r w:rsidRPr="00A917D7">
              <w:rPr>
                <w:rFonts w:ascii="Arial" w:hAnsi="Arial"/>
                <w:i/>
                <w:iCs/>
                <w:sz w:val="21"/>
                <w:szCs w:val="21"/>
              </w:rPr>
              <w:t>bis</w:t>
            </w:r>
            <w:r w:rsidRPr="00A917D7">
              <w:rPr>
                <w:rFonts w:ascii="Arial" w:hAnsi="Arial"/>
                <w:sz w:val="21"/>
                <w:szCs w:val="21"/>
              </w:rPr>
              <w:t xml:space="preserve"> de la loi de 2000 sur la planification et le développement, telles que proposées par l’article 3 du projet de loi de 2022 sur la planification et le développement, le transport maritime et l’évaluation (modification). </w:t>
            </w:r>
          </w:p>
          <w:p w14:paraId="0A7EFB5C" w14:textId="3B1AB609" w:rsidR="00282AFD" w:rsidRPr="00A917D7" w:rsidRDefault="00282AFD" w:rsidP="0069792C">
            <w:pPr>
              <w:spacing w:before="100" w:beforeAutospacing="1" w:after="100" w:afterAutospacing="1" w:line="288" w:lineRule="auto"/>
              <w:ind w:left="105"/>
              <w:rPr>
                <w:rFonts w:ascii="Arial" w:eastAsia="Calibri" w:hAnsi="Arial" w:cs="Arial"/>
                <w:sz w:val="21"/>
                <w:szCs w:val="21"/>
              </w:rPr>
            </w:pPr>
            <w:r w:rsidRPr="00A917D7">
              <w:rPr>
                <w:rFonts w:ascii="Arial" w:hAnsi="Arial"/>
                <w:sz w:val="21"/>
                <w:szCs w:val="21"/>
              </w:rPr>
              <w:t xml:space="preserve">1. Aucune option de changement: </w:t>
            </w:r>
          </w:p>
          <w:p w14:paraId="1AACA05A" w14:textId="60A9E93E" w:rsidR="00535690" w:rsidRPr="00A917D7" w:rsidRDefault="00282AFD" w:rsidP="009E140B">
            <w:pPr>
              <w:spacing w:before="100" w:beforeAutospacing="1" w:after="100" w:afterAutospacing="1" w:line="288" w:lineRule="auto"/>
              <w:ind w:left="105"/>
              <w:rPr>
                <w:rFonts w:ascii="Arial" w:eastAsia="Calibri" w:hAnsi="Arial" w:cs="Arial"/>
                <w:spacing w:val="1"/>
                <w:sz w:val="21"/>
                <w:szCs w:val="21"/>
              </w:rPr>
            </w:pPr>
            <w:r w:rsidRPr="00A917D7">
              <w:rPr>
                <w:rFonts w:ascii="Arial" w:hAnsi="Arial"/>
                <w:sz w:val="21"/>
                <w:szCs w:val="21"/>
              </w:rPr>
              <w:t xml:space="preserve">2. L’élaboration de nouvelles dispositions législatives relatives à la location à court terme, visant à renforcer les contrôles réglementaires préexistants dans le domaine de la location à court terme, a été introduite par le projet de loi 2022 relatif à la planification et au développement, au transport maritime et à l’évaluation (modification).  </w:t>
            </w:r>
          </w:p>
          <w:p w14:paraId="0C058F1C" w14:textId="50AF2DB1" w:rsidR="00535690" w:rsidRPr="00A917D7" w:rsidRDefault="009E140B" w:rsidP="009E140B">
            <w:pPr>
              <w:spacing w:before="100" w:beforeAutospacing="1" w:after="100" w:afterAutospacing="1" w:line="288" w:lineRule="auto"/>
              <w:ind w:left="105"/>
              <w:rPr>
                <w:rFonts w:ascii="Arial" w:eastAsia="Calibri" w:hAnsi="Arial" w:cs="Arial"/>
                <w:spacing w:val="1"/>
                <w:sz w:val="21"/>
                <w:szCs w:val="21"/>
              </w:rPr>
            </w:pPr>
            <w:r w:rsidRPr="00A917D7">
              <w:rPr>
                <w:rFonts w:ascii="Arial" w:hAnsi="Arial"/>
                <w:sz w:val="21"/>
                <w:szCs w:val="21"/>
              </w:rPr>
              <w:t xml:space="preserve">Une fois commencé, les nouvelles dispositions proposées prévoient que, pendant une période de six mois, les résidences privées non principales dans les zones de pression de location ne seront pas annoncées ou n’accepteront pas de réservations sur des plateformes en ligne ou d’autres médias à des fins de location à court terme sans que le permis d’urbanisme nécessaire n’ait été en place pour le bien concerné ou que le bien concerné soit autrement exempté.  La période de six mois peut être prolongée pour des </w:t>
            </w:r>
            <w:r w:rsidRPr="00A917D7">
              <w:rPr>
                <w:rFonts w:ascii="Arial" w:hAnsi="Arial"/>
                <w:sz w:val="21"/>
                <w:szCs w:val="21"/>
              </w:rPr>
              <w:lastRenderedPageBreak/>
              <w:t>périodes supplémentaires de six mois, sous réserve de résolutions positives des deux chambres de l’</w:t>
            </w:r>
            <w:proofErr w:type="spellStart"/>
            <w:r w:rsidRPr="00A917D7">
              <w:rPr>
                <w:rFonts w:ascii="Arial" w:hAnsi="Arial"/>
                <w:sz w:val="21"/>
                <w:szCs w:val="21"/>
              </w:rPr>
              <w:t>Oireachtas</w:t>
            </w:r>
            <w:proofErr w:type="spellEnd"/>
            <w:r w:rsidRPr="00A917D7">
              <w:rPr>
                <w:rFonts w:ascii="Arial" w:hAnsi="Arial"/>
                <w:sz w:val="21"/>
                <w:szCs w:val="21"/>
              </w:rPr>
              <w:t>.</w:t>
            </w:r>
          </w:p>
          <w:p w14:paraId="59036FB1" w14:textId="509F5826" w:rsidR="009E140B" w:rsidRPr="00A917D7" w:rsidRDefault="009E140B" w:rsidP="009E140B">
            <w:pPr>
              <w:spacing w:before="100" w:beforeAutospacing="1" w:after="100" w:afterAutospacing="1" w:line="288" w:lineRule="auto"/>
              <w:ind w:left="105"/>
              <w:rPr>
                <w:rFonts w:ascii="Arial" w:eastAsia="Calibri" w:hAnsi="Arial" w:cs="Arial"/>
                <w:spacing w:val="1"/>
                <w:sz w:val="21"/>
                <w:szCs w:val="21"/>
              </w:rPr>
            </w:pPr>
            <w:r w:rsidRPr="00A917D7">
              <w:rPr>
                <w:rFonts w:ascii="Arial" w:hAnsi="Arial"/>
                <w:sz w:val="21"/>
                <w:szCs w:val="21"/>
              </w:rPr>
              <w:t xml:space="preserve">Les modifications donneront également au ministre le pouvoir réglementaire d’exiger des propriétaires de biens de location à court terme ou de leurs mandataires désignés qu’ils produisent des preuves de conformité à la planification certifiées par une autorité d’aménagement, ou d’une exemption de celles-ci, afin de confirmer le droit de faire la publicité d’une résidence privée non principale située dans une zone de pression de location sur une plateforme en ligne ou d’autres médias. </w:t>
            </w:r>
          </w:p>
          <w:p w14:paraId="25ED5492" w14:textId="77777777" w:rsidR="00282AFD" w:rsidRPr="00A917D7" w:rsidRDefault="00282AFD" w:rsidP="0069792C">
            <w:pPr>
              <w:spacing w:before="100" w:beforeAutospacing="1" w:after="100" w:afterAutospacing="1" w:line="288" w:lineRule="auto"/>
              <w:ind w:left="105"/>
              <w:rPr>
                <w:rFonts w:ascii="Arial" w:eastAsia="Calibri" w:hAnsi="Arial" w:cs="Arial"/>
                <w:sz w:val="21"/>
                <w:szCs w:val="21"/>
              </w:rPr>
            </w:pPr>
            <w:r w:rsidRPr="00A917D7">
              <w:rPr>
                <w:rFonts w:ascii="Arial" w:hAnsi="Arial"/>
                <w:b/>
                <w:sz w:val="21"/>
                <w:szCs w:val="21"/>
              </w:rPr>
              <w:t>Option préférée:</w:t>
            </w:r>
          </w:p>
          <w:p w14:paraId="1CD231D8" w14:textId="7165E0BD" w:rsidR="00282AFD" w:rsidRPr="00A917D7" w:rsidRDefault="00282AFD" w:rsidP="00535690">
            <w:pPr>
              <w:spacing w:before="100" w:beforeAutospacing="1" w:after="100" w:afterAutospacing="1" w:line="288" w:lineRule="auto"/>
              <w:ind w:left="105" w:right="179"/>
              <w:rPr>
                <w:rFonts w:ascii="Arial" w:eastAsia="Calibri" w:hAnsi="Arial" w:cs="Arial"/>
                <w:sz w:val="21"/>
                <w:szCs w:val="21"/>
              </w:rPr>
            </w:pPr>
            <w:r w:rsidRPr="00A917D7">
              <w:rPr>
                <w:rFonts w:ascii="Arial" w:hAnsi="Arial"/>
                <w:sz w:val="21"/>
                <w:szCs w:val="21"/>
              </w:rPr>
              <w:t>Option 2 — Les nouveaux arrangements proposés sont introduits dans le contexte de la grave pénurie de logements que connaît actuellement le secteur de la location privée, en particulier dans les zones où la demande de logements est la plus élevée - en particulier les zones de pression de location, avec des répercussions sur les prix de location dans ces zones. Cette pression a été encore aggravée par l’arrivée récente et probable d’un grand nombre de personnes fuyant l’Ukraine dans l’État qui ont besoin d’un logement à moyen et long terme.</w:t>
            </w:r>
          </w:p>
        </w:tc>
      </w:tr>
      <w:tr w:rsidR="00282AFD" w:rsidRPr="0069792C" w14:paraId="48FCBAB7" w14:textId="77777777" w:rsidTr="00B72EFB">
        <w:trPr>
          <w:trHeight w:hRule="exact" w:val="2888"/>
        </w:trPr>
        <w:tc>
          <w:tcPr>
            <w:tcW w:w="8927" w:type="dxa"/>
            <w:gridSpan w:val="2"/>
            <w:vMerge/>
            <w:tcBorders>
              <w:left w:val="single" w:sz="5" w:space="0" w:color="000000"/>
              <w:right w:val="single" w:sz="5" w:space="0" w:color="000000"/>
            </w:tcBorders>
          </w:tcPr>
          <w:p w14:paraId="0A570F90"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1A99ED96" w14:textId="77777777" w:rsidTr="00B72EFB">
        <w:trPr>
          <w:trHeight w:hRule="exact" w:val="863"/>
        </w:trPr>
        <w:tc>
          <w:tcPr>
            <w:tcW w:w="8927" w:type="dxa"/>
            <w:gridSpan w:val="2"/>
            <w:vMerge/>
            <w:tcBorders>
              <w:left w:val="single" w:sz="5" w:space="0" w:color="000000"/>
              <w:right w:val="single" w:sz="5" w:space="0" w:color="000000"/>
            </w:tcBorders>
          </w:tcPr>
          <w:p w14:paraId="2293C930" w14:textId="77777777" w:rsidR="00282AFD" w:rsidRPr="0069792C" w:rsidRDefault="00282AFD" w:rsidP="0069792C">
            <w:pPr>
              <w:spacing w:before="100" w:beforeAutospacing="1" w:after="100" w:afterAutospacing="1" w:line="288" w:lineRule="auto"/>
              <w:rPr>
                <w:rFonts w:ascii="Arial" w:hAnsi="Arial" w:cs="Arial"/>
              </w:rPr>
            </w:pPr>
          </w:p>
        </w:tc>
      </w:tr>
      <w:tr w:rsidR="00282AFD" w:rsidRPr="0069792C" w14:paraId="0D6F3C3F" w14:textId="77777777" w:rsidTr="00B72EFB">
        <w:trPr>
          <w:trHeight w:hRule="exact" w:val="1750"/>
        </w:trPr>
        <w:tc>
          <w:tcPr>
            <w:tcW w:w="8927" w:type="dxa"/>
            <w:gridSpan w:val="2"/>
            <w:vMerge/>
            <w:tcBorders>
              <w:left w:val="single" w:sz="5" w:space="0" w:color="000000"/>
              <w:bottom w:val="single" w:sz="5" w:space="0" w:color="000000"/>
              <w:right w:val="single" w:sz="5" w:space="0" w:color="000000"/>
            </w:tcBorders>
          </w:tcPr>
          <w:p w14:paraId="1E3C6158" w14:textId="77777777" w:rsidR="00282AFD" w:rsidRPr="0069792C" w:rsidRDefault="00282AFD" w:rsidP="0069792C">
            <w:pPr>
              <w:spacing w:before="100" w:beforeAutospacing="1" w:after="100" w:afterAutospacing="1" w:line="288" w:lineRule="auto"/>
              <w:rPr>
                <w:rFonts w:ascii="Arial" w:hAnsi="Arial" w:cs="Arial"/>
              </w:rPr>
            </w:pPr>
          </w:p>
        </w:tc>
      </w:tr>
    </w:tbl>
    <w:p w14:paraId="7F66F71A" w14:textId="77777777" w:rsidR="007765E7" w:rsidRPr="0069792C" w:rsidRDefault="007765E7" w:rsidP="0069792C">
      <w:pPr>
        <w:spacing w:before="100" w:beforeAutospacing="1" w:after="100" w:afterAutospacing="1" w:line="288" w:lineRule="auto"/>
        <w:rPr>
          <w:rFonts w:ascii="Arial" w:hAnsi="Arial" w:cs="Arial"/>
        </w:rPr>
      </w:pPr>
    </w:p>
    <w:p w14:paraId="2C22A5D2" w14:textId="77777777" w:rsidR="007765E7" w:rsidRPr="0069792C" w:rsidRDefault="007765E7" w:rsidP="0069792C">
      <w:pPr>
        <w:pStyle w:val="Heading1"/>
        <w:numPr>
          <w:ilvl w:val="0"/>
          <w:numId w:val="3"/>
        </w:numPr>
        <w:spacing w:before="100" w:beforeAutospacing="1" w:after="100" w:afterAutospacing="1" w:line="288" w:lineRule="auto"/>
        <w:rPr>
          <w:rFonts w:cs="Arial"/>
        </w:rPr>
      </w:pPr>
      <w:bookmarkStart w:id="1" w:name="_Toc123202867"/>
      <w:r>
        <w:t>Contexte politique et objectifs</w:t>
      </w:r>
      <w:bookmarkEnd w:id="1"/>
    </w:p>
    <w:p w14:paraId="4840290E" w14:textId="77777777" w:rsidR="007765E7" w:rsidRPr="0069792C" w:rsidRDefault="006855D9" w:rsidP="0069792C">
      <w:pPr>
        <w:pStyle w:val="Heading2"/>
        <w:spacing w:before="100" w:beforeAutospacing="1" w:after="100" w:afterAutospacing="1" w:line="288" w:lineRule="auto"/>
        <w:rPr>
          <w:rFonts w:cs="Arial"/>
        </w:rPr>
      </w:pPr>
      <w:bookmarkStart w:id="2" w:name="_Toc123202868"/>
      <w:r>
        <w:t>2.1 Contexte politique</w:t>
      </w:r>
      <w:bookmarkEnd w:id="2"/>
    </w:p>
    <w:p w14:paraId="7EFF082E" w14:textId="2BFC16E5" w:rsidR="00D27CAD" w:rsidRPr="006B3BCE" w:rsidRDefault="00D27CAD" w:rsidP="009E140B">
      <w:pPr>
        <w:spacing w:before="100" w:beforeAutospacing="1" w:after="100" w:afterAutospacing="1" w:line="288" w:lineRule="auto"/>
        <w:rPr>
          <w:rFonts w:ascii="Arial" w:hAnsi="Arial" w:cs="Arial"/>
        </w:rPr>
      </w:pPr>
      <w:r>
        <w:rPr>
          <w:rFonts w:ascii="Arial" w:hAnsi="Arial"/>
        </w:rPr>
        <w:t>Un grand nombre de biens immobiliers ont été retirés du marché de la location à long terme au cours des dernières années et détournés pour être utilisés pour la location à court terme, ce qui a eu un impact négatif sur l’offre et la disponibilité de logements locatifs résidentiels privés avec des répercussions sur les prix locatifs. Cette tendance, largement facilitée par les plateformes en ligne, a été particulièrement marquée dans les zones urbaines à forte demande de logements.</w:t>
      </w:r>
    </w:p>
    <w:p w14:paraId="205216DC" w14:textId="01072BF5" w:rsidR="009E140B" w:rsidRPr="006B3BCE" w:rsidRDefault="003414C5" w:rsidP="00D27CAD">
      <w:pPr>
        <w:spacing w:before="100" w:beforeAutospacing="1" w:after="100" w:afterAutospacing="1" w:line="288" w:lineRule="auto"/>
        <w:rPr>
          <w:rFonts w:ascii="Arial" w:hAnsi="Arial" w:cs="Arial"/>
        </w:rPr>
      </w:pPr>
      <w:r>
        <w:rPr>
          <w:rFonts w:ascii="Arial" w:hAnsi="Arial"/>
        </w:rPr>
        <w:t>Des réformes législatives visant à réglementer le secteur de la location à court terme par le biais du code de planification, dans les zones désignées comme «zones de pression de location» (RPZ), ont été introduites en vertu de la loi de 2000 sur la planification et le développement (Développement exempté) (nº 2) Règlement de 2019 entré en vigueur le 1</w:t>
      </w:r>
      <w:r>
        <w:rPr>
          <w:rFonts w:ascii="Arial" w:hAnsi="Arial"/>
          <w:i/>
          <w:iCs/>
        </w:rPr>
        <w:t>er</w:t>
      </w:r>
      <w:r>
        <w:rPr>
          <w:rFonts w:ascii="Arial" w:hAnsi="Arial"/>
        </w:rPr>
        <w:t xml:space="preserve"> juillet 2019. </w:t>
      </w:r>
    </w:p>
    <w:p w14:paraId="2351CD8B" w14:textId="5C86381D" w:rsidR="001B6FC4" w:rsidRPr="006B3BCE" w:rsidRDefault="001B6FC4" w:rsidP="001B6FC4">
      <w:pPr>
        <w:spacing w:before="100" w:beforeAutospacing="1" w:after="100" w:afterAutospacing="1" w:line="288" w:lineRule="auto"/>
        <w:rPr>
          <w:rFonts w:ascii="Arial" w:hAnsi="Arial" w:cs="Arial"/>
        </w:rPr>
      </w:pPr>
      <w:r>
        <w:rPr>
          <w:rFonts w:ascii="Arial" w:hAnsi="Arial"/>
        </w:rPr>
        <w:t xml:space="preserve">Les autorités de planification, qui utilisent les pouvoirs d’exécution dont elles disposent depuis la mi-2019 en vertu de la partie 8 de la loi de 2000 sur la planification et le développement, ainsi que les dispositions relatives au sanctions associées en cas de non-conformité, sont les autorités désignées pour les dispositions législatives de 2019. Leur objectif principal est de s’assurer que seules les propriétés avec des permis </w:t>
      </w:r>
      <w:proofErr w:type="spellStart"/>
      <w:r>
        <w:rPr>
          <w:rFonts w:ascii="Arial" w:hAnsi="Arial"/>
        </w:rPr>
        <w:t>dʼurbanisme</w:t>
      </w:r>
      <w:proofErr w:type="spellEnd"/>
      <w:r>
        <w:rPr>
          <w:rFonts w:ascii="Arial" w:hAnsi="Arial"/>
        </w:rPr>
        <w:t xml:space="preserve"> spécifiques préexistants ou avec un changement approprié des permis </w:t>
      </w:r>
      <w:proofErr w:type="spellStart"/>
      <w:r>
        <w:rPr>
          <w:rFonts w:ascii="Arial" w:hAnsi="Arial"/>
        </w:rPr>
        <w:t>dʼurbanisme</w:t>
      </w:r>
      <w:proofErr w:type="spellEnd"/>
      <w:r>
        <w:rPr>
          <w:rFonts w:ascii="Arial" w:hAnsi="Arial"/>
        </w:rPr>
        <w:t xml:space="preserve"> d’utilisation peuvent fonctionner à des fins de location à court terme dans les zones de pression de location. À l’heure actuelle, la grande majorité des propriétés exploitées dans le </w:t>
      </w:r>
      <w:r>
        <w:rPr>
          <w:rFonts w:ascii="Arial" w:hAnsi="Arial"/>
        </w:rPr>
        <w:lastRenderedPageBreak/>
        <w:t xml:space="preserve">secteur de la location à court terme ne disposent pas du permis </w:t>
      </w:r>
      <w:proofErr w:type="spellStart"/>
      <w:r>
        <w:rPr>
          <w:rFonts w:ascii="Arial" w:hAnsi="Arial"/>
        </w:rPr>
        <w:t>dʼurbanisme</w:t>
      </w:r>
      <w:proofErr w:type="spellEnd"/>
      <w:r>
        <w:rPr>
          <w:rFonts w:ascii="Arial" w:hAnsi="Arial"/>
        </w:rPr>
        <w:t xml:space="preserve"> nécessaire, contrairement aux exigences légales.</w:t>
      </w:r>
    </w:p>
    <w:p w14:paraId="03C65914" w14:textId="77777777" w:rsidR="001B6FC4" w:rsidRPr="006B3BCE" w:rsidRDefault="001B6FC4" w:rsidP="001B6FC4">
      <w:pPr>
        <w:spacing w:before="100" w:beforeAutospacing="1" w:after="100" w:afterAutospacing="1" w:line="288" w:lineRule="auto"/>
        <w:rPr>
          <w:rFonts w:ascii="Arial" w:hAnsi="Arial" w:cs="Arial"/>
        </w:rPr>
      </w:pPr>
      <w:r>
        <w:rPr>
          <w:rFonts w:ascii="Arial" w:hAnsi="Arial"/>
        </w:rPr>
        <w:t xml:space="preserve">À la suite de leur introduction, l’application des dispositions de la location à court terme a commencé à avoir un effet, quoique limité, sur la réduction du nombre des annonces publicitaires concernant les propriétés de location à court terme sur les plateformes en ligne. </w:t>
      </w:r>
    </w:p>
    <w:p w14:paraId="6B5419B9" w14:textId="6C6B9E1B" w:rsidR="001B6FC4" w:rsidRPr="001B6FC4" w:rsidRDefault="001B6FC4" w:rsidP="001B6FC4">
      <w:pPr>
        <w:spacing w:before="100" w:beforeAutospacing="1" w:after="100" w:afterAutospacing="1" w:line="288" w:lineRule="auto"/>
        <w:rPr>
          <w:rFonts w:ascii="Arial" w:hAnsi="Arial" w:cs="Arial"/>
        </w:rPr>
      </w:pPr>
      <w:r>
        <w:rPr>
          <w:rFonts w:ascii="Arial" w:hAnsi="Arial"/>
        </w:rPr>
        <w:t>Toutefois, il y a eu d’importants problèmes pratiques liés à la réglementation de la location à court terme par le biais du système de planification, c’est-à-dire que les autorités de planification ont signalé des difficultés à établir et à prouver la propriété des biens s’engageant dans la pratique, ce qui rend difficile l’envoi d’un avis d’avertissement aux propriétaires, tout en prouvant à un niveau juridique suffisant que les propriétés sont engagées dans la location à court terme s’est également révélé problématique. En conséquence, seul un petit nombre de poursuites judiciaires ont été engagées à ce jour.</w:t>
      </w:r>
    </w:p>
    <w:p w14:paraId="2B5B4AF7" w14:textId="0A1986D4" w:rsidR="009E140B" w:rsidRDefault="001B6FC4" w:rsidP="001B6FC4">
      <w:pPr>
        <w:spacing w:before="100" w:beforeAutospacing="1" w:after="100" w:afterAutospacing="1" w:line="288" w:lineRule="auto"/>
        <w:rPr>
          <w:rFonts w:ascii="Arial" w:hAnsi="Arial" w:cs="Arial"/>
        </w:rPr>
      </w:pPr>
      <w:r>
        <w:rPr>
          <w:rFonts w:ascii="Arial" w:hAnsi="Arial"/>
        </w:rPr>
        <w:t>Il convient également de noter, dans ce contexte, que dans l’ensemble des 4 autorités locales de Dublin, par exemple, où une proportion importante des propriétés de location à court terme sont situées à l’échelle nationale, seules 22 demandes de changement de permis d’urbanisme d’utilisation concernant les locations à court terme ont été reçues au cours de la période 2019 jusqu’à présent dont 6 demandes acceptées, ce qui signifie que les propriétaires de biens immobiliers de location à court terme ne tiennent pratiquement pas compte, virtuellement, des exigences légales préexistantes depuis l’introduction de la législation de 2019 et qu’il est nécessaire de renforcer des dispositions plus exécutoires pour le secteur afin que l’objectif souhaité puisse être atteint.</w:t>
      </w:r>
    </w:p>
    <w:p w14:paraId="39C8725E" w14:textId="77777777" w:rsidR="00C563D6" w:rsidRPr="0069792C" w:rsidRDefault="00C563D6" w:rsidP="0069792C">
      <w:pPr>
        <w:spacing w:before="100" w:beforeAutospacing="1" w:after="100" w:afterAutospacing="1" w:line="288" w:lineRule="auto"/>
        <w:rPr>
          <w:rFonts w:ascii="Arial" w:hAnsi="Arial" w:cs="Arial"/>
        </w:rPr>
      </w:pPr>
    </w:p>
    <w:p w14:paraId="4C9430B8" w14:textId="77777777" w:rsidR="007765E7" w:rsidRPr="0069792C" w:rsidRDefault="006855D9" w:rsidP="0069792C">
      <w:pPr>
        <w:pStyle w:val="Heading2"/>
        <w:spacing w:before="100" w:beforeAutospacing="1" w:after="100" w:afterAutospacing="1" w:line="288" w:lineRule="auto"/>
        <w:rPr>
          <w:rFonts w:cs="Arial"/>
        </w:rPr>
      </w:pPr>
      <w:bookmarkStart w:id="3" w:name="_Toc123202869"/>
      <w:r>
        <w:t>2.2 Objectifs</w:t>
      </w:r>
      <w:bookmarkEnd w:id="3"/>
    </w:p>
    <w:p w14:paraId="7EEB4F60" w14:textId="3238C011" w:rsidR="001B6FC4" w:rsidRPr="006B3BCE" w:rsidRDefault="00A538C3" w:rsidP="001B6FC4">
      <w:pPr>
        <w:spacing w:before="100" w:beforeAutospacing="1" w:after="100" w:afterAutospacing="1" w:line="288" w:lineRule="auto"/>
        <w:rPr>
          <w:rFonts w:ascii="Arial" w:hAnsi="Arial" w:cs="Arial"/>
        </w:rPr>
      </w:pPr>
      <w:r>
        <w:rPr>
          <w:rFonts w:ascii="Arial" w:hAnsi="Arial"/>
        </w:rPr>
        <w:t xml:space="preserve">Le plan d’action du gouvernement pour le logement - le logement pour tous contient une action spécifique (action 20.4) visant à «développer de nouveaux contrôles réglementaires exigeant des locations de courte durée et de vacances de s’inscrire auprès de </w:t>
      </w:r>
      <w:proofErr w:type="spellStart"/>
      <w:r>
        <w:rPr>
          <w:rFonts w:ascii="Arial" w:hAnsi="Arial"/>
        </w:rPr>
        <w:t>Fáilte</w:t>
      </w:r>
      <w:proofErr w:type="spellEnd"/>
      <w:r>
        <w:rPr>
          <w:rFonts w:ascii="Arial" w:hAnsi="Arial"/>
        </w:rPr>
        <w:t xml:space="preserve"> Ireland afin de s’assurer que les maisons sont utilisées de manière optimale dans les zones de besoin de logement» – pour inverser la tendance des propriétés à quitter le secteur de la location privée à long terme vers le secteur de location à court terme, augmentant ainsi l’offre dans le secteur de la location privée et contribuant à réduire l’augmentation des coûts locatifs. Les données les plus récentes disponibles (août 2022) indiquent qu’il n’y a aujourd’hui qu’environ 700 propriétés disponibles pour la location privée à long terme à l’échelle nationale avec de nombreux ménages étant confrontés à </w:t>
      </w:r>
      <w:proofErr w:type="spellStart"/>
      <w:r>
        <w:rPr>
          <w:rFonts w:ascii="Arial" w:hAnsi="Arial"/>
        </w:rPr>
        <w:t>lʼabsence</w:t>
      </w:r>
      <w:proofErr w:type="spellEnd"/>
      <w:r>
        <w:rPr>
          <w:rFonts w:ascii="Arial" w:hAnsi="Arial"/>
        </w:rPr>
        <w:t xml:space="preserve"> de logement tandis que les prix de location affichent une augmentation de 12,6 % en 2022 par rapport à 2021, poursuivant les récentes tendances d’augmentation des loyers au cours des années précédentes.</w:t>
      </w:r>
    </w:p>
    <w:p w14:paraId="245104C5" w14:textId="4F28D01D" w:rsidR="001B6FC4" w:rsidRPr="006B3BCE" w:rsidRDefault="001B6FC4" w:rsidP="001B6FC4">
      <w:pPr>
        <w:spacing w:before="100" w:beforeAutospacing="1" w:after="100" w:afterAutospacing="1" w:line="288" w:lineRule="auto"/>
        <w:rPr>
          <w:rFonts w:ascii="Arial" w:hAnsi="Arial" w:cs="Arial"/>
        </w:rPr>
      </w:pPr>
      <w:r>
        <w:rPr>
          <w:rFonts w:ascii="Arial" w:hAnsi="Arial"/>
        </w:rPr>
        <w:t>Les nouvelles dispositions proposées remplaceront l’actuel régime de réglementation des location à court terme appliqué par l’intermédiaire du système de planification, qui s’est avéré difficile à appliquer et n’a pas été aussi efficace qu’espéré à l’origine.</w:t>
      </w:r>
    </w:p>
    <w:p w14:paraId="5330CCD0" w14:textId="352BE91B" w:rsidR="001B6FC4" w:rsidRPr="006B3BCE" w:rsidRDefault="001B6FC4" w:rsidP="00D27CAD">
      <w:pPr>
        <w:spacing w:before="100" w:beforeAutospacing="1" w:after="100" w:afterAutospacing="1" w:line="288" w:lineRule="auto"/>
        <w:rPr>
          <w:rFonts w:ascii="Arial" w:hAnsi="Arial" w:cs="Arial"/>
        </w:rPr>
      </w:pPr>
      <w:r>
        <w:rPr>
          <w:rFonts w:ascii="Arial" w:hAnsi="Arial"/>
        </w:rPr>
        <w:lastRenderedPageBreak/>
        <w:t xml:space="preserve">Le département du tourisme, de la culture, des arts, du </w:t>
      </w:r>
      <w:proofErr w:type="spellStart"/>
      <w:r>
        <w:rPr>
          <w:rFonts w:ascii="Arial" w:hAnsi="Arial"/>
        </w:rPr>
        <w:t>Gaeltacht</w:t>
      </w:r>
      <w:proofErr w:type="spellEnd"/>
      <w:r>
        <w:rPr>
          <w:rFonts w:ascii="Arial" w:hAnsi="Arial"/>
        </w:rPr>
        <w:t xml:space="preserve">, du sport et des médias et </w:t>
      </w:r>
      <w:proofErr w:type="spellStart"/>
      <w:r>
        <w:rPr>
          <w:rFonts w:ascii="Arial" w:hAnsi="Arial"/>
        </w:rPr>
        <w:t>Fáilte</w:t>
      </w:r>
      <w:proofErr w:type="spellEnd"/>
      <w:r>
        <w:rPr>
          <w:rFonts w:ascii="Arial" w:hAnsi="Arial"/>
        </w:rPr>
        <w:t xml:space="preserve"> Ireland dirigent cette action avec la contribution du ministère du logement, des collectivités locales et du patrimoine.</w:t>
      </w:r>
      <w:r>
        <w:t xml:space="preserve"> </w:t>
      </w:r>
      <w:r>
        <w:rPr>
          <w:rFonts w:ascii="Arial" w:hAnsi="Arial"/>
        </w:rPr>
        <w:t>Le nouveau système d’enregistrement en ligne pour les locations à court terme proposé par le logement pour tous est en cours d’élaboration et devrait être mis en ligne en 2023.</w:t>
      </w:r>
    </w:p>
    <w:p w14:paraId="174B9F45" w14:textId="4DF021B5" w:rsidR="00D91C1E" w:rsidRPr="006B3BCE" w:rsidRDefault="00D91C1E" w:rsidP="00D91C1E">
      <w:pPr>
        <w:spacing w:before="100" w:beforeAutospacing="1" w:after="100" w:afterAutospacing="1" w:line="288" w:lineRule="auto"/>
        <w:rPr>
          <w:rFonts w:ascii="Arial" w:hAnsi="Arial" w:cs="Arial"/>
        </w:rPr>
      </w:pPr>
      <w:r>
        <w:rPr>
          <w:rFonts w:ascii="Arial" w:hAnsi="Arial"/>
        </w:rPr>
        <w:t xml:space="preserve">La mesure introduite par le projet de loi de 2022 sur la planification et le développement, le transport maritime et l’évaluation (modification) est une mesure provisoire, en attendant l’introduction du système d’enregistrement de </w:t>
      </w:r>
      <w:proofErr w:type="spellStart"/>
      <w:r>
        <w:rPr>
          <w:rFonts w:ascii="Arial" w:hAnsi="Arial"/>
        </w:rPr>
        <w:t>Fáilte</w:t>
      </w:r>
      <w:proofErr w:type="spellEnd"/>
      <w:r>
        <w:rPr>
          <w:rFonts w:ascii="Arial" w:hAnsi="Arial"/>
        </w:rPr>
        <w:t xml:space="preserve"> Ireland, visant à atténuer la pénurie aiguë et croissante de logements locatifs privés à long terme disponibles pour la population autochtone dans les zones où la demande de logements est la plus élevée (c’est-à-dire les zones de pression de location) avec des conséquences inflationnistes correspondantes sur le niveau des loyers et le nombre de sans-abri dans ces zones. Comme indiqué, cette situation a été encore exacerbée par l’afflux récent de citoyens ukrainiens au cours des derniers mois, qui devrait encore augmenter dans les mois à venir.</w:t>
      </w:r>
    </w:p>
    <w:p w14:paraId="1E167AF6" w14:textId="3528C72C" w:rsidR="00CE4F6F" w:rsidRPr="006B3BCE" w:rsidRDefault="00CE4F6F" w:rsidP="00D91C1E">
      <w:pPr>
        <w:spacing w:before="100" w:beforeAutospacing="1" w:after="100" w:afterAutospacing="1" w:line="288" w:lineRule="auto"/>
        <w:rPr>
          <w:rFonts w:ascii="Arial" w:hAnsi="Arial" w:cs="Arial"/>
        </w:rPr>
      </w:pPr>
      <w:r>
        <w:rPr>
          <w:rFonts w:ascii="Arial" w:hAnsi="Arial"/>
        </w:rPr>
        <w:t>Il convient également de noter qu’un nombre important de propriétés qui opéraient sur le marché des locations à court terme avant Covid ont été temporairement détournées vers les logements locatifs privés à long terme pendant la période des restrictions de déplacement dues à la Covid, contribuant ainsi temporairement à atténuer la situation de pénurie de logements sur le marché de location à long terme. Toutefois, à la suite de l’assouplissement des restrictions en matière de déplacements au titre de la COVID et de la reprise de l’activité touristique normale, ces biens sont maintenant revenus sur le marché de la location à court terme, ce qui réduit, encore une fois, considérablement la disponibilité de logements locatifs privés à long terme, ce qui entraîne des répercussions inflationnistes sur les propriétés restant sur le marché de location à long terme.</w:t>
      </w:r>
    </w:p>
    <w:p w14:paraId="1EA7F4B2" w14:textId="2DE22BD5" w:rsidR="00D91C1E" w:rsidRPr="006B3BCE" w:rsidRDefault="00D91C1E" w:rsidP="00D91C1E">
      <w:pPr>
        <w:spacing w:before="100" w:beforeAutospacing="1" w:after="100" w:afterAutospacing="1" w:line="288" w:lineRule="auto"/>
        <w:rPr>
          <w:rFonts w:ascii="Arial" w:hAnsi="Arial" w:cs="Arial"/>
        </w:rPr>
      </w:pPr>
      <w:r>
        <w:rPr>
          <w:rFonts w:ascii="Arial" w:hAnsi="Arial"/>
        </w:rPr>
        <w:t>En effet, la mesure proposée vise à répondre aux pressions sans précédent auxquelles est actuellement confronté le secteur du logement, en particulier en ce qui concerne le logement résidentiel privé à long terme, et à la non-disponibilité relative de résidences privées non principales (maisons et appartements) pour la location à des populations locales dans les zones de pression de location à long terme par rapport à l’augmentation correspondante de l’offre de location à court terme dans ces zones.</w:t>
      </w:r>
    </w:p>
    <w:p w14:paraId="20CA7CD5" w14:textId="77777777" w:rsidR="001B6FC4" w:rsidRPr="0069792C" w:rsidRDefault="001B6FC4" w:rsidP="001B6FC4">
      <w:pPr>
        <w:spacing w:before="100" w:beforeAutospacing="1" w:after="100" w:afterAutospacing="1" w:line="288" w:lineRule="auto"/>
        <w:rPr>
          <w:rFonts w:ascii="Arial" w:hAnsi="Arial" w:cs="Arial"/>
        </w:rPr>
      </w:pPr>
    </w:p>
    <w:p w14:paraId="2362D9BE" w14:textId="77777777" w:rsidR="007765E7" w:rsidRPr="0069792C" w:rsidRDefault="007765E7" w:rsidP="0069792C">
      <w:pPr>
        <w:pStyle w:val="Heading1"/>
        <w:numPr>
          <w:ilvl w:val="0"/>
          <w:numId w:val="3"/>
        </w:numPr>
        <w:spacing w:before="100" w:beforeAutospacing="1" w:after="100" w:afterAutospacing="1" w:line="288" w:lineRule="auto"/>
        <w:rPr>
          <w:rFonts w:cs="Arial"/>
        </w:rPr>
      </w:pPr>
      <w:bookmarkStart w:id="4" w:name="_Toc123202870"/>
      <w:r>
        <w:t>Identification des options</w:t>
      </w:r>
      <w:bookmarkEnd w:id="4"/>
    </w:p>
    <w:p w14:paraId="44ACC0C7" w14:textId="261214E4" w:rsidR="007765E7" w:rsidRPr="006B3BCE" w:rsidRDefault="00B73F19" w:rsidP="0069792C">
      <w:pPr>
        <w:spacing w:before="100" w:beforeAutospacing="1" w:after="100" w:afterAutospacing="1" w:line="288" w:lineRule="auto"/>
        <w:rPr>
          <w:rFonts w:ascii="Arial" w:hAnsi="Arial" w:cs="Arial"/>
          <w:b/>
        </w:rPr>
      </w:pPr>
      <w:r>
        <w:rPr>
          <w:rFonts w:ascii="Arial" w:hAnsi="Arial"/>
          <w:b/>
        </w:rPr>
        <w:t>Aucune option de changement</w:t>
      </w:r>
    </w:p>
    <w:p w14:paraId="20A77382" w14:textId="44634E16" w:rsidR="00CE4F6F" w:rsidRPr="006B3BCE" w:rsidRDefault="00F3532A" w:rsidP="0069792C">
      <w:pPr>
        <w:spacing w:before="100" w:beforeAutospacing="1" w:after="100" w:afterAutospacing="1" w:line="288" w:lineRule="auto"/>
        <w:rPr>
          <w:rFonts w:ascii="Arial" w:hAnsi="Arial" w:cs="Arial"/>
        </w:rPr>
      </w:pPr>
      <w:r>
        <w:rPr>
          <w:rFonts w:ascii="Arial" w:hAnsi="Arial"/>
        </w:rPr>
        <w:t xml:space="preserve">Si aucun changement n’est apporté, les problèmes pratiques liés à la réglementation de la location à court terme par le système de planification se poursuivront et le flux de biens du marché locatif à long terme à la location à court terme continuera d’exacerber les pressions actuelles dans le secteur du logement, en particulier en ce qui concerne les logements résidentiels privés à long terme. </w:t>
      </w:r>
    </w:p>
    <w:p w14:paraId="326C6551" w14:textId="779D5DED" w:rsidR="007765E7" w:rsidRPr="006B3BCE" w:rsidRDefault="006855D9" w:rsidP="0069792C">
      <w:pPr>
        <w:spacing w:before="100" w:beforeAutospacing="1" w:after="100" w:afterAutospacing="1" w:line="288" w:lineRule="auto"/>
        <w:rPr>
          <w:rFonts w:ascii="Arial" w:hAnsi="Arial" w:cs="Arial"/>
          <w:b/>
        </w:rPr>
      </w:pPr>
      <w:r>
        <w:rPr>
          <w:rFonts w:ascii="Arial" w:hAnsi="Arial"/>
          <w:b/>
        </w:rPr>
        <w:lastRenderedPageBreak/>
        <w:t>Option préférée: Mise en œuvre des dispositions législatives proposées</w:t>
      </w:r>
    </w:p>
    <w:p w14:paraId="0C1C3D38" w14:textId="77777777" w:rsidR="001B6FC4" w:rsidRPr="006B3BCE" w:rsidRDefault="001B6FC4" w:rsidP="001B6FC4">
      <w:pPr>
        <w:spacing w:before="100" w:beforeAutospacing="1" w:after="100" w:afterAutospacing="1" w:line="288" w:lineRule="auto"/>
        <w:rPr>
          <w:rFonts w:ascii="Arial" w:hAnsi="Arial" w:cs="Arial"/>
        </w:rPr>
      </w:pPr>
      <w:r>
        <w:rPr>
          <w:rFonts w:ascii="Arial" w:hAnsi="Arial"/>
        </w:rPr>
        <w:t>L’objectif de cette proposition de politique est de renforcer considérablement les dispositions législatives préexistantes en ce qui concerne la réglementation du secteur des locations à court terme initialement introduite en vertu de la loi de 2019 sur les locations résidentielles et de la loi complémentaire de 2000 sur l’aménagement et le développement (développement exempté) (nº 2), qui est entrée en vigueur le 1</w:t>
      </w:r>
      <w:r>
        <w:rPr>
          <w:rFonts w:ascii="Arial" w:hAnsi="Arial"/>
          <w:vertAlign w:val="superscript"/>
        </w:rPr>
        <w:t>er</w:t>
      </w:r>
      <w:r>
        <w:rPr>
          <w:rFonts w:ascii="Arial" w:hAnsi="Arial"/>
        </w:rPr>
        <w:t xml:space="preserve"> juillet 2019. </w:t>
      </w:r>
    </w:p>
    <w:p w14:paraId="32653E46" w14:textId="7AC00AC2" w:rsidR="001B6FC4" w:rsidRPr="006B3BCE" w:rsidRDefault="001B6FC4" w:rsidP="001B6FC4">
      <w:pPr>
        <w:spacing w:before="100" w:beforeAutospacing="1" w:after="100" w:afterAutospacing="1" w:line="288" w:lineRule="auto"/>
        <w:rPr>
          <w:rFonts w:ascii="Arial" w:hAnsi="Arial" w:cs="Arial"/>
        </w:rPr>
      </w:pPr>
      <w:r>
        <w:rPr>
          <w:rFonts w:ascii="Arial" w:hAnsi="Arial"/>
        </w:rPr>
        <w:t>Il est proposé d’augmenter le nombre de propriétés disponibles sur le marché de la location résidentielle privée dans les zones où la demande de logements est élevée pendant une période de demande importante et soutenue de tels logements locatifs. La pénurie accrue d’approvisionnement a été encore aggravée par l’arrivée récente et probable d’un grand nombre de personnes fuyant l’Ukraine dans l’État qui ont besoin d’un logement à moyen et à long terme.</w:t>
      </w:r>
    </w:p>
    <w:p w14:paraId="7112CE5B" w14:textId="4F620803" w:rsidR="001B6FC4" w:rsidRPr="006B3BCE" w:rsidRDefault="001B6FC4" w:rsidP="001B6FC4">
      <w:pPr>
        <w:spacing w:before="100" w:beforeAutospacing="1" w:after="100" w:afterAutospacing="1" w:line="288" w:lineRule="auto"/>
        <w:rPr>
          <w:rFonts w:ascii="Arial" w:hAnsi="Arial" w:cs="Arial"/>
        </w:rPr>
      </w:pPr>
      <w:r>
        <w:rPr>
          <w:rFonts w:ascii="Arial" w:hAnsi="Arial"/>
        </w:rPr>
        <w:t>Le projet de loi comporte deux éléments essentiels:</w:t>
      </w:r>
    </w:p>
    <w:p w14:paraId="79836B79" w14:textId="3469A9AA" w:rsidR="001B6FC4" w:rsidRPr="006B3BCE" w:rsidRDefault="001B6FC4" w:rsidP="00CE4F6F">
      <w:pPr>
        <w:pStyle w:val="ListParagraph"/>
        <w:numPr>
          <w:ilvl w:val="0"/>
          <w:numId w:val="6"/>
        </w:numPr>
        <w:spacing w:before="100" w:beforeAutospacing="1" w:after="100" w:afterAutospacing="1" w:line="288" w:lineRule="auto"/>
        <w:rPr>
          <w:rFonts w:ascii="Arial" w:hAnsi="Arial" w:cs="Arial"/>
        </w:rPr>
      </w:pPr>
      <w:r>
        <w:rPr>
          <w:rFonts w:ascii="Arial" w:hAnsi="Arial"/>
        </w:rPr>
        <w:t xml:space="preserve">à condition que - à partir d’une date à préciser - pendant une période de six mois, les résidences privées non principales dans les zones de pression de location ne soient pas annoncées ou n’acceptent pas les réservations sur des plateformes en ligne ou d’autres médias à des fins de location à court terme sans que le permis d’urbanisme nécessaire ne soit en place pour le bien concerné ou que le bien concerné soit autrement exempté. </w:t>
      </w:r>
    </w:p>
    <w:p w14:paraId="41BEE8E2" w14:textId="549EBBE5" w:rsidR="001B6FC4" w:rsidRPr="006B3BCE" w:rsidRDefault="001B6FC4" w:rsidP="00CE4F6F">
      <w:pPr>
        <w:pStyle w:val="ListParagraph"/>
        <w:spacing w:before="100" w:beforeAutospacing="1" w:after="100" w:afterAutospacing="1" w:line="288" w:lineRule="auto"/>
        <w:rPr>
          <w:rFonts w:ascii="Arial" w:hAnsi="Arial" w:cs="Arial"/>
        </w:rPr>
      </w:pPr>
      <w:r>
        <w:rPr>
          <w:rFonts w:ascii="Arial" w:hAnsi="Arial"/>
        </w:rPr>
        <w:t>Ce délai peut être prolongé pour des périodes supplémentaires de six mois, sous réserve de résolutions positives des deux chambres de l’</w:t>
      </w:r>
      <w:proofErr w:type="spellStart"/>
      <w:r>
        <w:rPr>
          <w:rFonts w:ascii="Arial" w:hAnsi="Arial"/>
        </w:rPr>
        <w:t>Oireachtas</w:t>
      </w:r>
      <w:proofErr w:type="spellEnd"/>
      <w:r>
        <w:rPr>
          <w:rFonts w:ascii="Arial" w:hAnsi="Arial"/>
        </w:rPr>
        <w:t xml:space="preserve">; </w:t>
      </w:r>
    </w:p>
    <w:p w14:paraId="53F8FD8B" w14:textId="77777777" w:rsidR="001B6FC4" w:rsidRPr="006B3BCE" w:rsidRDefault="001B6FC4" w:rsidP="00CE4F6F">
      <w:pPr>
        <w:pStyle w:val="ListParagraph"/>
        <w:spacing w:before="100" w:beforeAutospacing="1" w:after="100" w:afterAutospacing="1" w:line="288" w:lineRule="auto"/>
        <w:rPr>
          <w:rFonts w:ascii="Arial" w:hAnsi="Arial" w:cs="Arial"/>
        </w:rPr>
      </w:pPr>
    </w:p>
    <w:p w14:paraId="1223965D" w14:textId="4049AA5D" w:rsidR="001B6FC4" w:rsidRPr="006B3BCE" w:rsidRDefault="001B6FC4" w:rsidP="00CE4F6F">
      <w:pPr>
        <w:pStyle w:val="ListParagraph"/>
        <w:numPr>
          <w:ilvl w:val="0"/>
          <w:numId w:val="6"/>
        </w:numPr>
        <w:spacing w:before="100" w:beforeAutospacing="1" w:after="100" w:afterAutospacing="1" w:line="288" w:lineRule="auto"/>
        <w:rPr>
          <w:rFonts w:ascii="Arial" w:hAnsi="Arial" w:cs="Arial"/>
        </w:rPr>
      </w:pPr>
      <w:r>
        <w:rPr>
          <w:rFonts w:ascii="Arial" w:hAnsi="Arial"/>
        </w:rPr>
        <w:t xml:space="preserve">donner au ministre le pouvoir réglementaire d’exiger des propriétaires de biens de location à court terme ou de leurs mandataires désignés qu’ils produisent des preuves de conformité à la planification certifiées par une autorité d’aménagement, ou d’une dispense de celles-ci, afin de confirmer le droit de faire la publicité d’une résidence privée non principale située dans une zone de pression de location sur une plate-forme en ligne ou d’autres médias. </w:t>
      </w:r>
    </w:p>
    <w:p w14:paraId="7A4C3198" w14:textId="066EB689" w:rsidR="001B6FC4" w:rsidRPr="006B3BCE" w:rsidRDefault="001B6FC4" w:rsidP="001B6FC4">
      <w:pPr>
        <w:spacing w:before="100" w:beforeAutospacing="1" w:after="100" w:afterAutospacing="1" w:line="288" w:lineRule="auto"/>
        <w:rPr>
          <w:rFonts w:ascii="Arial" w:hAnsi="Arial" w:cs="Arial"/>
        </w:rPr>
      </w:pPr>
      <w:r>
        <w:rPr>
          <w:rFonts w:ascii="Arial" w:hAnsi="Arial"/>
        </w:rPr>
        <w:t xml:space="preserve">Les modalités opérationnelles détaillées et les autres dispositions accessoires connexes relatives à cette exigence de certification — ce qui est envisagé impliquera un engagement entre le ministère du logement, des collectivités locales et du patrimoine, les plateformes en ligne concernées et d’autres groupes de parties prenantes — afin de garantir le respect des exigences qui seront prévues dans la réglementation complémentaire.  </w:t>
      </w:r>
    </w:p>
    <w:p w14:paraId="181C4DA6" w14:textId="6B29517E" w:rsidR="001B6FC4" w:rsidRPr="006B3BCE" w:rsidRDefault="00CE4F6F" w:rsidP="001B6FC4">
      <w:pPr>
        <w:spacing w:before="100" w:beforeAutospacing="1" w:after="100" w:afterAutospacing="1" w:line="288" w:lineRule="auto"/>
        <w:rPr>
          <w:rFonts w:ascii="Arial" w:hAnsi="Arial" w:cs="Arial"/>
        </w:rPr>
      </w:pPr>
      <w:r>
        <w:rPr>
          <w:rFonts w:ascii="Arial" w:hAnsi="Arial"/>
        </w:rPr>
        <w:t xml:space="preserve">À cet égard, les dispositions législatives préexistantes en matière de location à court terme comportent déjà des dispositions en matière d’infractions en ce qui concerne le non-respect desdites dispositions. Ces dispositions sur les infractions continueront de s’appliquer en vertu du nouveau règlement lorsqu’il est proposé que les plateformes en ligne et les propriétaires individuels de biens soient passibles de sanctions en cas de non-respect des nouvelles dispositions. En vertu des dispositions préexistantes, seuls les propriétaires concernés sont passibles de sanctions </w:t>
      </w:r>
      <w:proofErr w:type="spellStart"/>
      <w:r>
        <w:rPr>
          <w:rFonts w:ascii="Arial" w:hAnsi="Arial"/>
        </w:rPr>
        <w:t>dʼinfraction</w:t>
      </w:r>
      <w:proofErr w:type="spellEnd"/>
      <w:r>
        <w:rPr>
          <w:rFonts w:ascii="Arial" w:hAnsi="Arial"/>
        </w:rPr>
        <w:t xml:space="preserve"> de non-respect.</w:t>
      </w:r>
    </w:p>
    <w:p w14:paraId="77C07253" w14:textId="77777777" w:rsidR="00CE4F6F" w:rsidRPr="001B6FC4" w:rsidRDefault="00CE4F6F" w:rsidP="001B6FC4">
      <w:pPr>
        <w:spacing w:before="100" w:beforeAutospacing="1" w:after="100" w:afterAutospacing="1" w:line="288" w:lineRule="auto"/>
        <w:rPr>
          <w:rFonts w:ascii="Arial" w:hAnsi="Arial" w:cs="Arial"/>
        </w:rPr>
      </w:pPr>
    </w:p>
    <w:p w14:paraId="12AB65D1" w14:textId="677579A9" w:rsidR="006855D9" w:rsidRPr="0069792C" w:rsidRDefault="007765E7" w:rsidP="0069792C">
      <w:pPr>
        <w:pStyle w:val="Heading1"/>
        <w:numPr>
          <w:ilvl w:val="0"/>
          <w:numId w:val="3"/>
        </w:numPr>
        <w:spacing w:before="100" w:beforeAutospacing="1" w:after="100" w:afterAutospacing="1" w:line="288" w:lineRule="auto"/>
        <w:rPr>
          <w:rFonts w:cs="Arial"/>
        </w:rPr>
      </w:pPr>
      <w:bookmarkStart w:id="5" w:name="_Toc123202871"/>
      <w:r>
        <w:t>Détermination des coûts, avantages et répercussions</w:t>
      </w:r>
      <w:bookmarkEnd w:id="5"/>
    </w:p>
    <w:p w14:paraId="546DB5E0" w14:textId="77777777" w:rsidR="007765E7" w:rsidRPr="0069792C" w:rsidRDefault="006855D9" w:rsidP="0069792C">
      <w:pPr>
        <w:pStyle w:val="Heading2"/>
        <w:spacing w:before="100" w:beforeAutospacing="1" w:after="100" w:afterAutospacing="1" w:line="288" w:lineRule="auto"/>
        <w:rPr>
          <w:rFonts w:cs="Arial"/>
        </w:rPr>
      </w:pPr>
      <w:bookmarkStart w:id="6" w:name="_Toc123202872"/>
      <w:r>
        <w:t>4.1 Coûts</w:t>
      </w:r>
      <w:bookmarkEnd w:id="6"/>
    </w:p>
    <w:p w14:paraId="358EE983" w14:textId="148FDFE4" w:rsidR="006855D9" w:rsidRPr="0069792C" w:rsidRDefault="006855D9" w:rsidP="0069792C">
      <w:pPr>
        <w:spacing w:before="100" w:beforeAutospacing="1" w:after="100" w:afterAutospacing="1" w:line="288" w:lineRule="auto"/>
        <w:rPr>
          <w:rFonts w:ascii="Arial" w:hAnsi="Arial" w:cs="Arial"/>
          <w:b/>
        </w:rPr>
      </w:pPr>
      <w:r>
        <w:rPr>
          <w:rFonts w:ascii="Arial" w:hAnsi="Arial"/>
          <w:b/>
        </w:rPr>
        <w:t>Aucune option de changement</w:t>
      </w:r>
    </w:p>
    <w:p w14:paraId="6E8CF41C" w14:textId="0AB3C292" w:rsidR="00B73F19" w:rsidRPr="0069792C" w:rsidRDefault="00423062" w:rsidP="00423062">
      <w:pPr>
        <w:spacing w:before="100" w:beforeAutospacing="1" w:after="100" w:afterAutospacing="1" w:line="288" w:lineRule="auto"/>
        <w:rPr>
          <w:rFonts w:ascii="Arial" w:hAnsi="Arial" w:cs="Arial"/>
        </w:rPr>
      </w:pPr>
      <w:r>
        <w:rPr>
          <w:rFonts w:ascii="Arial" w:hAnsi="Arial"/>
        </w:rPr>
        <w:t>Pour l’État, il y aurait des coûts budgétaires permanents liés aux ressources en personnel pour l’application de la réglementation actuelle en matière de location à court terme et bien que des travaux importants aient été entrepris par les autorités de planification depuis l’entrée en vigueur du règlement, comme il a été mentionné, cela a eu un effet limité, car le régime réglementaire actuel s’est avéré difficile à appliquer et n’a pas été aussi efficace qu’espéré à l’origine.</w:t>
      </w:r>
    </w:p>
    <w:p w14:paraId="46A11231" w14:textId="2B284D7B" w:rsidR="006855D9" w:rsidRPr="0069792C" w:rsidRDefault="006855D9" w:rsidP="0069792C">
      <w:pPr>
        <w:spacing w:before="100" w:beforeAutospacing="1" w:after="100" w:afterAutospacing="1" w:line="288" w:lineRule="auto"/>
        <w:rPr>
          <w:rFonts w:ascii="Arial" w:hAnsi="Arial" w:cs="Arial"/>
          <w:b/>
        </w:rPr>
      </w:pPr>
      <w:r>
        <w:rPr>
          <w:rFonts w:ascii="Arial" w:hAnsi="Arial"/>
          <w:b/>
        </w:rPr>
        <w:t>Option préférée: Mise en œuvre des dispositions législatives proposées</w:t>
      </w:r>
    </w:p>
    <w:p w14:paraId="01983C54" w14:textId="5EFEDB9F" w:rsidR="0069792C" w:rsidRDefault="00423062" w:rsidP="003418B9">
      <w:pPr>
        <w:spacing w:before="100" w:beforeAutospacing="1" w:after="100" w:afterAutospacing="1" w:line="288" w:lineRule="auto"/>
        <w:rPr>
          <w:rFonts w:cs="Arial"/>
        </w:rPr>
      </w:pPr>
      <w:r>
        <w:rPr>
          <w:rFonts w:ascii="Arial" w:hAnsi="Arial"/>
        </w:rPr>
        <w:t xml:space="preserve">Pour l’État, les coûts budgétaires associés à l’introduction de cette nouvelle mesure seraient similaires à ceux du régime actuel. Toutefois, on s’attend à ce que ces coûts procurent un meilleur rendement et soient plus efficaces pour atteindre l’objectif souhaité. </w:t>
      </w:r>
    </w:p>
    <w:p w14:paraId="3F17A204" w14:textId="4B07B42F" w:rsidR="006855D9" w:rsidRPr="0069792C" w:rsidRDefault="006855D9" w:rsidP="0069792C">
      <w:pPr>
        <w:pStyle w:val="Heading2"/>
        <w:spacing w:before="100" w:beforeAutospacing="1" w:after="100" w:afterAutospacing="1" w:line="288" w:lineRule="auto"/>
        <w:rPr>
          <w:rFonts w:cs="Arial"/>
        </w:rPr>
      </w:pPr>
      <w:bookmarkStart w:id="7" w:name="_Toc123202873"/>
      <w:r>
        <w:t>4.2 Avantages</w:t>
      </w:r>
      <w:bookmarkEnd w:id="7"/>
    </w:p>
    <w:p w14:paraId="08AF473A" w14:textId="039950E0" w:rsidR="006855D9" w:rsidRPr="006B3BCE" w:rsidRDefault="006855D9" w:rsidP="0069792C">
      <w:pPr>
        <w:spacing w:before="100" w:beforeAutospacing="1" w:after="100" w:afterAutospacing="1" w:line="288" w:lineRule="auto"/>
        <w:rPr>
          <w:rFonts w:ascii="Arial" w:hAnsi="Arial" w:cs="Arial"/>
          <w:b/>
        </w:rPr>
      </w:pPr>
      <w:r>
        <w:rPr>
          <w:rFonts w:ascii="Arial" w:hAnsi="Arial"/>
          <w:b/>
        </w:rPr>
        <w:t>Aucune option de changement</w:t>
      </w:r>
    </w:p>
    <w:p w14:paraId="3426BDD7" w14:textId="727341BA" w:rsidR="003418B9" w:rsidRPr="006B3BCE" w:rsidRDefault="003418B9" w:rsidP="0069792C">
      <w:pPr>
        <w:spacing w:before="100" w:beforeAutospacing="1" w:after="100" w:afterAutospacing="1" w:line="288" w:lineRule="auto"/>
        <w:rPr>
          <w:rFonts w:ascii="Arial" w:hAnsi="Arial" w:cs="Arial"/>
        </w:rPr>
      </w:pPr>
      <w:r>
        <w:rPr>
          <w:rFonts w:ascii="Arial" w:hAnsi="Arial"/>
        </w:rPr>
        <w:t xml:space="preserve">Si aucun changement n’est apporté, les problèmes pratiques liés à la réglementation de la location à court terme par le système de planification se poursuivront et le flux de biens du marché locatif à long terme à la location à court terme continuera d’exacerber les pressions actuelles dans le secteur du logement, en particulier en ce qui concerne les logements résidentiels privés à long terme. </w:t>
      </w:r>
    </w:p>
    <w:p w14:paraId="474C3265" w14:textId="0D971E7B" w:rsidR="006855D9" w:rsidRPr="006B3BCE" w:rsidRDefault="006855D9" w:rsidP="0069792C">
      <w:pPr>
        <w:spacing w:before="100" w:beforeAutospacing="1" w:after="100" w:afterAutospacing="1" w:line="288" w:lineRule="auto"/>
        <w:rPr>
          <w:rFonts w:ascii="Arial" w:hAnsi="Arial" w:cs="Arial"/>
          <w:b/>
        </w:rPr>
      </w:pPr>
      <w:r>
        <w:rPr>
          <w:rFonts w:ascii="Arial" w:hAnsi="Arial"/>
          <w:b/>
        </w:rPr>
        <w:t>Option préférée: Mise en œuvre des dispositions législatives proposées</w:t>
      </w:r>
    </w:p>
    <w:p w14:paraId="4E3E6724" w14:textId="3FA1712E" w:rsidR="0069792C" w:rsidRPr="00F400A4" w:rsidRDefault="008F4C83" w:rsidP="00F400A4">
      <w:pPr>
        <w:spacing w:before="100" w:beforeAutospacing="1" w:after="100" w:afterAutospacing="1" w:line="288" w:lineRule="auto"/>
        <w:rPr>
          <w:rFonts w:ascii="Arial" w:hAnsi="Arial" w:cs="Arial"/>
        </w:rPr>
      </w:pPr>
      <w:r w:rsidRPr="00F400A4">
        <w:rPr>
          <w:rFonts w:ascii="Arial" w:hAnsi="Arial" w:cs="Arial"/>
        </w:rPr>
        <w:t>On s’attend à ce que cette mesure augmente le nombre de propriétés disponibles sur le marché de la location résidentielle privée à long terme dans les zones où la demande de logements est élevée pendant une période de demande importante et soutenue de logements locatifs.</w:t>
      </w:r>
    </w:p>
    <w:p w14:paraId="23A7F5A5" w14:textId="37623956" w:rsidR="006855D9" w:rsidRPr="0069792C" w:rsidRDefault="006855D9" w:rsidP="0069792C">
      <w:pPr>
        <w:pStyle w:val="Heading2"/>
        <w:spacing w:before="100" w:beforeAutospacing="1" w:after="100" w:afterAutospacing="1" w:line="288" w:lineRule="auto"/>
        <w:rPr>
          <w:rFonts w:cs="Arial"/>
        </w:rPr>
      </w:pPr>
      <w:bookmarkStart w:id="8" w:name="_Toc123202874"/>
      <w:r>
        <w:t>4.3 Impacts</w:t>
      </w:r>
      <w:bookmarkEnd w:id="8"/>
    </w:p>
    <w:p w14:paraId="7D877109" w14:textId="303B5E8A" w:rsidR="006855D9" w:rsidRPr="0069792C" w:rsidRDefault="006855D9" w:rsidP="0069792C">
      <w:pPr>
        <w:spacing w:before="100" w:beforeAutospacing="1" w:after="100" w:afterAutospacing="1" w:line="288" w:lineRule="auto"/>
        <w:rPr>
          <w:rFonts w:ascii="Arial" w:hAnsi="Arial" w:cs="Arial"/>
          <w:b/>
        </w:rPr>
      </w:pPr>
      <w:r>
        <w:rPr>
          <w:rFonts w:ascii="Arial" w:hAnsi="Arial"/>
          <w:b/>
        </w:rPr>
        <w:t>Aucune option de changement</w:t>
      </w:r>
    </w:p>
    <w:p w14:paraId="16930F3A" w14:textId="77777777" w:rsidR="005522AE" w:rsidRDefault="005522AE" w:rsidP="0069792C">
      <w:pPr>
        <w:spacing w:before="100" w:beforeAutospacing="1" w:after="100" w:afterAutospacing="1" w:line="288" w:lineRule="auto"/>
        <w:rPr>
          <w:rFonts w:ascii="Arial" w:hAnsi="Arial" w:cs="Arial"/>
        </w:rPr>
      </w:pPr>
      <w:r>
        <w:rPr>
          <w:rFonts w:ascii="Arial" w:hAnsi="Arial"/>
        </w:rPr>
        <w:t xml:space="preserve">Les pressions sans précédent auxquelles est actuellement confronté le secteur du logement, en particulier en ce qui concerne les logements résidentiels privés à long terme, et la non-disponibilité relative de résidences privées non principales (maisons et appartements) pour la location en zones de pression locatives se poursuivront. </w:t>
      </w:r>
    </w:p>
    <w:p w14:paraId="50086C04" w14:textId="79790BC1" w:rsidR="006855D9" w:rsidRPr="0069792C" w:rsidRDefault="006855D9" w:rsidP="0069792C">
      <w:pPr>
        <w:spacing w:before="100" w:beforeAutospacing="1" w:after="100" w:afterAutospacing="1" w:line="288" w:lineRule="auto"/>
        <w:rPr>
          <w:rFonts w:ascii="Arial" w:hAnsi="Arial" w:cs="Arial"/>
          <w:b/>
        </w:rPr>
      </w:pPr>
      <w:r>
        <w:rPr>
          <w:rFonts w:ascii="Arial" w:hAnsi="Arial"/>
          <w:b/>
        </w:rPr>
        <w:lastRenderedPageBreak/>
        <w:t>Option préférée: Mise en œuvre des dispositions législatives proposées</w:t>
      </w:r>
    </w:p>
    <w:p w14:paraId="2A74289E" w14:textId="5522C48C" w:rsidR="00824E7C" w:rsidRPr="0069792C" w:rsidRDefault="00D624C6" w:rsidP="0069792C">
      <w:pPr>
        <w:spacing w:before="100" w:beforeAutospacing="1" w:after="100" w:afterAutospacing="1" w:line="288" w:lineRule="auto"/>
        <w:rPr>
          <w:rFonts w:ascii="Arial" w:hAnsi="Arial" w:cs="Arial"/>
        </w:rPr>
      </w:pPr>
      <w:r>
        <w:rPr>
          <w:rFonts w:ascii="Arial" w:hAnsi="Arial"/>
        </w:rPr>
        <w:t>L’adoption de l’option 2 aura un impact positif sur la réalisation des objectifs nationaux d’approvisionnement en logements.  Ces arrangements constitueront un resserrement important des dispositions actuelles relatives à la réglementation du secteur, dans la mesure où les plateformes en ligne seront tenues d’avoir connaissance de preuves de conformité à la planification afin de faire de la publicité sur les propriétés. Le non-respect de ces dispositions constitue une infraction tant pour les propriétaires individuels concernés que pour les plateformes en ligne.</w:t>
      </w:r>
    </w:p>
    <w:p w14:paraId="11B8D2A9" w14:textId="77777777" w:rsidR="006855D9" w:rsidRPr="0069792C" w:rsidRDefault="006855D9" w:rsidP="0069792C">
      <w:pPr>
        <w:pStyle w:val="Heading1"/>
        <w:numPr>
          <w:ilvl w:val="0"/>
          <w:numId w:val="3"/>
        </w:numPr>
        <w:spacing w:before="100" w:beforeAutospacing="1" w:after="100" w:afterAutospacing="1" w:line="288" w:lineRule="auto"/>
        <w:rPr>
          <w:rFonts w:cs="Arial"/>
        </w:rPr>
      </w:pPr>
      <w:bookmarkStart w:id="9" w:name="_Toc123202875"/>
      <w:r>
        <w:t>Consultation</w:t>
      </w:r>
      <w:bookmarkEnd w:id="9"/>
    </w:p>
    <w:p w14:paraId="69F85E06" w14:textId="0985D1C0" w:rsidR="0041305E" w:rsidRPr="0069792C" w:rsidRDefault="003418B9" w:rsidP="0069792C">
      <w:pPr>
        <w:spacing w:before="100" w:beforeAutospacing="1" w:after="100" w:afterAutospacing="1" w:line="288" w:lineRule="auto"/>
        <w:rPr>
          <w:rFonts w:ascii="Arial" w:hAnsi="Arial" w:cs="Arial"/>
        </w:rPr>
      </w:pPr>
      <w:r>
        <w:rPr>
          <w:rFonts w:ascii="Arial" w:hAnsi="Arial"/>
        </w:rPr>
        <w:t>Les modalités d’exploitation détaillées et les autres dispositions accessoires connexes relatives à cette exigence de certification seront prévues dans des règlements supplémentaires. Le ministère collaborera avec les plateformes en ligne pertinentes et d’autres groupes d’intervenants dans l’élaboration du nouveau règlement.</w:t>
      </w:r>
    </w:p>
    <w:p w14:paraId="29D537FE" w14:textId="1350BC8E" w:rsidR="006855D9" w:rsidRDefault="006855D9" w:rsidP="0069792C">
      <w:pPr>
        <w:spacing w:before="100" w:beforeAutospacing="1" w:after="100" w:afterAutospacing="1" w:line="288" w:lineRule="auto"/>
        <w:rPr>
          <w:rFonts w:ascii="Arial" w:hAnsi="Arial" w:cs="Arial"/>
        </w:rPr>
      </w:pPr>
      <w:r>
        <w:rPr>
          <w:rFonts w:ascii="Arial" w:hAnsi="Arial"/>
        </w:rPr>
        <w:t>Tous les départements concernés et le bureau du procureur général ont été consultés lors de l’élaboration des dispositions contenues dans le projet de loi de 2022 sur la planification et le développement, le transport maritime et l’évaluation (modification).</w:t>
      </w:r>
    </w:p>
    <w:p w14:paraId="34705F5F" w14:textId="77777777" w:rsidR="0069792C" w:rsidRPr="0069792C" w:rsidRDefault="0069792C" w:rsidP="0069792C">
      <w:pPr>
        <w:spacing w:before="100" w:beforeAutospacing="1" w:after="100" w:afterAutospacing="1" w:line="288" w:lineRule="auto"/>
        <w:rPr>
          <w:rFonts w:ascii="Arial" w:hAnsi="Arial" w:cs="Arial"/>
        </w:rPr>
      </w:pPr>
    </w:p>
    <w:p w14:paraId="5292870F" w14:textId="497D8AE4" w:rsidR="0041305E" w:rsidRPr="00F75C82" w:rsidRDefault="0041305E" w:rsidP="0069792C">
      <w:pPr>
        <w:pStyle w:val="Heading1"/>
        <w:numPr>
          <w:ilvl w:val="0"/>
          <w:numId w:val="3"/>
        </w:numPr>
        <w:spacing w:before="100" w:beforeAutospacing="1" w:after="100" w:afterAutospacing="1" w:line="288" w:lineRule="auto"/>
        <w:rPr>
          <w:rFonts w:cs="Arial"/>
        </w:rPr>
      </w:pPr>
      <w:bookmarkStart w:id="10" w:name="_Toc123202876"/>
      <w:r>
        <w:t>Application et conformité</w:t>
      </w:r>
      <w:bookmarkEnd w:id="10"/>
    </w:p>
    <w:p w14:paraId="12BB32EA" w14:textId="13A04A4E" w:rsidR="0069792C" w:rsidRPr="0069792C" w:rsidRDefault="005522AE" w:rsidP="0069792C">
      <w:pPr>
        <w:spacing w:before="100" w:beforeAutospacing="1" w:after="100" w:afterAutospacing="1" w:line="288" w:lineRule="auto"/>
        <w:rPr>
          <w:rFonts w:ascii="Arial" w:hAnsi="Arial" w:cs="Arial"/>
        </w:rPr>
      </w:pPr>
      <w:r>
        <w:rPr>
          <w:rFonts w:ascii="Arial" w:hAnsi="Arial"/>
        </w:rPr>
        <w:t>Les dispositions législatives préexistantes en matière de location à court terme comportent déjà des dispositions en matière d’infractions en ce qui concerne le non-respect desdites dispositions. Ces dispositions en matière d’infractions continueront de s’appliquer en vertu de la nouvelle réglementation avec les plateformes en ligne et les propriétaires individuels étant ouverts à des sanctions en cas de non-respect des nouvelles dispositions.</w:t>
      </w:r>
    </w:p>
    <w:p w14:paraId="478CF6F6" w14:textId="0F8084B1" w:rsidR="0069792C" w:rsidRPr="0069792C" w:rsidRDefault="006855D9" w:rsidP="0069792C">
      <w:pPr>
        <w:pStyle w:val="Heading1"/>
        <w:numPr>
          <w:ilvl w:val="0"/>
          <w:numId w:val="3"/>
        </w:numPr>
        <w:spacing w:before="100" w:beforeAutospacing="1" w:after="100" w:afterAutospacing="1" w:line="288" w:lineRule="auto"/>
        <w:rPr>
          <w:rFonts w:cs="Arial"/>
        </w:rPr>
      </w:pPr>
      <w:bookmarkStart w:id="11" w:name="_Toc123202877"/>
      <w:r>
        <w:t>Examen</w:t>
      </w:r>
      <w:bookmarkEnd w:id="11"/>
    </w:p>
    <w:p w14:paraId="552FE823" w14:textId="35928813" w:rsidR="006855D9" w:rsidRDefault="006855D9" w:rsidP="0069792C">
      <w:pPr>
        <w:spacing w:before="100" w:beforeAutospacing="1" w:after="100" w:afterAutospacing="1" w:line="288" w:lineRule="auto"/>
        <w:rPr>
          <w:rFonts w:ascii="Arial" w:hAnsi="Arial" w:cs="Arial"/>
        </w:rPr>
      </w:pPr>
      <w:r>
        <w:rPr>
          <w:rFonts w:ascii="Arial" w:hAnsi="Arial"/>
        </w:rPr>
        <w:t xml:space="preserve">En général, la législation en matière de planification fait l’objet d’un examen continu. Étant donné que le nouveau système d’enregistrement proposé pour les locations à court terme devant être exploitées par </w:t>
      </w:r>
      <w:proofErr w:type="spellStart"/>
      <w:r>
        <w:rPr>
          <w:rFonts w:ascii="Arial" w:hAnsi="Arial"/>
        </w:rPr>
        <w:t>Fáilte</w:t>
      </w:r>
      <w:proofErr w:type="spellEnd"/>
      <w:r>
        <w:rPr>
          <w:rFonts w:ascii="Arial" w:hAnsi="Arial"/>
        </w:rPr>
        <w:t xml:space="preserve"> Ireland devrait être mis en place en 2023, il est prévu que les nouvelles dispositions proposées dans le code de planification ne seront appliquées qu’à titre provisoire et ne feront pas l’objet d’un réexamen.</w:t>
      </w:r>
    </w:p>
    <w:p w14:paraId="57B43501" w14:textId="77777777" w:rsidR="0069792C" w:rsidRPr="0069792C" w:rsidRDefault="0069792C" w:rsidP="0069792C">
      <w:pPr>
        <w:spacing w:before="100" w:beforeAutospacing="1" w:after="100" w:afterAutospacing="1" w:line="288" w:lineRule="auto"/>
        <w:rPr>
          <w:rFonts w:ascii="Arial" w:eastAsiaTheme="majorEastAsia" w:hAnsi="Arial" w:cs="Arial"/>
          <w:b/>
          <w:color w:val="000000" w:themeColor="text1"/>
          <w:sz w:val="28"/>
          <w:szCs w:val="32"/>
          <w:u w:val="single"/>
        </w:rPr>
      </w:pPr>
    </w:p>
    <w:p w14:paraId="29E97CBB" w14:textId="77777777" w:rsidR="006855D9" w:rsidRPr="0069792C" w:rsidRDefault="006855D9" w:rsidP="0069792C">
      <w:pPr>
        <w:pStyle w:val="Heading1"/>
        <w:numPr>
          <w:ilvl w:val="0"/>
          <w:numId w:val="3"/>
        </w:numPr>
        <w:spacing w:before="100" w:beforeAutospacing="1" w:after="100" w:afterAutospacing="1" w:line="288" w:lineRule="auto"/>
        <w:rPr>
          <w:rFonts w:cs="Arial"/>
        </w:rPr>
      </w:pPr>
      <w:bookmarkStart w:id="12" w:name="_Toc123202878"/>
      <w:r>
        <w:t>Publication</w:t>
      </w:r>
      <w:bookmarkEnd w:id="12"/>
    </w:p>
    <w:p w14:paraId="7D62C8A1" w14:textId="58D961D3" w:rsidR="007765E7" w:rsidRPr="0069792C" w:rsidRDefault="006855D9" w:rsidP="0069792C">
      <w:pPr>
        <w:spacing w:before="100" w:beforeAutospacing="1" w:after="100" w:afterAutospacing="1" w:line="288" w:lineRule="auto"/>
        <w:rPr>
          <w:rFonts w:ascii="Arial" w:hAnsi="Arial" w:cs="Arial"/>
        </w:rPr>
      </w:pPr>
      <w:r>
        <w:rPr>
          <w:rFonts w:ascii="Arial" w:hAnsi="Arial"/>
        </w:rPr>
        <w:t xml:space="preserve">Cette analyse d’impact de la réglementation sera publiée sur le site Web du ministère </w:t>
      </w:r>
      <w:hyperlink r:id="rId12" w:history="1">
        <w:r>
          <w:rPr>
            <w:rStyle w:val="Hyperlink"/>
            <w:rFonts w:ascii="Arial" w:hAnsi="Arial"/>
          </w:rPr>
          <w:t>www.housing.gov.ie</w:t>
        </w:r>
      </w:hyperlink>
      <w:r>
        <w:rPr>
          <w:rFonts w:ascii="Arial" w:hAnsi="Arial"/>
        </w:rPr>
        <w:t>.</w:t>
      </w:r>
    </w:p>
    <w:sectPr w:rsidR="007765E7" w:rsidRPr="00697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2A8"/>
    <w:multiLevelType w:val="multilevel"/>
    <w:tmpl w:val="139834D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460D71"/>
    <w:multiLevelType w:val="hybridMultilevel"/>
    <w:tmpl w:val="C052A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AC061D"/>
    <w:multiLevelType w:val="hybridMultilevel"/>
    <w:tmpl w:val="02E4304A"/>
    <w:lvl w:ilvl="0" w:tplc="4E52F36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DB55D41"/>
    <w:multiLevelType w:val="hybridMultilevel"/>
    <w:tmpl w:val="A4E2FF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A103EDB"/>
    <w:multiLevelType w:val="hybridMultilevel"/>
    <w:tmpl w:val="E416E3BC"/>
    <w:lvl w:ilvl="0" w:tplc="B20E6DC6">
      <w:start w:val="1"/>
      <w:numFmt w:val="lowerRoman"/>
      <w:lvlText w:val="(%1)"/>
      <w:lvlJc w:val="left"/>
      <w:pPr>
        <w:ind w:left="360" w:firstLine="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CDD0575"/>
    <w:multiLevelType w:val="hybridMultilevel"/>
    <w:tmpl w:val="900E14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ED914ED"/>
    <w:multiLevelType w:val="hybridMultilevel"/>
    <w:tmpl w:val="1076DDDE"/>
    <w:lvl w:ilvl="0" w:tplc="4E52F36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71035774">
    <w:abstractNumId w:val="3"/>
  </w:num>
  <w:num w:numId="2" w16cid:durableId="1287740733">
    <w:abstractNumId w:val="0"/>
  </w:num>
  <w:num w:numId="3" w16cid:durableId="1599484597">
    <w:abstractNumId w:val="5"/>
  </w:num>
  <w:num w:numId="4" w16cid:durableId="785545057">
    <w:abstractNumId w:val="1"/>
  </w:num>
  <w:num w:numId="5" w16cid:durableId="44957991">
    <w:abstractNumId w:val="2"/>
  </w:num>
  <w:num w:numId="6" w16cid:durableId="283510522">
    <w:abstractNumId w:val="6"/>
  </w:num>
  <w:num w:numId="7" w16cid:durableId="1699283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E7"/>
    <w:rsid w:val="00087085"/>
    <w:rsid w:val="000F3058"/>
    <w:rsid w:val="0018389F"/>
    <w:rsid w:val="001B6FC4"/>
    <w:rsid w:val="001B7104"/>
    <w:rsid w:val="00282AFD"/>
    <w:rsid w:val="00284300"/>
    <w:rsid w:val="00291ABD"/>
    <w:rsid w:val="002975C1"/>
    <w:rsid w:val="002C040B"/>
    <w:rsid w:val="00302579"/>
    <w:rsid w:val="00324FED"/>
    <w:rsid w:val="003414C5"/>
    <w:rsid w:val="003418B9"/>
    <w:rsid w:val="0041305E"/>
    <w:rsid w:val="00423062"/>
    <w:rsid w:val="00442CB9"/>
    <w:rsid w:val="00527933"/>
    <w:rsid w:val="00535690"/>
    <w:rsid w:val="005516A7"/>
    <w:rsid w:val="005522AE"/>
    <w:rsid w:val="00581A3E"/>
    <w:rsid w:val="005F3BF2"/>
    <w:rsid w:val="006177E5"/>
    <w:rsid w:val="00637D8D"/>
    <w:rsid w:val="006503B2"/>
    <w:rsid w:val="006855D9"/>
    <w:rsid w:val="0069792C"/>
    <w:rsid w:val="006B3BCE"/>
    <w:rsid w:val="006E6EB5"/>
    <w:rsid w:val="00717306"/>
    <w:rsid w:val="00746418"/>
    <w:rsid w:val="007765E7"/>
    <w:rsid w:val="007A10E5"/>
    <w:rsid w:val="0080380D"/>
    <w:rsid w:val="00806AD1"/>
    <w:rsid w:val="00824E7C"/>
    <w:rsid w:val="008B3862"/>
    <w:rsid w:val="008F4C83"/>
    <w:rsid w:val="00950C51"/>
    <w:rsid w:val="00963128"/>
    <w:rsid w:val="00991588"/>
    <w:rsid w:val="009E140B"/>
    <w:rsid w:val="00A5350D"/>
    <w:rsid w:val="00A538C3"/>
    <w:rsid w:val="00A917D7"/>
    <w:rsid w:val="00AF7832"/>
    <w:rsid w:val="00B34C70"/>
    <w:rsid w:val="00B72EFB"/>
    <w:rsid w:val="00B73F19"/>
    <w:rsid w:val="00B76475"/>
    <w:rsid w:val="00BA0783"/>
    <w:rsid w:val="00C23B6A"/>
    <w:rsid w:val="00C563D6"/>
    <w:rsid w:val="00CA15CE"/>
    <w:rsid w:val="00CA1D0D"/>
    <w:rsid w:val="00CE4F6F"/>
    <w:rsid w:val="00D27CAD"/>
    <w:rsid w:val="00D406F8"/>
    <w:rsid w:val="00D624C6"/>
    <w:rsid w:val="00D91C1E"/>
    <w:rsid w:val="00D92A93"/>
    <w:rsid w:val="00DD49CB"/>
    <w:rsid w:val="00DF14FA"/>
    <w:rsid w:val="00E9402C"/>
    <w:rsid w:val="00EA47C1"/>
    <w:rsid w:val="00F3532A"/>
    <w:rsid w:val="00F400A4"/>
    <w:rsid w:val="00F64AFA"/>
    <w:rsid w:val="00F73201"/>
    <w:rsid w:val="00F75C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D4A5"/>
  <w15:chartTrackingRefBased/>
  <w15:docId w15:val="{FABD43E2-D74F-4728-9FAA-9CC534AB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5D9"/>
    <w:pPr>
      <w:keepNext/>
      <w:keepLines/>
      <w:spacing w:before="240" w:after="0"/>
      <w:outlineLvl w:val="0"/>
    </w:pPr>
    <w:rPr>
      <w:rFonts w:ascii="Arial" w:eastAsiaTheme="majorEastAsia" w:hAnsi="Arial"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6855D9"/>
    <w:pPr>
      <w:keepNext/>
      <w:keepLines/>
      <w:spacing w:before="40" w:after="0"/>
      <w:outlineLvl w:val="1"/>
    </w:pPr>
    <w:rPr>
      <w:rFonts w:ascii="Arial" w:eastAsiaTheme="majorEastAsia" w:hAnsi="Arial"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D9"/>
    <w:rPr>
      <w:rFonts w:ascii="Arial" w:eastAsiaTheme="majorEastAsia" w:hAnsi="Arial" w:cstheme="majorBidi"/>
      <w:b/>
      <w:color w:val="000000" w:themeColor="text1"/>
      <w:sz w:val="28"/>
      <w:szCs w:val="32"/>
      <w:u w:val="single"/>
    </w:rPr>
  </w:style>
  <w:style w:type="paragraph" w:styleId="TOCHeading">
    <w:name w:val="TOC Heading"/>
    <w:basedOn w:val="Heading1"/>
    <w:next w:val="Normal"/>
    <w:uiPriority w:val="39"/>
    <w:unhideWhenUsed/>
    <w:qFormat/>
    <w:rsid w:val="007765E7"/>
    <w:pPr>
      <w:outlineLvl w:val="9"/>
    </w:pPr>
  </w:style>
  <w:style w:type="paragraph" w:styleId="ListParagraph">
    <w:name w:val="List Paragraph"/>
    <w:basedOn w:val="Normal"/>
    <w:uiPriority w:val="34"/>
    <w:qFormat/>
    <w:rsid w:val="007765E7"/>
    <w:pPr>
      <w:ind w:left="720"/>
      <w:contextualSpacing/>
    </w:pPr>
  </w:style>
  <w:style w:type="character" w:customStyle="1" w:styleId="Heading2Char">
    <w:name w:val="Heading 2 Char"/>
    <w:basedOn w:val="DefaultParagraphFont"/>
    <w:link w:val="Heading2"/>
    <w:uiPriority w:val="9"/>
    <w:rsid w:val="006855D9"/>
    <w:rPr>
      <w:rFonts w:ascii="Arial" w:eastAsiaTheme="majorEastAsia" w:hAnsi="Arial" w:cstheme="majorBidi"/>
      <w:b/>
      <w:color w:val="000000" w:themeColor="text1"/>
      <w:sz w:val="24"/>
      <w:szCs w:val="26"/>
    </w:rPr>
  </w:style>
  <w:style w:type="paragraph" w:styleId="TOC1">
    <w:name w:val="toc 1"/>
    <w:basedOn w:val="Normal"/>
    <w:next w:val="Normal"/>
    <w:autoRedefine/>
    <w:uiPriority w:val="39"/>
    <w:unhideWhenUsed/>
    <w:rsid w:val="006855D9"/>
    <w:pPr>
      <w:spacing w:after="100"/>
    </w:pPr>
  </w:style>
  <w:style w:type="paragraph" w:styleId="TOC2">
    <w:name w:val="toc 2"/>
    <w:basedOn w:val="Normal"/>
    <w:next w:val="Normal"/>
    <w:autoRedefine/>
    <w:uiPriority w:val="39"/>
    <w:unhideWhenUsed/>
    <w:rsid w:val="006855D9"/>
    <w:pPr>
      <w:spacing w:after="100"/>
      <w:ind w:left="220"/>
    </w:pPr>
  </w:style>
  <w:style w:type="character" w:styleId="Hyperlink">
    <w:name w:val="Hyperlink"/>
    <w:basedOn w:val="DefaultParagraphFont"/>
    <w:uiPriority w:val="99"/>
    <w:unhideWhenUsed/>
    <w:rsid w:val="006855D9"/>
    <w:rPr>
      <w:color w:val="0563C1" w:themeColor="hyperlink"/>
      <w:u w:val="single"/>
    </w:rPr>
  </w:style>
  <w:style w:type="character" w:styleId="CommentReference">
    <w:name w:val="annotation reference"/>
    <w:basedOn w:val="DefaultParagraphFont"/>
    <w:uiPriority w:val="99"/>
    <w:semiHidden/>
    <w:unhideWhenUsed/>
    <w:rsid w:val="006855D9"/>
    <w:rPr>
      <w:sz w:val="16"/>
      <w:szCs w:val="16"/>
    </w:rPr>
  </w:style>
  <w:style w:type="paragraph" w:styleId="CommentText">
    <w:name w:val="annotation text"/>
    <w:basedOn w:val="Normal"/>
    <w:link w:val="CommentTextChar"/>
    <w:uiPriority w:val="99"/>
    <w:semiHidden/>
    <w:unhideWhenUsed/>
    <w:rsid w:val="006855D9"/>
    <w:pPr>
      <w:spacing w:line="240" w:lineRule="auto"/>
    </w:pPr>
    <w:rPr>
      <w:sz w:val="20"/>
      <w:szCs w:val="20"/>
    </w:rPr>
  </w:style>
  <w:style w:type="character" w:customStyle="1" w:styleId="CommentTextChar">
    <w:name w:val="Comment Text Char"/>
    <w:basedOn w:val="DefaultParagraphFont"/>
    <w:link w:val="CommentText"/>
    <w:uiPriority w:val="99"/>
    <w:semiHidden/>
    <w:rsid w:val="006855D9"/>
    <w:rPr>
      <w:sz w:val="20"/>
      <w:szCs w:val="20"/>
    </w:rPr>
  </w:style>
  <w:style w:type="paragraph" w:styleId="CommentSubject">
    <w:name w:val="annotation subject"/>
    <w:basedOn w:val="CommentText"/>
    <w:next w:val="CommentText"/>
    <w:link w:val="CommentSubjectChar"/>
    <w:uiPriority w:val="99"/>
    <w:semiHidden/>
    <w:unhideWhenUsed/>
    <w:rsid w:val="006855D9"/>
    <w:rPr>
      <w:b/>
      <w:bCs/>
    </w:rPr>
  </w:style>
  <w:style w:type="character" w:customStyle="1" w:styleId="CommentSubjectChar">
    <w:name w:val="Comment Subject Char"/>
    <w:basedOn w:val="CommentTextChar"/>
    <w:link w:val="CommentSubject"/>
    <w:uiPriority w:val="99"/>
    <w:semiHidden/>
    <w:rsid w:val="006855D9"/>
    <w:rPr>
      <w:b/>
      <w:bCs/>
      <w:sz w:val="20"/>
      <w:szCs w:val="20"/>
    </w:rPr>
  </w:style>
  <w:style w:type="paragraph" w:styleId="BalloonText">
    <w:name w:val="Balloon Text"/>
    <w:basedOn w:val="Normal"/>
    <w:link w:val="BalloonTextChar"/>
    <w:uiPriority w:val="99"/>
    <w:semiHidden/>
    <w:unhideWhenUsed/>
    <w:rsid w:val="00685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D9"/>
    <w:rPr>
      <w:rFonts w:ascii="Segoe UI" w:hAnsi="Segoe UI" w:cs="Segoe UI"/>
      <w:sz w:val="18"/>
      <w:szCs w:val="18"/>
    </w:rPr>
  </w:style>
  <w:style w:type="character" w:styleId="FollowedHyperlink">
    <w:name w:val="FollowedHyperlink"/>
    <w:basedOn w:val="DefaultParagraphFont"/>
    <w:uiPriority w:val="99"/>
    <w:semiHidden/>
    <w:unhideWhenUsed/>
    <w:rsid w:val="00C563D6"/>
    <w:rPr>
      <w:color w:val="954F72" w:themeColor="followedHyperlink"/>
      <w:u w:val="single"/>
    </w:rPr>
  </w:style>
  <w:style w:type="paragraph" w:styleId="Revision">
    <w:name w:val="Revision"/>
    <w:hidden/>
    <w:uiPriority w:val="99"/>
    <w:semiHidden/>
    <w:rsid w:val="00581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housing.gov.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gov.ie/en/publication/ef5ec-housing-for-all-a-new-housing-plan-for-ireland/"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d90a30e8-8879-405d-acb6-b2f96edae93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HPPPL004-011-2019</eDocs_FileName>
    <_dlc_ExpireDate xmlns="http://schemas.microsoft.com/sharepoint/v3" xsi:nil="true"/>
    <eDocs_SeriesSubSeriesTaxHTField0 xmlns="66188ca4-73cd-41b3-8618-08fe61b97eda">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378c8534-e4a7-47cd-b99a-85e82ae036d6</TermId>
        </TermInfo>
      </Terms>
    </eDocs_SeriesSubSeriesTaxHTField0>
    <eDocs_FileTopicsTaxHTField0 xmlns="66188ca4-73cd-41b3-8618-08fe61b97eda">
      <Terms xmlns="http://schemas.microsoft.com/office/infopath/2007/PartnerControls">
        <TermInfo xmlns="http://schemas.microsoft.com/office/infopath/2007/PartnerControls">
          <TermName xmlns="http://schemas.microsoft.com/office/infopath/2007/PartnerControls">Act</TermName>
          <TermId xmlns="http://schemas.microsoft.com/office/infopath/2007/PartnerControls">655d900a-b466-43a2-956a-525fc9fb6267</TermId>
        </TermInfo>
        <TermInfo xmlns="http://schemas.microsoft.com/office/infopath/2007/PartnerControls">
          <TermName xmlns="http://schemas.microsoft.com/office/infopath/2007/PartnerControls">Bill</TermName>
          <TermId xmlns="http://schemas.microsoft.com/office/infopath/2007/PartnerControls">279fb7e7-24a6-46ca-88d8-21a2adfa630e</TermId>
        </TermInfo>
        <TermInfo xmlns="http://schemas.microsoft.com/office/infopath/2007/PartnerControls">
          <TermName xmlns="http://schemas.microsoft.com/office/infopath/2007/PartnerControls">Commencement</TermName>
          <TermId xmlns="http://schemas.microsoft.com/office/infopath/2007/PartnerControls">7ccf49a7-ca0c-4c9b-a39e-17d824a1fcb0</TermId>
        </TermInfo>
        <TermInfo xmlns="http://schemas.microsoft.com/office/infopath/2007/PartnerControls">
          <TermName xmlns="http://schemas.microsoft.com/office/infopath/2007/PartnerControls">Matters</TermName>
          <TermId xmlns="http://schemas.microsoft.com/office/infopath/2007/PartnerControls">dddf51b1-8ed4-469e-b1ff-2539c53819f4</TermId>
        </TermInfo>
        <TermInfo xmlns="http://schemas.microsoft.com/office/infopath/2007/PartnerControls">
          <TermName xmlns="http://schemas.microsoft.com/office/infopath/2007/PartnerControls">Memos</TermName>
          <TermId xmlns="http://schemas.microsoft.com/office/infopath/2007/PartnerControls">488b04d7-43b3-4dc3-82ce-6058f69ccbd9</TermId>
        </TermInfo>
        <TermInfo xmlns="http://schemas.microsoft.com/office/infopath/2007/PartnerControls">
          <TermName xmlns="http://schemas.microsoft.com/office/infopath/2007/PartnerControls">Submissions</TermName>
          <TermId xmlns="http://schemas.microsoft.com/office/infopath/2007/PartnerControls">52beb64c-7f9d-4a42-b14b-cd52b26c4754</TermId>
        </TermInfo>
      </Terms>
    </eDocs_FileTopicsTaxHTField0>
    <TaxCatchAll xmlns="fd40154f-08b5-4658-bb14-c822b8c37325">
      <Value>14</Value>
      <Value>13</Value>
      <Value>1</Value>
      <Value>20</Value>
      <Value>7</Value>
      <Value>38</Value>
      <Value>37</Value>
      <Value>36</Value>
      <Value>19</Value>
    </TaxCatchAll>
    <eDocs_YearTaxHTField0 xmlns="66188ca4-73cd-41b3-8618-08fe61b97e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66188ca4-73cd-41b3-8618-08fe61b97eda">
      <Terms xmlns="http://schemas.microsoft.com/office/infopath/2007/PartnerControls"/>
    </eDocs_DocumentTopicsTaxHTField0>
    <_dlc_ExpireDateSaved xmlns="http://schemas.microsoft.com/sharepoint/v3" xsi:nil="true"/>
    <eDocs_SecurityClassificationTaxHTField0 xmlns="66188ca4-73cd-41b3-8618-08fe61b97e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FC8450A22F01DE43AC949CE966704E78" ma:contentTypeVersion="13" ma:contentTypeDescription="Create a new document for eDocs" ma:contentTypeScope="" ma:versionID="8888c50c9fb54c7ce1d62e70667bf1f1">
  <xsd:schema xmlns:xsd="http://www.w3.org/2001/XMLSchema" xmlns:xs="http://www.w3.org/2001/XMLSchema" xmlns:p="http://schemas.microsoft.com/office/2006/metadata/properties" xmlns:ns1="http://schemas.microsoft.com/sharepoint/v3" xmlns:ns2="66188ca4-73cd-41b3-8618-08fe61b97eda" xmlns:ns3="fd40154f-08b5-4658-bb14-c822b8c37325" targetNamespace="http://schemas.microsoft.com/office/2006/metadata/properties" ma:root="true" ma:fieldsID="05c8b44b6fc3d187b709ed85e88604f4" ns1:_="" ns2:_="" ns3:_="">
    <xsd:import namespace="http://schemas.microsoft.com/sharepoint/v3"/>
    <xsd:import namespace="66188ca4-73cd-41b3-8618-08fe61b97eda"/>
    <xsd:import namespace="fd40154f-08b5-4658-bb14-c822b8c37325"/>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66188ca4-73cd-41b3-8618-08fe61b97e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40154f-08b5-4658-bb14-c822b8c373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908088-4140-4c77-ba4f-2761fe169f03}" ma:internalName="TaxCatchAll" ma:showField="CatchAllData" ma:web="fd40154f-08b5-4658-bb14-c822b8c37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D91E-ACE7-4178-A759-1C1A660B7F87}">
  <ds:schemaRefs>
    <ds:schemaRef ds:uri="http://schemas.microsoft.com/sharepoint/events"/>
  </ds:schemaRefs>
</ds:datastoreItem>
</file>

<file path=customXml/itemProps2.xml><?xml version="1.0" encoding="utf-8"?>
<ds:datastoreItem xmlns:ds="http://schemas.openxmlformats.org/officeDocument/2006/customXml" ds:itemID="{FD5CFB18-14C9-4014-AEC0-36576B91B14D}">
  <ds:schemaRefs>
    <ds:schemaRef ds:uri="office.server.policy"/>
  </ds:schemaRefs>
</ds:datastoreItem>
</file>

<file path=customXml/itemProps3.xml><?xml version="1.0" encoding="utf-8"?>
<ds:datastoreItem xmlns:ds="http://schemas.openxmlformats.org/officeDocument/2006/customXml" ds:itemID="{5F53FAF7-97F4-4783-94F4-051CF50EC4A2}">
  <ds:schemaRefs>
    <ds:schemaRef ds:uri="http://schemas.microsoft.com/office/2006/metadata/properties"/>
    <ds:schemaRef ds:uri="http://schemas.microsoft.com/office/infopath/2007/PartnerControls"/>
    <ds:schemaRef ds:uri="http://schemas.microsoft.com/sharepoint/v3"/>
    <ds:schemaRef ds:uri="66188ca4-73cd-41b3-8618-08fe61b97eda"/>
    <ds:schemaRef ds:uri="fd40154f-08b5-4658-bb14-c822b8c37325"/>
  </ds:schemaRefs>
</ds:datastoreItem>
</file>

<file path=customXml/itemProps4.xml><?xml version="1.0" encoding="utf-8"?>
<ds:datastoreItem xmlns:ds="http://schemas.openxmlformats.org/officeDocument/2006/customXml" ds:itemID="{5586BEA8-5234-4376-BFF3-074C9156301D}">
  <ds:schemaRefs>
    <ds:schemaRef ds:uri="http://schemas.microsoft.com/sharepoint/v3/contenttype/forms"/>
  </ds:schemaRefs>
</ds:datastoreItem>
</file>

<file path=customXml/itemProps5.xml><?xml version="1.0" encoding="utf-8"?>
<ds:datastoreItem xmlns:ds="http://schemas.openxmlformats.org/officeDocument/2006/customXml" ds:itemID="{4C7BF770-B1C1-4227-BE77-85E9C780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188ca4-73cd-41b3-8618-08fe61b97eda"/>
    <ds:schemaRef ds:uri="fd40154f-08b5-4658-bb14-c822b8c37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1000DE-B9A4-455E-B63F-338F214B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Gallagher (Housing)</dc:creator>
  <cp:keywords/>
  <dc:description/>
  <cp:lastModifiedBy>Liana Brili</cp:lastModifiedBy>
  <cp:revision>4</cp:revision>
  <dcterms:created xsi:type="dcterms:W3CDTF">2022-12-21T11:44:00Z</dcterms:created>
  <dcterms:modified xsi:type="dcterms:W3CDTF">2022-12-29T08:43:00Z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SecurityClassificationTaxHTField0">
    <vt:lpwstr>Unclassified|38981149-6ab4-492e-b035-5180b1eb9314</vt:lpwstr>
  </property>
  <property fmtid="{D5CDD505-2E9C-101B-9397-08002B2CF9AE}" pid="5" name="eDocs_Year">
    <vt:lpwstr>19;#2019|f85df9cd-0f6d-4155-bbd7-ff49d91ec728</vt:lpwstr>
  </property>
  <property fmtid="{D5CDD505-2E9C-101B-9397-08002B2CF9AE}" pid="6" name="ContentTypeId">
    <vt:lpwstr>0x0101000BC94875665D404BB1351B53C41FD2C000FC8450A22F01DE43AC949CE966704E78</vt:lpwstr>
  </property>
  <property fmtid="{D5CDD505-2E9C-101B-9397-08002B2CF9AE}" pid="7" name="eDocs_SeriesSubSeries">
    <vt:lpwstr>20;#004|378c8534-e4a7-47cd-b99a-85e82ae036d6</vt:lpwstr>
  </property>
  <property fmtid="{D5CDD505-2E9C-101B-9397-08002B2CF9AE}" pid="8" name="eDocs_FileTopics">
    <vt:lpwstr>36;#Act|655d900a-b466-43a2-956a-525fc9fb6267;#7;#Bill|279fb7e7-24a6-46ca-88d8-21a2adfa630e;#37;#Commencement|7ccf49a7-ca0c-4c9b-a39e-17d824a1fcb0;#38;#Matters|dddf51b1-8ed4-469e-b1ff-2539c53819f4;#13;#Memos|488b04d7-43b3-4dc3-82ce-6058f69ccbd9;#14;#Submis</vt:lpwstr>
  </property>
  <property fmtid="{D5CDD505-2E9C-101B-9397-08002B2CF9AE}" pid="9" name="ItemRetentionFormula">
    <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10/09/2021 23:07:02</vt:lpwstr>
  </property>
  <property fmtid="{D5CDD505-2E9C-101B-9397-08002B2CF9AE}" pid="13" name="_dlc_ItemStageId">
    <vt:lpwstr>1</vt:lpwstr>
  </property>
</Properties>
</file>