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389B4342" w:rsidR="00DF230E" w:rsidRDefault="00C079B3"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4A7F8FF9">
                <wp:simplePos x="0" y="0"/>
                <wp:positionH relativeFrom="column">
                  <wp:posOffset>3801941</wp:posOffset>
                </wp:positionH>
                <wp:positionV relativeFrom="paragraph">
                  <wp:posOffset>-3761</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ŠVEDSKA AGENCIJA ZA PROMET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9.35pt;margin-top:-.3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" fillcolor="white [3201]" stroked="f" strokeweight=".5pt">
                <v:textbox inset="0,0,0,0">
                  <w:txbxContent>
                    <w:p w14:paraId="0E4F1C78" w14:textId="649D1583" w:rsidR="00BF48CC" w:rsidRPr="00BF48CC" w:rsidRDefault="00BF48CC">
                      <w:pPr>
                        <w:rPr>
                          <w:b/>
                          <w:bCs/>
                          <w:sz w:val="22"/>
                          <w:szCs w:val="22"/>
                        </w:rPr>
                      </w:pPr>
                      <w:r>
                        <w:rPr>
                          <w:b/>
                          <w:sz w:val="22"/>
                        </w:rPr>
                        <w:t>ŠVEDSKA AGENCIJA ZA PROMET</w:t>
                      </w:r>
                    </w:p>
                  </w:txbxContent>
                </v:textbox>
              </v:shape>
            </w:pict>
          </mc:Fallback>
        </mc:AlternateContent>
      </w:r>
      <w:r>
        <w:rPr>
          <w:noProof/>
        </w:rPr>
        <w:drawing>
          <wp:anchor distT="0" distB="0" distL="114300" distR="114300" simplePos="0" relativeHeight="251664387" behindDoc="1" locked="0" layoutInCell="1" allowOverlap="1" wp14:anchorId="4AEA98CB" wp14:editId="605FFED3">
            <wp:simplePos x="0" y="0"/>
            <wp:positionH relativeFrom="column">
              <wp:posOffset>3324225</wp:posOffset>
            </wp:positionH>
            <wp:positionV relativeFrom="paragraph">
              <wp:posOffset>-635</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 xml:space="preserve">Zbirka predpisov švedske agencije </w:t>
      </w:r>
      <w:r w:rsidR="00BF48CC">
        <w:br/>
        <w:t>za promet</w:t>
      </w:r>
      <w:r w:rsidR="00BF48CC">
        <w:tab/>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23B44087" w:rsidR="00DA54A8" w:rsidRPr="00A44C8A" w:rsidRDefault="00990DD5" w:rsidP="00CA6BA0">
      <w:pPr>
        <w:pStyle w:val="Frfattningsrubrik"/>
        <w:tabs>
          <w:tab w:val="right" w:pos="6804"/>
        </w:tabs>
      </w:pPr>
      <w:r>
        <w:t xml:space="preserve">Predpisi švedske agencije za promet </w:t>
      </w:r>
      <w:r>
        <w:br/>
        <w:t xml:space="preserve">o </w:t>
      </w:r>
      <w:sdt>
        <w:sdtPr>
          <w:alias w:val="Kliknite tukaj in vnesite besedilo"/>
          <w:tag w:val="Rub"/>
          <w:id w:val="1080104925"/>
          <w:placeholder>
            <w:docPart w:val="F22C8F9D5F9340BE9A821B78F374FAD6"/>
          </w:placeholder>
          <w:dataBinding w:prefixMappings="xmlns:ns0='consensis-fs'" w:xpath="/ns0:root[1]/ns0:fs-fields[1]/ns0:fs-heading[1]" w:storeItemID="{F222B965-9C48-4AC7-962E-E2AF3EEF1550}"/>
          <w:text/>
        </w:sdtPr>
        <w:sdtEndPr/>
        <w:sdtContent>
          <w:r w:rsidR="00C079B3">
            <w:t>tehničnih zahtevah za skupine vozil, daljše od 25,25 metra</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D25592"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Leto"/>
                                <w:tag w:val="År"/>
                                <w:id w:val="-1222900966"/>
                                <w:showingPlcHdr/>
                                <w:dataBinding w:prefixMappings="xmlns:ns0='consensis-fs'" w:xpath="/ns0:root[1]/ns0:fs-fields[1]/ns0:fs-year[1]" w:storeItemID="{F222B965-9C48-4AC7-962E-E2AF3EEF1550}"/>
                                <w:text/>
                              </w:sdtPr>
                              <w:sdtEndPr/>
                              <w:sdtContent>
                                <w:r w:rsidR="00E044E9">
                                  <w:rPr>
                                    <w:rStyle w:val="PlaceholderText"/>
                                  </w:rPr>
                                  <w:t>[leto]</w:t>
                                </w:r>
                              </w:sdtContent>
                            </w:sdt>
                            <w:r w:rsidR="00E044E9">
                              <w:t>:</w:t>
                            </w:r>
                            <w:sdt>
                              <w:sdtPr>
                                <w:alias w:val="Št."/>
                                <w:tag w:val="Nr"/>
                                <w:id w:val="1068315890"/>
                                <w:showingPlcHdr/>
                                <w:dataBinding w:prefixMappings="xmlns:ns0='consensis-fs'" w:xpath="/ns0:root[1]/ns0:fs-fields[1]/ns0:fs-no[1]" w:storeItemID="{F222B965-9C48-4AC7-962E-E2AF3EEF1550}"/>
                                <w:text/>
                              </w:sdtPr>
                              <w:sdtEndPr/>
                              <w:sdtContent>
                                <w:r w:rsidR="00E044E9">
                                  <w:rPr>
                                    <w:rStyle w:val="PlaceholderText"/>
                                  </w:rPr>
                                  <w:t>[št.]</w:t>
                                </w:r>
                              </w:sdtContent>
                            </w:sdt>
                          </w:p>
                          <w:p w14:paraId="7AC60FE8" w14:textId="77777777" w:rsidR="00925C91" w:rsidRDefault="00925C91" w:rsidP="001E320C">
                            <w:pPr>
                              <w:pStyle w:val="Trycket"/>
                              <w:shd w:val="clear" w:color="auto" w:fill="auto"/>
                            </w:pPr>
                            <w:r>
                              <w:t>Objavljeno</w:t>
                            </w:r>
                            <w:r>
                              <w:br/>
                              <w:t>dne </w:t>
                            </w:r>
                            <w:sdt>
                              <w:sdtPr>
                                <w:alias w:val="izberite datum"/>
                                <w:tag w:val="Utkom datum"/>
                                <w:id w:val="1764647152"/>
                                <w:showingPlcHdr/>
                                <w:dataBinding w:prefixMappings="xmlns:ns0='consensis-fs'" w:xpath="/ns0:root[1]/ns0:fs-fields[1]/ns0:fs-date[1]" w:storeItemID="{F222B965-9C48-4AC7-962E-E2AF3EEF1550}"/>
                                <w:date>
                                  <w:dateFormat w:val="d MMMM yyyy"/>
                                  <w:lid w:val="sl-SI"/>
                                  <w:storeMappedDataAs w:val="dateTime"/>
                                  <w:calendar w:val="gregorian"/>
                                </w:date>
                              </w:sdtPr>
                              <w:sdtEndPr/>
                              <w:sdtContent>
                                <w:r>
                                  <w:rPr>
                                    <w:rStyle w:val="PlaceholderText"/>
                                  </w:rPr>
                                  <w:t>[izberite datum]</w:t>
                                </w:r>
                              </w:sdtContent>
                            </w:sdt>
                          </w:p>
                          <w:sdt>
                            <w:sdtPr>
                              <w:alias w:val="vnesite serijo"/>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CESTA</w:t>
                                </w:r>
                              </w:p>
                            </w:sdtContent>
                          </w:sdt>
                          <w:p w14:paraId="615A4AE6" w14:textId="77777777" w:rsidR="00925C91" w:rsidRPr="007C403E" w:rsidRDefault="00D25592" w:rsidP="007C403E">
                            <w:pPr>
                              <w:pStyle w:val="Underserie"/>
                              <w:rPr>
                                <w:bCs/>
                              </w:rPr>
                            </w:pPr>
                            <w:sdt>
                              <w:sdtPr>
                                <w:alias w:val="vnesite podserijo"/>
                                <w:tag w:val="Userie"/>
                                <w:id w:val="1607690029"/>
                                <w:showingPlcHdr/>
                                <w:dataBinding w:prefixMappings="xmlns:ns0='consensis-fs'" w:xpath="/ns0:root[1]/ns0:fs-fields[1]/ns0:fs-subseries[1]" w:storeItemID="{F222B965-9C48-4AC7-962E-E2AF3EEF1550}"/>
                                <w:text/>
                              </w:sdtPr>
                              <w:sdtEndPr/>
                              <w:sdtContent>
                                <w:r w:rsidR="00E044E9">
                                  <w:rPr>
                                    <w:rStyle w:val="PlaceholderText"/>
                                  </w:rPr>
                                  <w:t>[vnesite podserijo]</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Leto"/>
                          <w:tag w:val="År"/>
                          <w:id w:val="-1222900966"/>
                          <w:showingPlcHdr/>
                          <w:dataBinding w:prefixMappings="xmlns:ns0='consensis-fs'" w:xpath="/ns0:root[1]/ns0:fs-fields[1]/ns0:fs-year[1]" w:storeItemID="{F222B965-9C48-4AC7-962E-E2AF3EEF1550}"/>
                          <w:text/>
                        </w:sdtPr>
                        <w:sdtEndPr/>
                        <w:sdtContent>
                          <w:r>
                            <w:rPr>
                              <w:rStyle w:val="PlaceholderText"/>
                            </w:rPr>
                            <w:t xml:space="preserve">[leto]</w:t>
                          </w:r>
                        </w:sdtContent>
                      </w:sdt>
                      <w:r>
                        <w:t xml:space="preserve">:</w:t>
                      </w:r>
                      <w:sdt>
                        <w:sdtPr>
                          <w:alias w:val="Št."/>
                          <w:tag w:val="Nr"/>
                          <w:id w:val="1068315890"/>
                          <w:showingPlcHdr/>
                          <w:dataBinding w:prefixMappings="xmlns:ns0='consensis-fs'" w:xpath="/ns0:root[1]/ns0:fs-fields[1]/ns0:fs-no[1]" w:storeItemID="{F222B965-9C48-4AC7-962E-E2AF3EEF1550}"/>
                          <w:text/>
                        </w:sdtPr>
                        <w:sdtEndPr/>
                        <w:sdtContent>
                          <w:r>
                            <w:rPr>
                              <w:rStyle w:val="PlaceholderText"/>
                            </w:rPr>
                            <w:t xml:space="preserve">[št.]</w:t>
                          </w:r>
                        </w:sdtContent>
                      </w:sdt>
                    </w:p>
                    <w:p w14:paraId="7AC60FE8" w14:textId="77777777" w:rsidR="00925C91" w:rsidRDefault="00925C91" w:rsidP="001E320C">
                      <w:pPr>
                        <w:pStyle w:val="Trycket"/>
                        <w:shd w:val="clear" w:color="auto" w:fill="auto"/>
                      </w:pPr>
                      <w:r>
                        <w:t xml:space="preserve">Objavljeno</w:t>
                      </w:r>
                      <w:r>
                        <w:br/>
                      </w:r>
                      <w:r>
                        <w:t xml:space="preserve">dne </w:t>
                      </w:r>
                      <w:sdt>
                        <w:sdtPr>
                          <w:alias w:val="izberite datum"/>
                          <w:tag w:val="Utkom datum"/>
                          <w:id w:val="1764647152"/>
                          <w:showingPlcHdr/>
                          <w:dataBinding w:prefixMappings="xmlns:ns0='consensis-fs'" w:xpath="/ns0:root[1]/ns0:fs-fields[1]/ns0:fs-date[1]" w:storeItemID="{F222B965-9C48-4AC7-962E-E2AF3EEF1550}"/>
                          <w:date>
                            <w:dateFormat w:val="d MMMM yyyy"/>
                            <w:lid w:val="sl-SI"/>
                            <w:storeMappedDataAs w:val="dateTime"/>
                            <w:calendar w:val="gregorian"/>
                          </w:date>
                        </w:sdtPr>
                        <w:sdtEndPr/>
                        <w:sdtContent>
                          <w:r>
                            <w:rPr>
                              <w:rStyle w:val="PlaceholderText"/>
                            </w:rPr>
                            <w:t xml:space="preserve">[izberite datum]</w:t>
                          </w:r>
                        </w:sdtContent>
                      </w:sdt>
                    </w:p>
                    <w:sdt>
                      <w:sdtPr>
                        <w:alias w:val="vnesite serijo"/>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CESTA</w:t>
                          </w:r>
                        </w:p>
                      </w:sdtContent>
                    </w:sdt>
                    <w:p w14:paraId="615A4AE6" w14:textId="77777777" w:rsidR="00925C91" w:rsidRPr="007C403E" w:rsidRDefault="00E044E9" w:rsidP="007C403E">
                      <w:pPr>
                        <w:pStyle w:val="Underserie"/>
                        <w:rPr>
                          <w:bCs/>
                        </w:rPr>
                      </w:pPr>
                      <w:sdt>
                        <w:sdtPr>
                          <w:alias w:val="vnesite podserijo"/>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[vnesite podserijo]</w:t>
                          </w:r>
                        </w:sdtContent>
                      </w:sdt>
                    </w:p>
                  </w:txbxContent>
                </v:textbox>
                <w10:wrap anchorx="page" anchory="page"/>
                <w10:anchorlock/>
              </v:shape>
            </w:pict>
          </mc:Fallback>
        </mc:AlternateContent>
      </w:r>
      <w:r>
        <w:t xml:space="preserve">sprejeti dne </w:t>
      </w:r>
      <w:sdt>
        <w:sdtPr>
          <w:rPr>
            <w:szCs w:val="22"/>
          </w:rPr>
          <w:alias w:val="izberite datum"/>
          <w:tag w:val="Välj ett datum"/>
          <w:id w:val="1438946608"/>
          <w:placeholder>
            <w:docPart w:val="0EA98AAD02484BC4BACB240D92FCD4DF"/>
          </w:placeholder>
          <w:showingPlcHdr/>
          <w:date>
            <w:dateFormat w:val="d MMMM yyyy"/>
            <w:lid w:val="sl-SI"/>
            <w:storeMappedDataAs w:val="dateTime"/>
            <w:calendar w:val="gregorian"/>
          </w:date>
        </w:sdtPr>
        <w:sdtEndPr/>
        <w:sdtContent>
          <w:r>
            <w:rPr>
              <w:rStyle w:val="PlaceholderText"/>
            </w:rPr>
            <w:t>[izberite datum]</w:t>
          </w:r>
        </w:sdtContent>
      </w:sdt>
      <w:r>
        <w:t>.</w:t>
      </w:r>
    </w:p>
    <w:p w14:paraId="5FF84AFF" w14:textId="6FCE1252" w:rsidR="00E43EE1" w:rsidRDefault="00B71032" w:rsidP="00B71032">
      <w:pPr>
        <w:pStyle w:val="Styckemedindrag"/>
      </w:pPr>
      <w:r>
        <w:t>Švedska agencija za promet na podlagi poglavja 4, oddelki 12, 13 in 17(f), Predpisov o prometu (1998:1276) in poglavja 8, oddelek 16, Predpisov o vozilih (2009:211) določa</w:t>
      </w:r>
      <w:r>
        <w:rPr>
          <w:rStyle w:val="FootnoteReference"/>
        </w:rPr>
        <w:footnoteReference w:id="2"/>
      </w:r>
      <w:r>
        <w:t xml:space="preserve"> naslednje:</w:t>
      </w:r>
    </w:p>
    <w:p w14:paraId="4552D472" w14:textId="047D4784" w:rsidR="00B71032" w:rsidRDefault="00543345" w:rsidP="00654E7A">
      <w:pPr>
        <w:pStyle w:val="Heading3"/>
      </w:pPr>
      <w:r>
        <w:t>Uvodne določbe</w:t>
      </w:r>
    </w:p>
    <w:p w14:paraId="3966556B" w14:textId="5FB95A13" w:rsidR="00543345" w:rsidRDefault="00031159" w:rsidP="00031159">
      <w:pPr>
        <w:pStyle w:val="Stycke"/>
        <w:spacing w:before="120"/>
      </w:pPr>
      <w:r>
        <w:rPr>
          <w:rStyle w:val="Fparagrafbeteckning"/>
        </w:rPr>
        <w:t xml:space="preserve">Oddelek 1. </w:t>
      </w:r>
      <w:r>
        <w:t>Ti predpisi določajo podrobna pravila za gradnjo in opremljanje skupin vozil, daljših od 25,25 metra, vendar ne daljših od 34,5 metra, ter za vozila, ki so vključena v skupino vozil. Predpisi se uporabljajo za vožnjo po cestah, na katerih je upravljavec cest v skladu s poglavjem 4, oddelek 17(f), Predpisov o prometu (1998:1276) izdal predpise, da dolžina skupine vozil ne sme presegati 34,5 metra.</w:t>
      </w:r>
    </w:p>
    <w:p w14:paraId="06E20FC3" w14:textId="6ACEA899" w:rsidR="00D506F9" w:rsidRDefault="0068573B" w:rsidP="003F4DC3">
      <w:pPr>
        <w:pStyle w:val="Stycke"/>
        <w:spacing w:before="120"/>
      </w:pPr>
      <w:r>
        <w:rPr>
          <w:rStyle w:val="Fparagrafbeteckning"/>
        </w:rPr>
        <w:t xml:space="preserve">Oddelek 2. </w:t>
      </w:r>
      <w:r>
        <w:t>Za blago, ki se zakonito trži v drugi državi članici Evropske unije ali Turčiji ali ki izvira iz države EFTA, ki je pogodbenica Sporazuma EGP, in se tam zakonito trži, se šteje, da je v skladu s temi določbami. Uporabo teh določb ureja Uredba (EU) 2019/515 Evropskega parlamenta in Sveta z dne 19. marca 2019 o vzajemnem priznavanju blaga, ki se zakonito trži v drugi državi članici, in o razveljavitvi Uredbe (ES) št. 764/2008.</w:t>
      </w:r>
    </w:p>
    <w:p w14:paraId="00B4A5A3" w14:textId="47704300" w:rsidR="0000372E" w:rsidRDefault="0012379D" w:rsidP="00031159">
      <w:pPr>
        <w:pStyle w:val="Stycke"/>
        <w:spacing w:before="120"/>
      </w:pPr>
      <w:r>
        <w:rPr>
          <w:rStyle w:val="Fparagrafbeteckning"/>
        </w:rPr>
        <w:t xml:space="preserve">Oddelek 3. </w:t>
      </w:r>
      <w:r>
        <w:t xml:space="preserve">Izrazi, uporabljeni v teh predpisih, imajo pomen, določen v Zakonu o opredelitvah pojmov cestnega prometa (2001:559). </w:t>
      </w:r>
    </w:p>
    <w:p w14:paraId="29432767" w14:textId="058536F8" w:rsidR="00553E8F" w:rsidRDefault="00031159" w:rsidP="00553E8F">
      <w:pPr>
        <w:pStyle w:val="Styckemedindrag"/>
      </w:pPr>
      <w:r>
        <w:t>Za namene teh predpisov pa se uporabljajo tudi naslednji izrazi in opredelitve pojmov.</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dvojček A</w:t>
            </w:r>
          </w:p>
        </w:tc>
        <w:tc>
          <w:tcPr>
            <w:tcW w:w="4338" w:type="dxa"/>
          </w:tcPr>
          <w:p w14:paraId="4806A036" w14:textId="241CA4B6" w:rsidR="006B4159" w:rsidRPr="006B4159" w:rsidRDefault="00E31D87" w:rsidP="000B177D">
            <w:pPr>
              <w:pStyle w:val="Stycke"/>
              <w:jc w:val="left"/>
            </w:pPr>
            <w:r>
              <w:t xml:space="preserve">skupina vozil, ki jo sestavljata </w:t>
            </w:r>
            <w:r>
              <w:rPr>
                <w:i/>
              </w:rPr>
              <w:t>vlečno vozilo</w:t>
            </w:r>
            <w:r>
              <w:t>, priklopljeno na polpriklopnik, in voziček s priklopljenim polpriklopnikom</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lastRenderedPageBreak/>
              <w:t>dvojček AB</w:t>
            </w:r>
          </w:p>
        </w:tc>
        <w:tc>
          <w:tcPr>
            <w:tcW w:w="4338" w:type="dxa"/>
          </w:tcPr>
          <w:p w14:paraId="059F7929" w14:textId="55158731" w:rsidR="006B4159" w:rsidRDefault="00E31D87" w:rsidP="00567D83">
            <w:pPr>
              <w:pStyle w:val="Stycke"/>
              <w:jc w:val="left"/>
            </w:pPr>
            <w:r>
              <w:t xml:space="preserve">skupina vozil, ki jo sestavljajo težko vozilo, priklopljeno na voziček s priklopljenim </w:t>
            </w:r>
            <w:r>
              <w:rPr>
                <w:i/>
              </w:rPr>
              <w:t>povezovalnim polpriklopnikom</w:t>
            </w:r>
            <w:r>
              <w:t>, ki je nato priklopljen na polpriklopnik</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vlečno vozilo</w:t>
            </w:r>
          </w:p>
        </w:tc>
        <w:tc>
          <w:tcPr>
            <w:tcW w:w="4338" w:type="dxa"/>
          </w:tcPr>
          <w:p w14:paraId="5F0BBB3A" w14:textId="2FEAB1D0" w:rsidR="007A578D" w:rsidRDefault="007A578D" w:rsidP="00F50DFF">
            <w:pPr>
              <w:pStyle w:val="Stycke"/>
              <w:jc w:val="left"/>
            </w:pPr>
            <w:r>
              <w:t xml:space="preserve">težko vozilo, opremljeno z napravo za spenjanje (sedlom) za polpriklopnik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povezovalni polpriklopnik</w:t>
            </w:r>
          </w:p>
        </w:tc>
        <w:tc>
          <w:tcPr>
            <w:tcW w:w="4338" w:type="dxa"/>
          </w:tcPr>
          <w:p w14:paraId="4CED4314" w14:textId="3FE02C7D" w:rsidR="007A578D" w:rsidRDefault="007A578D" w:rsidP="00232756">
            <w:pPr>
              <w:pStyle w:val="Stycke"/>
              <w:jc w:val="left"/>
            </w:pPr>
            <w:r>
              <w:t xml:space="preserve">polpriklopnik z zadnjim sedlom za priklop na drugi polpriklopnik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vrednost zmogljivosti </w:t>
            </w:r>
          </w:p>
        </w:tc>
        <w:tc>
          <w:tcPr>
            <w:tcW w:w="4338" w:type="dxa"/>
          </w:tcPr>
          <w:p w14:paraId="6311725D" w14:textId="0960B9B3" w:rsidR="002D153A" w:rsidRDefault="009F5C5A" w:rsidP="00AB1C5A">
            <w:pPr>
              <w:pStyle w:val="Stycke"/>
              <w:jc w:val="left"/>
            </w:pPr>
            <w:r>
              <w:t>vrednost, ki jo določi proizvajalec in označuje obremenitev, ki jo lahko preneseta vozilo in njegova naprava za spenjanje</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samosledljiva os</w:t>
            </w:r>
          </w:p>
        </w:tc>
        <w:tc>
          <w:tcPr>
            <w:tcW w:w="4338" w:type="dxa"/>
          </w:tcPr>
          <w:p w14:paraId="65CC57A3" w14:textId="33BDDEC7" w:rsidR="00DB0AB5" w:rsidRDefault="00D356E7" w:rsidP="000F2D4A">
            <w:pPr>
              <w:pStyle w:val="Stycke"/>
              <w:jc w:val="left"/>
            </w:pPr>
            <w:r>
              <w:t>krmilna os, katere krmilni kot se spremeni zaradi trenja med pnevmatiko in cesto</w:t>
            </w:r>
          </w:p>
        </w:tc>
      </w:tr>
    </w:tbl>
    <w:p w14:paraId="6965F6D4" w14:textId="58F802B0" w:rsidR="0054771A" w:rsidRPr="00A313CC" w:rsidRDefault="00572D73" w:rsidP="0054771A">
      <w:pPr>
        <w:pStyle w:val="Stycke"/>
        <w:spacing w:before="120"/>
      </w:pPr>
      <w:r>
        <w:rPr>
          <w:rStyle w:val="Fparagrafbeteckning"/>
        </w:rPr>
        <w:t xml:space="preserve">Oddelek 4. </w:t>
      </w:r>
      <w:r>
        <w:t>Za namene teh predpisov se uporabljajo naslednje opredelitve pojmov:</w:t>
      </w:r>
    </w:p>
    <w:p w14:paraId="6E790FE2" w14:textId="702175ED" w:rsidR="0054771A" w:rsidRPr="00A313CC" w:rsidRDefault="0054771A" w:rsidP="0054771A">
      <w:pPr>
        <w:pStyle w:val="Styckemedindrag"/>
      </w:pPr>
      <w:r>
        <w:t>– Pravilnik ECE št. 13: enotne določbe o homologaciji vozil kategorij M, N in O v zvezi z zaviranjem,</w:t>
      </w:r>
    </w:p>
    <w:p w14:paraId="3ADC911D" w14:textId="7838A56B" w:rsidR="0054771A" w:rsidRPr="00A313CC" w:rsidRDefault="0054771A" w:rsidP="00425CD0">
      <w:pPr>
        <w:pStyle w:val="Styckemedindrag"/>
      </w:pPr>
      <w:r>
        <w:t>– Pravilnik ECE št. 55: enotne določbe o homologaciji mehanskih sestavnih delov za spenjanje skupin vozil.</w:t>
      </w:r>
    </w:p>
    <w:p w14:paraId="09BB2E7C" w14:textId="4AFA7F89" w:rsidR="00BB64A3" w:rsidRPr="00BB64A3" w:rsidRDefault="00BB64A3" w:rsidP="00BB64A3">
      <w:pPr>
        <w:pStyle w:val="Heading3"/>
      </w:pPr>
      <w:r>
        <w:t>Splošne zahteve</w:t>
      </w:r>
    </w:p>
    <w:p w14:paraId="28780548" w14:textId="34E14EC2" w:rsidR="006E2742" w:rsidRPr="006E2742" w:rsidRDefault="00654E7A" w:rsidP="006E2742">
      <w:pPr>
        <w:pStyle w:val="Stycke"/>
        <w:spacing w:before="120"/>
      </w:pPr>
      <w:r>
        <w:rPr>
          <w:rStyle w:val="Fparagrafbeteckning"/>
        </w:rPr>
        <w:t xml:space="preserve">Oddelek 5. </w:t>
      </w:r>
      <w:r>
        <w:rPr>
          <w:rStyle w:val="Fparagrafbeteckning"/>
          <w:b w:val="0"/>
        </w:rPr>
        <w:t xml:space="preserve">Skupina vozil je sestavljena iz skupine dvojčka A ali dvojčka AB. </w:t>
      </w:r>
      <w:r>
        <w:t>Vozila in skupine vozil izpolnjujejo pogoje iz oddelkov 6 do 12. Poleg tega skupina dvojčka A izpolnjuje pogoje iz oddelkov 13 do 23, skupina dvojčka AB pa izpolnjuje pogoje iz oddelkov 24 do 31.</w:t>
      </w:r>
    </w:p>
    <w:p w14:paraId="5B645A93" w14:textId="7BE20624" w:rsidR="00907DF3" w:rsidRDefault="00654E7A" w:rsidP="0026562C">
      <w:pPr>
        <w:pStyle w:val="Stycke"/>
        <w:spacing w:before="120"/>
      </w:pPr>
      <w:r>
        <w:rPr>
          <w:rStyle w:val="Fparagrafbeteckning"/>
        </w:rPr>
        <w:t xml:space="preserve">Oddelek 6. </w:t>
      </w:r>
      <w:r>
        <w:t>Težko vozilo mora imeti vsaj tri osi. Priklopniki, vključeni v skupino vozil, imajo najmanj dve osi.</w:t>
      </w:r>
    </w:p>
    <w:p w14:paraId="5F01A09F" w14:textId="37445118" w:rsidR="00342CD6" w:rsidRDefault="00654E7A" w:rsidP="00CB6F3B">
      <w:pPr>
        <w:pStyle w:val="Stycke"/>
        <w:spacing w:before="120"/>
      </w:pPr>
      <w:r>
        <w:rPr>
          <w:rStyle w:val="Fparagrafbeteckning"/>
        </w:rPr>
        <w:t xml:space="preserve">Oddelek 7. </w:t>
      </w:r>
      <w:r>
        <w:t>Vozila z največ tremi osmi morajo imeti sistem stabilnosti v skladu s Pravilnikom ECE št. 13, serija sprememb 11, Dodatek 3, ali novejšim.</w:t>
      </w:r>
    </w:p>
    <w:p w14:paraId="13D4D58B" w14:textId="7481C6CC" w:rsidR="00342CD6" w:rsidRDefault="00654E7A" w:rsidP="00974FCA">
      <w:pPr>
        <w:pStyle w:val="Stycke"/>
        <w:spacing w:before="120"/>
      </w:pPr>
      <w:r>
        <w:rPr>
          <w:rStyle w:val="Fparagrafbeteckning"/>
        </w:rPr>
        <w:t xml:space="preserve">Oddelek 8. </w:t>
      </w:r>
      <w:r>
        <w:rPr>
          <w:rStyle w:val="Fparagrafbeteckning"/>
          <w:b w:val="0"/>
        </w:rPr>
        <w:t>Težko vozilo ima opremo, ki vozniku omogoča, da s svojega sedeža opazuje desno stran skupine vozil</w:t>
      </w:r>
      <w:r>
        <w:t>.</w:t>
      </w:r>
    </w:p>
    <w:p w14:paraId="26CC4ADA" w14:textId="1AFE7C5C" w:rsidR="00F654A8" w:rsidRDefault="00654E7A" w:rsidP="00F654A8">
      <w:pPr>
        <w:pStyle w:val="Stycke"/>
        <w:spacing w:before="120"/>
      </w:pPr>
      <w:r>
        <w:rPr>
          <w:rStyle w:val="Fparagrafbeteckning"/>
        </w:rPr>
        <w:t xml:space="preserve">Oddelek 9. </w:t>
      </w:r>
      <w:r>
        <w:t>Vsa vozila skupine vozil morajo biti opremljena z elektronskimi zavornimi sistemi s protiblokirno funkcijo in prilagoditvijo samodejnega zaviranja v skladu s Pravilnikom ECE št. 13, serija sprememb 11, ali novejšim.</w:t>
      </w:r>
    </w:p>
    <w:p w14:paraId="2FF5871A" w14:textId="03FC025B" w:rsidR="00693298" w:rsidRPr="00693298" w:rsidRDefault="00693298" w:rsidP="00693298">
      <w:pPr>
        <w:pStyle w:val="Stycke"/>
        <w:spacing w:before="120"/>
      </w:pPr>
      <w:r>
        <w:rPr>
          <w:rStyle w:val="Fparagrafbeteckning"/>
        </w:rPr>
        <w:t xml:space="preserve">Oddelek 10. </w:t>
      </w:r>
      <w:r>
        <w:t>Sedlo vozička se vrti okoli navpične osi skozi vlečno točko.</w:t>
      </w:r>
    </w:p>
    <w:p w14:paraId="5E1694F9" w14:textId="3CF383C6" w:rsidR="004E0F5A" w:rsidRDefault="004E0F5A" w:rsidP="004E0F5A">
      <w:pPr>
        <w:pStyle w:val="Heading3"/>
      </w:pPr>
      <w:r>
        <w:lastRenderedPageBreak/>
        <w:t>Znaki</w:t>
      </w:r>
    </w:p>
    <w:p w14:paraId="4592D004" w14:textId="11082E40" w:rsidR="008C4B99" w:rsidRDefault="00691657" w:rsidP="008C4B99">
      <w:pPr>
        <w:pStyle w:val="Stycke"/>
        <w:spacing w:before="120"/>
      </w:pPr>
      <w:r>
        <w:rPr>
          <w:rStyle w:val="Fparagrafbeteckning"/>
        </w:rPr>
        <w:t xml:space="preserve">Oddelek 11. </w:t>
      </w:r>
      <w:r>
        <w:t>Skupina vozil mora biti spredaj in zadaj opremljen z znaki, kot je prikazano na sliki 1. Spodnji rob znakov ne sme biti več kot 2,0 metra nad cesto. Naprej obrnjeni znak mora biti pod spodnjim robom vetrobranskega stekla. Nazaj obrnjeni znak mora biti levo od središčnice vozila.</w:t>
      </w:r>
    </w:p>
    <w:p w14:paraId="0B74021B" w14:textId="239ACB2F" w:rsidR="00BD677C" w:rsidRDefault="008C4B99" w:rsidP="00876EDB">
      <w:pPr>
        <w:pStyle w:val="Styckemedindrag"/>
      </w:pPr>
      <w:r>
        <w:t>Znaki morajo imeti:</w:t>
      </w:r>
    </w:p>
    <w:p w14:paraId="44B2EF3A" w14:textId="61AEB2A1" w:rsidR="00EB7A30" w:rsidRPr="006800D8" w:rsidRDefault="00EB7A30" w:rsidP="00EB7A30">
      <w:pPr>
        <w:pStyle w:val="Styckemedindrag"/>
      </w:pPr>
      <w:r>
        <w:t>1. rumeno dno in rdečo obrobo, ki sta odsevna;</w:t>
      </w:r>
    </w:p>
    <w:p w14:paraId="1F904A48" w14:textId="464B2F56" w:rsidR="00EB7A30" w:rsidRPr="005C2570" w:rsidRDefault="00EB7A30" w:rsidP="00EB7A30">
      <w:pPr>
        <w:pStyle w:val="Styckemedindrag"/>
      </w:pPr>
      <w:r>
        <w:t>2. obrobo, široko 3,0 centimetra;</w:t>
      </w:r>
    </w:p>
    <w:p w14:paraId="7D7E6732" w14:textId="1CDF41F9" w:rsidR="00EB7A30" w:rsidRDefault="006C6A1C" w:rsidP="00EB7A30">
      <w:pPr>
        <w:pStyle w:val="Styckemedindrag"/>
        <w:rPr>
          <w:rFonts w:cstheme="minorHAnsi"/>
        </w:rPr>
      </w:pPr>
      <w:r>
        <w:t>3. besedilo s pisavo Tratexsvart, velikostjo črk 75 milimetrov ter</w:t>
      </w:r>
    </w:p>
    <w:p w14:paraId="160C24F8" w14:textId="541D68BF" w:rsidR="00EB7A30" w:rsidRDefault="00EB7A30" w:rsidP="00EB7A30">
      <w:pPr>
        <w:pStyle w:val="Styckemedindrag"/>
      </w:pPr>
      <w:r>
        <w:t>4. biti široki najmanj 0,90 metra in visoki najmanj 0,45 metra.</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5255536C">
                <wp:simplePos x="0" y="0"/>
                <wp:positionH relativeFrom="column">
                  <wp:posOffset>131004</wp:posOffset>
                </wp:positionH>
                <wp:positionV relativeFrom="paragraph">
                  <wp:posOffset>1543099</wp:posOffset>
                </wp:positionV>
                <wp:extent cx="3439551" cy="495300"/>
                <wp:effectExtent l="0" t="0" r="8890" b="0"/>
                <wp:wrapNone/>
                <wp:docPr id="498542860" name="Text Box 2"/>
                <wp:cNvGraphicFramePr/>
                <a:graphic xmlns:a="http://schemas.openxmlformats.org/drawingml/2006/main">
                  <a:graphicData uri="http://schemas.microsoft.com/office/word/2010/wordprocessingShape">
                    <wps:wsp>
                      <wps:cNvSpPr txBox="1"/>
                      <wps:spPr>
                        <a:xfrm>
                          <a:off x="0" y="0"/>
                          <a:ext cx="3439551"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Dolga skupina vozil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0.3pt;margin-top:121.5pt;width:270.85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" fillcolor="#ffcb25" stroked="f" strokeweight=".5pt">
                <v:textbox inset="0,0,0,0">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Dolga skupina vozil</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Razmerje med širino in višino je 2:1.</w:t>
      </w:r>
      <w:r>
        <w:rPr>
          <w:rFonts w:ascii="Segoe UI" w:hAnsi="Segoe UI"/>
          <w:color w:val="000000"/>
          <w:sz w:val="20"/>
        </w:rPr>
        <w:t xml:space="preserve"> </w:t>
      </w:r>
      <w:r>
        <w:t>Če se velikost znaka poveča, se ustrezno povečata tudi širina obrobe in velikost pisave.</w:t>
      </w:r>
    </w:p>
    <w:p w14:paraId="6A13AE47" w14:textId="53EBCBA3" w:rsidR="00B204CA" w:rsidRDefault="00B204CA" w:rsidP="00DD47B8">
      <w:pPr>
        <w:pStyle w:val="Tabelltext"/>
      </w:pPr>
      <w:r>
        <w:t>Slika 1. Oblikovanje znakov za dolgo skupino vozil.</w:t>
      </w:r>
    </w:p>
    <w:p w14:paraId="06E84C76" w14:textId="72560BE8" w:rsidR="00C807A6" w:rsidRDefault="00EE3B53">
      <w:pPr>
        <w:pStyle w:val="Heading3"/>
      </w:pPr>
      <w:r>
        <w:t>Pogonske osi in moč motorja</w:t>
      </w:r>
    </w:p>
    <w:p w14:paraId="7C036BB8" w14:textId="09DAA351" w:rsidR="007B4D0A" w:rsidRPr="000C2719" w:rsidRDefault="00691657" w:rsidP="00EB57E6">
      <w:pPr>
        <w:pStyle w:val="Stycke"/>
        <w:spacing w:before="120"/>
      </w:pPr>
      <w:r>
        <w:rPr>
          <w:rStyle w:val="Fparagrafbeteckning"/>
        </w:rPr>
        <w:t xml:space="preserve">Oddelek 12. </w:t>
      </w:r>
      <w:r>
        <w:t>Če je skupna bruto masa skupine vozil večja od 64 ton, ima težko vozilo vsaj dve pogonski osi, moč njegovega motorja pa je vsaj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Posebni pogoji za skupino dvojčka A</w:t>
      </w:r>
    </w:p>
    <w:p w14:paraId="5A896C78" w14:textId="5B717027" w:rsidR="00553E8F" w:rsidRPr="00553E8F" w:rsidRDefault="00553E8F" w:rsidP="00553E8F">
      <w:pPr>
        <w:pStyle w:val="Tabelltext"/>
        <w:rPr>
          <w:b/>
        </w:rPr>
      </w:pPr>
      <w:r>
        <w:t>Slika 2. Kombinacija dvojčka A</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lastRenderedPageBreak/>
        <w:t>Sprednji polpriklopnik</w:t>
      </w:r>
    </w:p>
    <w:p w14:paraId="62A94401" w14:textId="42001BAF" w:rsidR="002A63C1" w:rsidRDefault="00D96C34" w:rsidP="00DC3F69">
      <w:pPr>
        <w:pStyle w:val="Stycke"/>
        <w:spacing w:before="120"/>
      </w:pPr>
      <w:r>
        <w:rPr>
          <w:rStyle w:val="Fparagrafbeteckning"/>
        </w:rPr>
        <w:t xml:space="preserve">Oddelek 13. </w:t>
      </w:r>
      <w:r>
        <w:t>Zadnja os sprednjega polpriklopnika skupine dvojčka A si samosledi pri hitrosti do najmanj 30 kilometrov na uro, vendar ne več kot 40 kilometrov na uro.</w:t>
      </w:r>
    </w:p>
    <w:p w14:paraId="7DE8E0CA" w14:textId="6D1DB835" w:rsidR="00840699" w:rsidRDefault="00D96C34" w:rsidP="002A63C1">
      <w:pPr>
        <w:pStyle w:val="Stycke"/>
        <w:spacing w:before="120"/>
      </w:pPr>
      <w:r>
        <w:rPr>
          <w:rStyle w:val="Fparagrafbeteckning"/>
        </w:rPr>
        <w:t xml:space="preserve">Oddelek 14. </w:t>
      </w:r>
      <w:r>
        <w:t>Če ima sprednji polpriklopnik dve osi, mora biti razdalja med sprednjo napravo za spenjanje in središčem prve osi najmanj 7,7 metra.</w:t>
      </w:r>
    </w:p>
    <w:p w14:paraId="0B9C6A61" w14:textId="26E90CCD" w:rsidR="002A63C1" w:rsidRPr="00DB5916" w:rsidRDefault="006B128F" w:rsidP="00840699">
      <w:pPr>
        <w:pStyle w:val="Styckemedindrag"/>
      </w:pPr>
      <w:r>
        <w:t>Če ima sprednji polpriklopnik tri osi, mora biti razdalja med sprednjo napravo za spenjanje in središčem prve osi najmanj 7,0 metra.</w:t>
      </w:r>
    </w:p>
    <w:p w14:paraId="0AA9BDE5" w14:textId="4B8E4B48" w:rsidR="002A63C1" w:rsidRDefault="003E081D" w:rsidP="002A63C1">
      <w:pPr>
        <w:pStyle w:val="Stycke"/>
        <w:spacing w:before="120"/>
      </w:pPr>
      <w:r>
        <w:rPr>
          <w:rStyle w:val="Fparagrafbeteckning"/>
        </w:rPr>
        <w:t xml:space="preserve">Oddelek 15. </w:t>
      </w:r>
      <w:r>
        <w:t>Razdalja med zadnjo osjo in zadnjo napravo za spenjanje sprednjega polpriklopnika ne sme presegati 1,4 metra.</w:t>
      </w:r>
    </w:p>
    <w:p w14:paraId="2CE6A594" w14:textId="3DC05D79" w:rsidR="002A63C1" w:rsidRDefault="003E081D" w:rsidP="002A63C1">
      <w:pPr>
        <w:pStyle w:val="Stycke"/>
        <w:spacing w:before="120"/>
      </w:pPr>
      <w:r>
        <w:rPr>
          <w:rStyle w:val="Fparagrafbeteckning"/>
        </w:rPr>
        <w:t xml:space="preserve">Oddelek 16. </w:t>
      </w:r>
      <w:r>
        <w:t>Če ima sprednji polpriklopnik vsaj tri osi, mora biti prva os zložljiva. Med vožnjo mora biti mogoče os dvigniti in spustiti z voznikovega sedeža.</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Zadnji polpriklopnik</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 xml:space="preserve">Oddelek 17. </w:t>
      </w:r>
      <w:r>
        <w:t>Razdalja med sprednjo napravo za spenjanje in središčem prve osi zadnjega polpriklopnika mora biti najmanj 6,2 metra.</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Naprave za spajanje</w:t>
      </w:r>
    </w:p>
    <w:p w14:paraId="0E894B9A" w14:textId="741FC0F2" w:rsidR="00B41321" w:rsidRDefault="009E4F27" w:rsidP="00B41321">
      <w:pPr>
        <w:pStyle w:val="Stycke"/>
        <w:spacing w:before="120"/>
      </w:pPr>
      <w:r>
        <w:rPr>
          <w:rStyle w:val="Fparagrafbeteckning"/>
        </w:rPr>
        <w:t xml:space="preserve">Oddelek 18. </w:t>
      </w:r>
      <w:r>
        <w:t>Naprave za spenjanje se homologirajo v skladu s Pravilnikom ECE št. 55, serija sprememb 01, ali novejšim. Naprave morajo biti skladne s Predpisi agencije za promet (TSFS 2019:127) o spenjanju avtomobilov in priklopnikov glede na vrednosti zmogljivosti oziroma oddelki 19 do 22.</w:t>
      </w:r>
    </w:p>
    <w:p w14:paraId="5B54B9A5" w14:textId="2E9B1C02" w:rsidR="00F87551" w:rsidRDefault="00114615" w:rsidP="008C2A5B">
      <w:pPr>
        <w:pStyle w:val="Stycke"/>
        <w:spacing w:before="120"/>
      </w:pPr>
      <w:r>
        <w:rPr>
          <w:rStyle w:val="Fparagrafbeteckning"/>
        </w:rPr>
        <w:t xml:space="preserve">Oddelek 19. </w:t>
      </w:r>
      <w:r>
        <w:t>Vrednost D naprave za spenjanje vlečnega vozila je najmanj 130 kN.</w:t>
      </w:r>
    </w:p>
    <w:p w14:paraId="1A7DBCFD" w14:textId="5031FEE4" w:rsidR="00B41321" w:rsidRPr="00F87551" w:rsidRDefault="00691657" w:rsidP="00EA023A">
      <w:pPr>
        <w:pStyle w:val="Stycke"/>
        <w:spacing w:before="120"/>
      </w:pPr>
      <w:r>
        <w:rPr>
          <w:rStyle w:val="Fparagrafbeteckning"/>
        </w:rPr>
        <w:t xml:space="preserve">Oddelek 20. </w:t>
      </w:r>
      <w:r>
        <w:t>Vrednost D sprednje naprave za spenjanje sprednjega polpriklopnika je najmanj 130 kN. Vrednost DC zadnje naprave za spenjanje je najmanj 120 kN, vrednost D najmanj 130 kN in vrednost V najmanj 32 kN.</w:t>
      </w:r>
    </w:p>
    <w:p w14:paraId="6531828C" w14:textId="207EF389" w:rsidR="00B41321" w:rsidRPr="00F87551" w:rsidRDefault="000123E4" w:rsidP="00894B88">
      <w:pPr>
        <w:pStyle w:val="Stycke"/>
        <w:spacing w:before="120"/>
      </w:pPr>
      <w:r>
        <w:rPr>
          <w:rStyle w:val="Fparagrafbeteckning"/>
        </w:rPr>
        <w:t xml:space="preserve">Oddelek 21. </w:t>
      </w:r>
      <w:r>
        <w:t>Vrednost DC sprednje naprave za spenjanje vozička je najmanj 120 kN, vrednost D najmanj 130 kN in vrednost V najmanj 32 kN. Vrednost D zadnje naprave za spenjanje je najmanj 130 kN.</w:t>
      </w:r>
    </w:p>
    <w:p w14:paraId="26AD840E" w14:textId="1E693AAE" w:rsidR="009E4F27" w:rsidRDefault="000123E4" w:rsidP="008A2747">
      <w:pPr>
        <w:pStyle w:val="Stycke"/>
        <w:spacing w:before="120"/>
      </w:pPr>
      <w:r>
        <w:rPr>
          <w:rStyle w:val="Fparagrafbeteckning"/>
        </w:rPr>
        <w:t xml:space="preserve">Oddelek 22. </w:t>
      </w:r>
      <w:r>
        <w:t>Vrednost D naprave za spenjanje zadnjega polpriklopnika je najmanj 130 kN.</w:t>
      </w:r>
    </w:p>
    <w:p w14:paraId="1B2BE8B3" w14:textId="1C2C838A" w:rsidR="00837AB8" w:rsidRDefault="00837AB8" w:rsidP="00572D73">
      <w:pPr>
        <w:pStyle w:val="Heading4"/>
      </w:pPr>
      <w:r>
        <w:t>Odstopanje od določb o medosnih razdaljah</w:t>
      </w:r>
    </w:p>
    <w:p w14:paraId="29113AD4" w14:textId="12C4B2D1" w:rsidR="00362A7B" w:rsidRDefault="00894B88" w:rsidP="00362A7B">
      <w:pPr>
        <w:pStyle w:val="Stycke"/>
        <w:spacing w:before="120"/>
      </w:pPr>
      <w:r>
        <w:rPr>
          <w:rStyle w:val="Fparagrafbeteckning"/>
        </w:rPr>
        <w:t xml:space="preserve">Oddelek 23. </w:t>
      </w:r>
      <w:r>
        <w:t xml:space="preserve">Ne glede na poglavje 4, oddelek 13, prvi odstavek, točka 4, Predpisov o prometu (1998:1276) je lahko medosna razdalja na cesti, ki spada v razred nosilnosti 1, manjša od 5 metrov, vendar ne od 4 metrov. To velja, </w:t>
      </w:r>
      <w:r>
        <w:lastRenderedPageBreak/>
        <w:t>če je skupna masa podstavnega vozička in trojne osi manjša od največje dovoljene mase za ustrezno razdaljo med prvo in zadnjo osjo za navedeno skupino osi, kot je določeno v Prilogi 1 k navedenim predpisom.</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Posebni pogoji za skupino dvojčka AB</w:t>
      </w:r>
    </w:p>
    <w:p w14:paraId="073EC131" w14:textId="237096A5" w:rsidR="00553E8F" w:rsidRPr="00553E8F" w:rsidRDefault="00553E8F" w:rsidP="00553E8F">
      <w:pPr>
        <w:pStyle w:val="Tabelltext"/>
        <w:rPr>
          <w:b/>
        </w:rPr>
      </w:pPr>
      <w:r>
        <w:t>Slika 3. Skupina dvojčka AB</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Sprednji povezovalni polpriklopnik</w:t>
      </w:r>
    </w:p>
    <w:p w14:paraId="18071B35" w14:textId="4DDDC41C" w:rsidR="00DC28E4" w:rsidRDefault="00700B2F" w:rsidP="00DC28E4">
      <w:pPr>
        <w:pStyle w:val="Stycke"/>
      </w:pPr>
      <w:r>
        <w:rPr>
          <w:rStyle w:val="Fparagrafbeteckning"/>
        </w:rPr>
        <w:t xml:space="preserve">Oddelek 24. </w:t>
      </w:r>
      <w:r>
        <w:t>Zadnja os povezovalnega polpriklopnika v skupni dvojčka AB si samosledi pri hitrosti do najmanj 30 kilometrov na uro, vendar ne več kot 40 kilometrov na uro.</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Zadnji polpriklopnik</w:t>
      </w:r>
    </w:p>
    <w:p w14:paraId="1B73D4D2" w14:textId="1FA00255" w:rsidR="00DC28E4" w:rsidRPr="00DC28E4" w:rsidRDefault="00DC28E4" w:rsidP="00884605">
      <w:pPr>
        <w:pStyle w:val="Stycke"/>
        <w:spacing w:before="120"/>
      </w:pPr>
      <w:r>
        <w:rPr>
          <w:rStyle w:val="Fparagrafbeteckning"/>
        </w:rPr>
        <w:t xml:space="preserve">Oddelek 25. </w:t>
      </w:r>
      <w:r>
        <w:t>Razdalja med sprednjo napravo za spenjanje in središčem prve osi zadnjega polpriklopnika mora biti najmanj 6,2 metra.</w:t>
      </w:r>
    </w:p>
    <w:p w14:paraId="21991F17" w14:textId="4E162EF8" w:rsidR="000F4BE7" w:rsidRPr="00456CC7" w:rsidRDefault="000F4BE7" w:rsidP="00456CC7">
      <w:pPr>
        <w:pStyle w:val="Heading4"/>
        <w:rPr>
          <w:rStyle w:val="Fparagrafbeteckning"/>
          <w:rFonts w:asciiTheme="minorHAnsi" w:hAnsiTheme="minorHAnsi"/>
          <w:b w:val="0"/>
        </w:rPr>
      </w:pPr>
      <w:r>
        <w:t>Naprava za spenjanj</w:t>
      </w:r>
      <w:r>
        <w:rPr>
          <w:rStyle w:val="Fparagrafbeteckning"/>
          <w:rFonts w:asciiTheme="minorHAnsi" w:hAnsiTheme="minorHAnsi"/>
          <w:b w:val="0"/>
        </w:rPr>
        <w:t>e</w:t>
      </w:r>
    </w:p>
    <w:p w14:paraId="0C0726DC" w14:textId="4B7E5DD9" w:rsidR="005C6621" w:rsidRDefault="000123E4" w:rsidP="005C6621">
      <w:pPr>
        <w:pStyle w:val="Stycke"/>
        <w:spacing w:before="120"/>
      </w:pPr>
      <w:r>
        <w:rPr>
          <w:b/>
        </w:rPr>
        <w:t>Oddelek 26.</w:t>
      </w:r>
      <w:r>
        <w:rPr>
          <w:rStyle w:val="Fparagrafbeteckning"/>
        </w:rPr>
        <w:t xml:space="preserve"> </w:t>
      </w:r>
      <w:r>
        <w:t>Naprave za spenjanje se homologirajo v skladu s Pravilnikom ECE št. 55, serija sprememb 01, ali novejšim. Kar zadeva vrednosti zmogljivosti, morajo biti naprave skladne z oddelki 27 do 31.</w:t>
      </w:r>
    </w:p>
    <w:p w14:paraId="1EB16C68" w14:textId="25745D90" w:rsidR="00D52C0D" w:rsidRDefault="00894B88" w:rsidP="00417958">
      <w:pPr>
        <w:pStyle w:val="Stycke"/>
        <w:spacing w:before="120"/>
      </w:pPr>
      <w:r>
        <w:rPr>
          <w:rStyle w:val="Fparagrafbeteckning"/>
        </w:rPr>
        <w:t xml:space="preserve">Oddelek 27. </w:t>
      </w:r>
      <w:r>
        <w:t>Vrednost DC naprave za spenjanje težkega vozila je najmanj 150 kN, vrednost V pa najmanj 35 kN. Vrednost DC pa je lahko manjša od 150 kN, vendar ne manjša od 130 kN, če sta vrednost D naprave za spenjanje najmanj 180 kN in vrednost V najmanj 60 kN.</w:t>
      </w:r>
    </w:p>
    <w:p w14:paraId="19FE55DC" w14:textId="04D31C61" w:rsidR="001E5EAB" w:rsidRDefault="001E5EAB" w:rsidP="00D52C0D">
      <w:pPr>
        <w:pStyle w:val="Styckemedindrag"/>
      </w:pPr>
      <w:r>
        <w:t>Če je skupna bruto masa skupine vozil večja od 64 ton, vendar manjša od 70 ton, je vrednost DC naprave za spenjanje najmanj 160 kN in vrednost V najmanj 35 kN. Vrednost DC pa je lahko manjša od 160 kN, vendar ne večja od 130 kN, če sta vrednost D naprave za spenjanje najmanj 180 kN in vrednost V najmanj 60 kN.</w:t>
      </w:r>
    </w:p>
    <w:p w14:paraId="038F3E58" w14:textId="38BFECB2" w:rsidR="00894B88" w:rsidRPr="00894B88" w:rsidRDefault="00894B88" w:rsidP="00D52C0D">
      <w:pPr>
        <w:pStyle w:val="Styckemedindrag"/>
      </w:pPr>
      <w:r>
        <w:t>Če je skupna bruto masa skupine vozil večja od 70 ton, vendar manjša od 74 ton, je vrednost DC naprave za spenjanje najmanj 180 kN in vrednost V najmanj 35 kN. Vrednost DC pa je lahko manjša od 180 kN, vendar ne manjša od 130 kN, če sta vrednost D naprave za spenjanje najmanj 200 kN in vednost V najmanj 60 kN.</w:t>
      </w:r>
    </w:p>
    <w:p w14:paraId="6B2D4DAE" w14:textId="28DCA9C8" w:rsidR="00D52C0D" w:rsidRDefault="000123E4" w:rsidP="00770E89">
      <w:pPr>
        <w:pStyle w:val="Stycke"/>
        <w:spacing w:before="120"/>
      </w:pPr>
      <w:r>
        <w:rPr>
          <w:rStyle w:val="Fparagrafbeteckning"/>
        </w:rPr>
        <w:t xml:space="preserve">Oddelek 28. </w:t>
      </w:r>
      <w:r>
        <w:t xml:space="preserve">Vrednost DC sprednje naprave za spenjanje vozička je najmanj 150 kN in vrednost V najmanj 35 kN. Vrednost DC pa je lahko manjša od </w:t>
      </w:r>
      <w:r>
        <w:lastRenderedPageBreak/>
        <w:t>150 kN, vendar ne večja od 130 kN, če sta vrednost D naprave za spenjanje najmanj 180 kN in vrednost V najmanj 60 kN.</w:t>
      </w:r>
    </w:p>
    <w:p w14:paraId="5DA847D2" w14:textId="239D1819" w:rsidR="001E5EAB" w:rsidRDefault="001E5EAB" w:rsidP="001E5EAB">
      <w:pPr>
        <w:pStyle w:val="Styckemedindrag"/>
      </w:pPr>
      <w:r>
        <w:t>Če je skupna bruto masa skupine vozil večja od 64 ton, vendar manjša od 70 ton, je vrednost DC naprave za spenjanje najmanj 160 kN in vrednost V najmanj 35 kN. Vrednost DC pa je lahko manjša od 160 kN, vendar ne večja od 130 kN, če sta vrednost D naprave za spenjanje najmanj 180 kN in vrednost V najmanj 60 kN.</w:t>
      </w:r>
    </w:p>
    <w:p w14:paraId="2790CFD2" w14:textId="7E40EFC3" w:rsidR="00700B2F" w:rsidRDefault="001E5EAB" w:rsidP="001E5EAB">
      <w:pPr>
        <w:pStyle w:val="Styckemedindrag"/>
      </w:pPr>
      <w:r>
        <w:t>Če je skupna bruto masa skupine vozil večja od 70 ton, vendar manjša od 74 ton, je vrednost DC naprave za spenjanje najmanj 180 kN in vrednost V najmanj 35 kN. Vrednost DC pa je lahko manjša od 180 kN, vendar ne večja od 130 kN, če sta vrednost D naprave za spenjanje najmanj 200 kN in vednost V najmanj 60 kN.</w:t>
      </w:r>
    </w:p>
    <w:p w14:paraId="455D475B" w14:textId="4C9C36E0" w:rsidR="00700B2F" w:rsidRDefault="00D96C34" w:rsidP="00D52C0D">
      <w:pPr>
        <w:pStyle w:val="Stycke"/>
        <w:spacing w:before="120"/>
      </w:pPr>
      <w:r>
        <w:rPr>
          <w:rStyle w:val="Fparagrafbeteckning"/>
        </w:rPr>
        <w:t xml:space="preserve">Oddelek 29. </w:t>
      </w:r>
      <w:r>
        <w:t>Vrednost D zadnje naprave za spenjanje vozička je najmanj 130 kN.</w:t>
      </w:r>
    </w:p>
    <w:p w14:paraId="3033F0F7" w14:textId="36470EF6" w:rsidR="00700B2F" w:rsidRPr="00700B2F" w:rsidRDefault="00DC28E4" w:rsidP="00D52C0D">
      <w:pPr>
        <w:pStyle w:val="Stycke"/>
        <w:spacing w:before="120"/>
      </w:pPr>
      <w:r>
        <w:rPr>
          <w:rStyle w:val="Fparagrafbeteckning"/>
        </w:rPr>
        <w:t xml:space="preserve">Oddelek 30. </w:t>
      </w:r>
      <w:r>
        <w:rPr>
          <w:rStyle w:val="Fparagrafbeteckning"/>
          <w:b w:val="0"/>
        </w:rPr>
        <w:t>V</w:t>
      </w:r>
      <w:r>
        <w:t>rednost D sprednje naprave za spenjanje povezovalnega polpriklopnika je najmanj 130 kN. Vrednost D zadnje naprave za spenjanje je najmanj 130 kN.</w:t>
      </w:r>
    </w:p>
    <w:p w14:paraId="1F88EC27" w14:textId="7CC9501A" w:rsidR="00047D65" w:rsidRDefault="000123E4" w:rsidP="00FF6EB9">
      <w:pPr>
        <w:pStyle w:val="Stycke"/>
        <w:spacing w:before="120"/>
      </w:pPr>
      <w:r>
        <w:rPr>
          <w:rStyle w:val="Fparagrafbeteckning"/>
        </w:rPr>
        <w:t xml:space="preserve">Oddelek 31. </w:t>
      </w:r>
      <w:r>
        <w:t>Vrednost D naprave za spenjanje zadnjega polpriklopnika je najmanj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Ti predpisi začnejo veljati dne </w:t>
      </w:r>
      <w:r>
        <w:rPr>
          <w:highlight w:val="yellow"/>
        </w:rPr>
        <w:t>dan mesec </w:t>
      </w:r>
      <w:r>
        <w:t>leto.</w:t>
      </w:r>
    </w:p>
    <w:p w14:paraId="3B391984" w14:textId="138C4049" w:rsidR="00047D65" w:rsidRPr="00D25592" w:rsidRDefault="00047D65" w:rsidP="00EA023A">
      <w:pPr>
        <w:pStyle w:val="Beslutandeochfredragande"/>
        <w:rPr>
          <w:lang w:val="el-GR"/>
        </w:rPr>
      </w:pPr>
      <w:r>
        <w:t>V imenu švedske agencije za promet</w:t>
      </w:r>
      <w:r>
        <w:br/>
      </w:r>
      <w:r>
        <w:br/>
        <w:t>JONAS BJELFVENSTAM</w:t>
      </w:r>
      <w:r>
        <w:br/>
      </w:r>
      <w:r>
        <w:tab/>
        <w:t>Omar Bagdadi</w:t>
      </w:r>
      <w:r>
        <w:br/>
      </w:r>
      <w:r>
        <w:tab/>
        <w:t>(ceste in železnice)</w:t>
      </w:r>
    </w:p>
    <w:sectPr w:rsidR="00047D65" w:rsidRPr="00D25592"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70D0C115" w:rsidR="00925C91" w:rsidRDefault="00925C91" w:rsidP="00D104F7">
                          <w:pPr>
                            <w:pStyle w:val="FSnr-sidhuvud"/>
                            <w:ind w:left="0" w:right="0"/>
                          </w:pPr>
                          <w:r>
                            <w:fldChar w:fldCharType="begin"/>
                          </w:r>
                          <w:r>
                            <w:instrText xml:space="preserve"> STYLEREF  FS-nr  \* MERGEFORMAT </w:instrText>
                          </w:r>
                          <w:r>
                            <w:fldChar w:fldCharType="separate"/>
                          </w:r>
                          <w:r w:rsidR="00D25592">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70D0C115" w:rsidR="00925C91" w:rsidRDefault="00925C91" w:rsidP="00D104F7">
                    <w:pPr>
                      <w:pStyle w:val="FSnr-sidhuvud"/>
                      <w:ind w:left="0" w:right="0"/>
                    </w:pPr>
                    <w:r>
                      <w:fldChar w:fldCharType="begin"/>
                    </w:r>
                    <w:r>
                      <w:instrText xml:space="preserve"> STYLEREF  FS-nr  \* MERGEFORMAT </w:instrText>
                    </w:r>
                    <w:r>
                      <w:fldChar w:fldCharType="separate"/>
                    </w:r>
                    <w:r w:rsidR="00D25592">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Glej Direktivo (EU) 2015/1535 Evropskega parlamenta</w:t>
      </w:r>
      <w:r>
        <w:rPr>
          <w:i/>
        </w:rPr>
        <w:t xml:space="preserve"> </w:t>
      </w:r>
      <w:r>
        <w:t>in Sveta z dne 9. septembra 2015 o določitvi postopka za zbiranje informacij na področju tehničnih predpisov in pravil za storitve informacijske družbe.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D25592" w:rsidP="00A41C32">
    <w:pPr>
      <w:pStyle w:val="FSnr-sidhuvud"/>
    </w:pPr>
    <w:sdt>
      <w:sdtPr>
        <w:alias w:val="Zbirka predpisov"/>
        <w:id w:val="-668563778"/>
        <w:text/>
      </w:sdtPr>
      <w:sdtEndPr/>
      <w:sdtContent>
        <w:r w:rsidR="00E044E9">
          <w:t>TSFS 20</w:t>
        </w:r>
      </w:sdtContent>
    </w:sdt>
    <w:sdt>
      <w:sdtPr>
        <w:alias w:val="Leto"/>
        <w:tag w:val="År"/>
        <w:id w:val="651943009"/>
        <w:showingPlcHdr/>
        <w:dataBinding w:prefixMappings="xmlns:ns0='consensis-fs'" w:xpath="/ns0:root[1]/ns0:fs-fields[1]/ns0:fs-year[1]" w:storeItemID="{F222B965-9C48-4AC7-962E-E2AF3EEF1550}"/>
        <w:text/>
      </w:sdtPr>
      <w:sdtEndPr/>
      <w:sdtContent>
        <w:r w:rsidR="00E044E9">
          <w:rPr>
            <w:rStyle w:val="PlaceholderText"/>
          </w:rPr>
          <w:t>[leto]</w:t>
        </w:r>
      </w:sdtContent>
    </w:sdt>
    <w:r w:rsidR="00E044E9">
      <w:t>:</w:t>
    </w:r>
    <w:sdt>
      <w:sdtPr>
        <w:alias w:val="Št."/>
        <w:tag w:val="Nr"/>
        <w:id w:val="170307869"/>
        <w:showingPlcHdr/>
        <w:dataBinding w:prefixMappings="xmlns:ns0='consensis-fs'" w:xpath="/ns0:root[1]/ns0:fs-fields[1]/ns0:fs-no[1]" w:storeItemID="{F222B965-9C48-4AC7-962E-E2AF3EEF1550}"/>
        <w:text/>
      </w:sdtPr>
      <w:sdtEndPr/>
      <w:sdtContent>
        <w:r w:rsidR="00E044E9">
          <w:rPr>
            <w:rStyle w:val="PlaceholderText"/>
          </w:rPr>
          <w:t>[št.]</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D25592" w:rsidP="00A41C32">
    <w:pPr>
      <w:pStyle w:val="FSnr-sidhuvud"/>
      <w:jc w:val="right"/>
    </w:pPr>
    <w:sdt>
      <w:sdtPr>
        <w:alias w:val="Zbirka predpisov"/>
        <w:id w:val="1150257239"/>
        <w:text/>
      </w:sdtPr>
      <w:sdtEndPr/>
      <w:sdtContent>
        <w:r w:rsidR="00E044E9">
          <w:t>TSFS 20</w:t>
        </w:r>
      </w:sdtContent>
    </w:sdt>
    <w:sdt>
      <w:sdtPr>
        <w:alias w:val="Leto"/>
        <w:tag w:val="År"/>
        <w:id w:val="-620143070"/>
        <w:showingPlcHdr/>
        <w:dataBinding w:prefixMappings="xmlns:ns0='consensis-fs'" w:xpath="/ns0:root[1]/ns0:fs-fields[1]/ns0:fs-year[1]" w:storeItemID="{F222B965-9C48-4AC7-962E-E2AF3EEF1550}"/>
        <w:text/>
      </w:sdtPr>
      <w:sdtEndPr/>
      <w:sdtContent>
        <w:r w:rsidR="00E044E9">
          <w:rPr>
            <w:rStyle w:val="PlaceholderText"/>
          </w:rPr>
          <w:t>[leto]</w:t>
        </w:r>
      </w:sdtContent>
    </w:sdt>
    <w:r w:rsidR="00E044E9">
      <w:t>:</w:t>
    </w:r>
    <w:sdt>
      <w:sdtPr>
        <w:alias w:val="Št."/>
        <w:tag w:val="Nr"/>
        <w:id w:val="-2001035287"/>
        <w:showingPlcHdr/>
        <w:dataBinding w:prefixMappings="xmlns:ns0='consensis-fs'" w:xpath="/ns0:root[1]/ns0:fs-fields[1]/ns0:fs-no[1]" w:storeItemID="{F222B965-9C48-4AC7-962E-E2AF3EEF1550}"/>
        <w:text/>
      </w:sdtPr>
      <w:sdtEndPr/>
      <w:sdtContent>
        <w:r w:rsidR="00E044E9">
          <w:rPr>
            <w:rStyle w:val="PlaceholderText"/>
          </w:rPr>
          <w:t>[št.]</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079B3"/>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592"/>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sl-SI"/>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sl-SI"/>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sl-SI"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[izberite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
    <fs-no/>
    <fs-date/>
    <fs-series>CESTA</fs-series>
    <fs-subseries/>
    <fs-heading>tehničnih zahtevah za skupine vozil, daljše od 25,25 metra</fs-heading>
  </fs-fields>
</root>
</file>

<file path=customXml/item2.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3.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4.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6.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21</TotalTime>
  <Pages>6</Pages>
  <Words>1563</Words>
  <Characters>7967</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