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[Luonnos] Pohjois-Irlannin lakiperusteiset määräykset</w:t>
      </w:r>
    </w:p>
    <w:p w14:paraId="5D1F8D67" w14:textId="77777777" w:rsidR="00E61B82" w:rsidRDefault="00E61B82" w:rsidP="00E61B82">
      <w:pPr>
        <w:pStyle w:val="Number"/>
      </w:pPr>
      <w:r>
        <w:t xml:space="preserve">2023 Nro. </w:t>
      </w:r>
    </w:p>
    <w:p w14:paraId="1E808628" w14:textId="77777777" w:rsidR="00E61B82" w:rsidRPr="00292216" w:rsidRDefault="00A07397" w:rsidP="00E61B82">
      <w:pPr>
        <w:pStyle w:val="subject"/>
      </w:pPr>
      <w:r>
        <w:t>tieliikenne ja ajoneuvot</w:t>
      </w:r>
    </w:p>
    <w:p w14:paraId="43A768EC" w14:textId="77777777" w:rsidR="00E61B82" w:rsidRDefault="00A07397" w:rsidP="00E61B82">
      <w:pPr>
        <w:pStyle w:val="Title"/>
      </w:pPr>
      <w:r>
        <w:t>Vuoden 2023 määräykset (Pohjois-Irlanti) moottoriajoneuvoista (rakenne ja käyttö) (muutos)</w:t>
      </w:r>
    </w:p>
    <w:p w14:paraId="08710F03" w14:textId="77777777" w:rsidR="00E61B82" w:rsidRPr="00D87569" w:rsidRDefault="00E61B82" w:rsidP="0002747F">
      <w:pPr>
        <w:pStyle w:val="Made"/>
      </w:pPr>
      <w:r>
        <w:t>Annettu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4970A4">
      <w:pPr>
        <w:pStyle w:val="Coming"/>
        <w:tabs>
          <w:tab w:val="clear" w:pos="3232"/>
        </w:tabs>
      </w:pPr>
      <w:r>
        <w:t>Tulevat voimaan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Infrastruktuuriministeriö(</w:t>
      </w:r>
      <w:r>
        <w:rPr>
          <w:rStyle w:val="FootnoteReference"/>
        </w:rPr>
        <w:footnoteReference w:id="2"/>
      </w:r>
      <w:r>
        <w:t>) käyttää tieliikenteestä (Pohjois-Irlanti) annetun vuoden 1995 määräyksen(</w:t>
      </w:r>
      <w:r w:rsidR="00E54DC5">
        <w:rPr>
          <w:rStyle w:val="FootnoteReference"/>
        </w:rPr>
        <w:footnoteReference w:id="3"/>
      </w:r>
      <w:r>
        <w:t>) 55 §:n 1 momentin, 2 momentin a kohdan ja 6 momentin sekä 110 §:n 2 momentin mukaista toimivaltaa, joka sille on tällä hetkellä annettu(</w:t>
      </w:r>
      <w:r w:rsidR="00FB6465">
        <w:rPr>
          <w:rStyle w:val="FootnoteReference"/>
        </w:rPr>
        <w:footnoteReference w:id="4"/>
      </w:r>
      <w:r>
        <w:t>), ja antaa seuraavat määräykset.</w:t>
      </w:r>
    </w:p>
    <w:p w14:paraId="799E9B50" w14:textId="77777777" w:rsidR="00252709" w:rsidRDefault="00FB6465" w:rsidP="00FB6465">
      <w:pPr>
        <w:pStyle w:val="H1"/>
      </w:pPr>
      <w:r>
        <w:t>Viittaus ja voimaantulo</w:t>
      </w:r>
    </w:p>
    <w:p w14:paraId="54B94898" w14:textId="4B752315" w:rsidR="00FB6465" w:rsidRDefault="00FB6465" w:rsidP="00FB6465">
      <w:pPr>
        <w:pStyle w:val="N1"/>
      </w:pPr>
      <w:r>
        <w:t xml:space="preserve"> Näihin määräyksiin voidaan viitata nimellä ”vuoden 2023 määräykset (Pohjois-Irlanti) moottoriajoneuvoista (rakenne ja käyttö) (muutos)”, ja ne tulevat voimaan xx xxxxx 2023.</w:t>
      </w:r>
    </w:p>
    <w:p w14:paraId="6322C4DC" w14:textId="77777777" w:rsidR="00FB6465" w:rsidRDefault="00FB6465" w:rsidP="00FB6465">
      <w:pPr>
        <w:pStyle w:val="H1"/>
      </w:pPr>
      <w:r>
        <w:t>Rakennetta ja käyttöä koskevien määräysten muuttaminen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Muutetaan moottoriajoneuvoista (rakenne ja käyttö) annetut vuoden 1999 määräykset (Pohjois-Irlanti)(</w:t>
      </w:r>
      <w:r>
        <w:rPr>
          <w:rStyle w:val="FootnoteReference"/>
        </w:rPr>
        <w:footnoteReference w:id="5"/>
      </w:r>
      <w:r>
        <w:t>) 2–5 kohdan mukaisesti.</w:t>
      </w:r>
    </w:p>
    <w:p w14:paraId="085E52C7" w14:textId="77777777" w:rsidR="006A64B8" w:rsidRDefault="006A64B8" w:rsidP="006A64B8">
      <w:pPr>
        <w:pStyle w:val="N2"/>
      </w:pPr>
      <w:r>
        <w:t>Korvataan 2 määräyksen (tulkinta) 2 kohdan määritelmässä ”E-sääntö, jota seuraa numero” ilmaisu ”enemmän kuin kaksi numeroa” ilmaisulla ”pisteen, jota seuraa toinen numero”.</w:t>
      </w:r>
    </w:p>
    <w:p w14:paraId="259A558A" w14:textId="77777777" w:rsidR="00022A1B" w:rsidRDefault="00022A1B" w:rsidP="006A64B8">
      <w:pPr>
        <w:pStyle w:val="N2"/>
      </w:pPr>
      <w:r>
        <w:t>Korvataan 30 määräyksen (renkaiden kuormitukset ja nopeusluokitukset)—</w:t>
      </w:r>
    </w:p>
    <w:p w14:paraId="2CD06048" w14:textId="77777777" w:rsidR="00022A1B" w:rsidRDefault="00022A1B" w:rsidP="00022A1B">
      <w:pPr>
        <w:pStyle w:val="N3"/>
      </w:pPr>
      <w:r>
        <w:t>7 kohdassa ilmaisu ”mutta vaatimus ei koske pinnoitettua rengasta” ilmaisulla ”tai pinnoitetun renkaan tapauksessa E-säännön 108 tai 109 vaatimukset”; ja</w:t>
      </w:r>
    </w:p>
    <w:p w14:paraId="510A7921" w14:textId="77777777" w:rsidR="00022A1B" w:rsidRDefault="00022A1B" w:rsidP="00022A1B">
      <w:pPr>
        <w:pStyle w:val="N3"/>
      </w:pPr>
      <w:r>
        <w:t>12 kohdan määritelmässä ”kuormitusindeksi” määritelmän lopussa ilmaisu ”2.29” ilmaisulla ”E-säännön 30.02 2 kohdan tai E-säännön 54 tai E-säännön 108 2 kohdan tai E-säännön 109 mukainen ”kuormitusindeksi””.</w:t>
      </w:r>
    </w:p>
    <w:p w14:paraId="19D5D210" w14:textId="77777777" w:rsidR="00DD69B1" w:rsidRDefault="00DD69B1" w:rsidP="00DD69B1">
      <w:pPr>
        <w:pStyle w:val="N2"/>
      </w:pPr>
      <w:r>
        <w:t>Määräysten 32 määräyksen (renkaiden kunto ja huolto)—</w:t>
      </w:r>
    </w:p>
    <w:p w14:paraId="3AE878F1" w14:textId="77777777" w:rsidR="00DD69B1" w:rsidRDefault="00DD69B1" w:rsidP="00DD69B1">
      <w:pPr>
        <w:pStyle w:val="N3"/>
      </w:pPr>
      <w:r>
        <w:t>1 kohdassa—</w:t>
      </w:r>
    </w:p>
    <w:p w14:paraId="03749A2F" w14:textId="77777777" w:rsidR="00DD69B1" w:rsidRDefault="00DD69B1" w:rsidP="00DD69B1">
      <w:pPr>
        <w:pStyle w:val="N4"/>
      </w:pPr>
      <w:r>
        <w:t>korvataan ilmaisu ”Jollei 2–4 kohdasta muuta johdu” ilmaisulla ”Jollei 1A kohdasta ja 2–4 kohdasta muuta johdu”;</w:t>
      </w:r>
    </w:p>
    <w:p w14:paraId="2B4BAE61" w14:textId="77777777" w:rsidR="00DD69B1" w:rsidRDefault="007442AA" w:rsidP="00DD69B1">
      <w:pPr>
        <w:pStyle w:val="N4"/>
      </w:pPr>
      <w:r>
        <w:t>poistetaan g alakohdan ii alakohdan lopusta ilmaisu ”tai”;</w:t>
      </w:r>
    </w:p>
    <w:p w14:paraId="116D86A6" w14:textId="77777777" w:rsidR="007442AA" w:rsidRDefault="007442AA" w:rsidP="00DD69B1">
      <w:pPr>
        <w:pStyle w:val="N4"/>
      </w:pPr>
      <w:r>
        <w:lastRenderedPageBreak/>
        <w:t>lisätään h alakohdan jälkeen seuraava alakohta—</w:t>
      </w:r>
    </w:p>
    <w:p w14:paraId="31D345C1" w14:textId="364E70A3" w:rsidR="007442AA" w:rsidRDefault="00E21C8D" w:rsidP="00E21C8D">
      <w:pPr>
        <w:pStyle w:val="LQN4"/>
      </w:pPr>
      <w:r>
        <w:tab/>
        <w:t>”(i)</w:t>
      </w:r>
      <w:r>
        <w:tab/>
        <w:t>rengas ei ole pinnoitettu rengas ja—</w:t>
      </w:r>
    </w:p>
    <w:p w14:paraId="1127C07A" w14:textId="77777777" w:rsidR="00A42AA8" w:rsidRDefault="00A42AA8" w:rsidP="00A42AA8">
      <w:pPr>
        <w:pStyle w:val="NLQN4"/>
      </w:pPr>
      <w:r>
        <w:tab/>
        <w:t>(i)</w:t>
      </w:r>
      <w:r>
        <w:tab/>
        <w:t>sen kylkeen E-säännön 30 tai 54 mukaisesti merkitystä valmistusviikosta on kulunut yli kymmenen vuotta päivänä, jona moottoriajoneuvoa käytetään tiellä; tai</w:t>
      </w:r>
    </w:p>
    <w:p w14:paraId="3D0FC71C" w14:textId="0322961D" w:rsidR="00A42AA8" w:rsidRDefault="00A42AA8" w:rsidP="00A42AA8">
      <w:pPr>
        <w:pStyle w:val="NLQN4"/>
      </w:pPr>
      <w:r>
        <w:tab/>
        <w:t>(ii)</w:t>
      </w:r>
      <w:r>
        <w:tab/>
        <w:t>siinä ei ole E-säännön 30 tai 54 mukaista valmistusviikkoa koskevaa merkintää (joko siksi, että se on valmistettu ennen E-sääntöjen voimaantuloa, tai muusta syystä);</w:t>
      </w:r>
    </w:p>
    <w:p w14:paraId="21565F41" w14:textId="77777777" w:rsidR="00A42AA8" w:rsidRDefault="00A42AA8" w:rsidP="00A42AA8">
      <w:pPr>
        <w:pStyle w:val="LQN4"/>
      </w:pPr>
      <w:r>
        <w:tab/>
        <w:t>(j)</w:t>
      </w:r>
      <w:r>
        <w:tab/>
        <w:t>rengas on pinnoitettu rengas ja—</w:t>
      </w:r>
    </w:p>
    <w:p w14:paraId="0991118A" w14:textId="77777777" w:rsidR="00A42AA8" w:rsidRDefault="00A42AA8" w:rsidP="00A42AA8">
      <w:pPr>
        <w:pStyle w:val="NLQN4"/>
      </w:pPr>
      <w:r>
        <w:tab/>
        <w:t>(i)</w:t>
      </w:r>
      <w:r>
        <w:tab/>
        <w:t>sen sivulle E-säännön 108 tai 109 mukaisesti merkitystä pinnoitusviikosta on kulunut yli kymmenen vuotta päivänä, jona moottoriajoneuvoa käytetään tiellä; tai</w:t>
      </w:r>
    </w:p>
    <w:p w14:paraId="1D5A9534" w14:textId="77777777" w:rsidR="00520F87" w:rsidRDefault="00520F87" w:rsidP="00520F87">
      <w:pPr>
        <w:pStyle w:val="NLQN4"/>
      </w:pPr>
      <w:r>
        <w:tab/>
        <w:t>(ii)</w:t>
      </w:r>
      <w:r>
        <w:tab/>
        <w:t>siinä ei ole E-säännön 108 tai 109 mukaista pinnoitusviikkoa koskevaa merkintää (joko siksi, että se on pinnoitettu ennen E-sääntöjen voimaantuloa, tai muusta syystä); tai</w:t>
      </w:r>
    </w:p>
    <w:p w14:paraId="371ABCF7" w14:textId="1D9D5575" w:rsidR="00520F87" w:rsidRDefault="00520F87" w:rsidP="00520F87">
      <w:pPr>
        <w:pStyle w:val="LQN4"/>
      </w:pPr>
      <w:r>
        <w:tab/>
        <w:t>(k)</w:t>
      </w:r>
      <w:r>
        <w:tab/>
        <w:t>päivämäärä, joka on merkitty renkaan sivulle E-säännön 30, 54, 108 tai 109 mukaisesti, ei ole luettavissa.”;</w:t>
      </w:r>
    </w:p>
    <w:p w14:paraId="17D017BD" w14:textId="77777777" w:rsidR="00520F87" w:rsidRDefault="00520F87" w:rsidP="00520F87">
      <w:pPr>
        <w:pStyle w:val="N3"/>
      </w:pPr>
      <w:r>
        <w:t>lisätään 1 kohdan jälkeen seuraava kohta—</w:t>
      </w:r>
    </w:p>
    <w:p w14:paraId="252B767E" w14:textId="65543917" w:rsidR="00EE3061" w:rsidRDefault="00E21C8D" w:rsidP="00EE3061">
      <w:pPr>
        <w:pStyle w:val="LQN2"/>
      </w:pPr>
      <w:r>
        <w:t>”(1A) Jollei 4 kohdan a ja ca alakohdasta muuta johdu ja sen estämättä, mitä 30 määräyksessä määrätään—</w:t>
      </w:r>
    </w:p>
    <w:p w14:paraId="0F6D8888" w14:textId="77777777" w:rsidR="00EE3061" w:rsidRDefault="00EE3061" w:rsidP="00EE3061">
      <w:pPr>
        <w:pStyle w:val="LQN3"/>
      </w:pPr>
      <w:r>
        <w:t>(a)</w:t>
      </w:r>
      <w:r>
        <w:tab/>
        <w:t>1 kohdan i ja j alakohtaa sovelletaan ainoastaan renkaisiin, jotka on asennettu</w:t>
      </w:r>
    </w:p>
    <w:p w14:paraId="781B8B31" w14:textId="77777777" w:rsidR="00EE3061" w:rsidRDefault="00EE3061" w:rsidP="00EE3061">
      <w:pPr>
        <w:pStyle w:val="LQN4"/>
      </w:pPr>
      <w:r>
        <w:tab/>
        <w:t>(i)</w:t>
      </w:r>
      <w:r>
        <w:tab/>
        <w:t>linja-auton, joka ei ole pienoisbussi, etuakseliin;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(ii)</w:t>
      </w:r>
      <w:r>
        <w:tab/>
        <w:t>pienoisbussin mihin tahansa akseliin yksittäin; tai</w:t>
      </w:r>
    </w:p>
    <w:p w14:paraId="4BC37583" w14:textId="77777777" w:rsidR="00EE3061" w:rsidRDefault="00EE3061" w:rsidP="00EE3061">
      <w:pPr>
        <w:pStyle w:val="LQN4"/>
      </w:pPr>
      <w:r>
        <w:tab/>
        <w:t>(iii)</w:t>
      </w:r>
      <w:r>
        <w:tab/>
        <w:t>tavarankuljetusajoneuvon, jonka enimmäisbruttopaino on yli 3 500 kilogrammaa, etuakseliin;</w:t>
      </w:r>
    </w:p>
    <w:p w14:paraId="247FF29E" w14:textId="77777777" w:rsidR="00EE3061" w:rsidRDefault="00EE3061" w:rsidP="00EE3061">
      <w:pPr>
        <w:pStyle w:val="LQN3"/>
      </w:pPr>
      <w:r>
        <w:t>(b)</w:t>
      </w:r>
      <w:r>
        <w:tab/>
        <w:t>a alakohdassa —</w:t>
      </w:r>
    </w:p>
    <w:p w14:paraId="5B8B4A93" w14:textId="77777777" w:rsidR="00EE3061" w:rsidRPr="00F9319A" w:rsidRDefault="00EE3061" w:rsidP="00EE3061">
      <w:pPr>
        <w:pStyle w:val="LQN4"/>
      </w:pPr>
      <w:r>
        <w:tab/>
        <w:t>(i)</w:t>
      </w:r>
      <w:r>
        <w:tab/>
        <w:t>”etuakselilla” tarkoitetaan mitä tahansa alustan keskipisteen etupuolella olevaa akselia, jolla ohjausjärjestelmä ohjaa pyöriä; ja</w:t>
      </w:r>
    </w:p>
    <w:p w14:paraId="09B8C591" w14:textId="77777777" w:rsidR="00EE3061" w:rsidRDefault="00EE3061" w:rsidP="00EE3061">
      <w:pPr>
        <w:pStyle w:val="LQN4"/>
      </w:pPr>
      <w:r>
        <w:tab/>
        <w:t>(ii)</w:t>
      </w:r>
      <w:r>
        <w:tab/>
        <w:t>”yksittäin asentamisella” tarkoitetaan, että kyseiseen akseliin on asennettu ainoastaan yksi vanteen ja renkaan muodostama kokonaisuus; ja</w:t>
      </w:r>
    </w:p>
    <w:p w14:paraId="10800F30" w14:textId="77777777" w:rsidR="00EE3061" w:rsidRDefault="00EE3061" w:rsidP="00EE3061">
      <w:pPr>
        <w:pStyle w:val="LQN3"/>
      </w:pPr>
      <w:r>
        <w:t>(c)</w:t>
      </w:r>
      <w:r>
        <w:tab/>
        <w:t>1 kohdan k alakohtaa sovelletaan ainoastaan —</w:t>
      </w:r>
    </w:p>
    <w:p w14:paraId="1BD3712B" w14:textId="77777777" w:rsidR="00FF5A1C" w:rsidRPr="00F9319A" w:rsidRDefault="00FF5A1C" w:rsidP="00FF5A1C">
      <w:pPr>
        <w:pStyle w:val="LQN4"/>
      </w:pPr>
      <w:r>
        <w:tab/>
        <w:t>(i)</w:t>
      </w:r>
      <w:r>
        <w:tab/>
        <w:t>linja-autoihin (mukaan lukien minibussit); ja</w:t>
      </w:r>
    </w:p>
    <w:p w14:paraId="19A93219" w14:textId="001A4982" w:rsidR="00FF5A1C" w:rsidRDefault="00FF5A1C" w:rsidP="00FF5A1C">
      <w:pPr>
        <w:pStyle w:val="LQN4"/>
      </w:pPr>
      <w:r>
        <w:tab/>
        <w:t>(ii)</w:t>
      </w:r>
      <w:r>
        <w:tab/>
        <w:t>tavarankuljetusajoneuvoihin, joiden enimmäisbruttopaino on yli 3 500 kilogrammaa.”</w:t>
      </w:r>
    </w:p>
    <w:p w14:paraId="0AF3BAC2" w14:textId="77777777" w:rsidR="00FF5A1C" w:rsidRDefault="00FF5A1C" w:rsidP="00FF5A1C">
      <w:pPr>
        <w:pStyle w:val="N3"/>
      </w:pPr>
      <w:r>
        <w:t>4 kohdassa—</w:t>
      </w:r>
    </w:p>
    <w:p w14:paraId="43505781" w14:textId="77777777" w:rsidR="00426F4F" w:rsidRDefault="00426F4F" w:rsidP="00426F4F">
      <w:pPr>
        <w:pStyle w:val="N4"/>
      </w:pPr>
      <w:r>
        <w:t>lisätään a alakohdassa ilmaisun ”1 kohdan a–g alakohtaa” jälkeen ilmaisu ”ja i–k alakohtaa”;</w:t>
      </w:r>
    </w:p>
    <w:p w14:paraId="7C39BE16" w14:textId="77777777" w:rsidR="00426F4F" w:rsidRDefault="00426F4F" w:rsidP="00426F4F">
      <w:pPr>
        <w:pStyle w:val="N4"/>
      </w:pPr>
      <w:r>
        <w:t>lisätään c alakohdan jälkeen seuraava alakohta—</w:t>
      </w:r>
    </w:p>
    <w:p w14:paraId="4E3E441C" w14:textId="3789445E" w:rsidR="00426F4F" w:rsidRDefault="00E21C8D" w:rsidP="00426F4F">
      <w:pPr>
        <w:pStyle w:val="LQN3"/>
      </w:pPr>
      <w:r>
        <w:t>”(ca)</w:t>
      </w:r>
      <w:r>
        <w:tab/>
        <w:t>Mikään 1 kohdan i–k alakohdassa ei koske museoajoneuvoa, jota käytetään muihin kuin kaupallisiin tarkoituksiin, ja tässä tarkoituksessa ”museoajoneuvolla” tarkoitetaan ajoneuvoa, jota ministeriö pitää Pohjois-Irlannille historiallisesti merkittävänä ja joka—</w:t>
      </w:r>
    </w:p>
    <w:p w14:paraId="45C7B239" w14:textId="77777777" w:rsidR="00A213F5" w:rsidRDefault="00A213F5" w:rsidP="00A213F5">
      <w:pPr>
        <w:pStyle w:val="LQN4"/>
      </w:pPr>
      <w:r>
        <w:tab/>
        <w:t>(i)</w:t>
      </w:r>
      <w:r>
        <w:tab/>
        <w:t>on valmistettu tai rekisteröity ensimmäisen kerran vähintään 40 vuotta sitten;</w:t>
      </w:r>
    </w:p>
    <w:p w14:paraId="190D1C8F" w14:textId="77777777" w:rsidR="00A213F5" w:rsidRDefault="00A213F5" w:rsidP="00A213F5">
      <w:pPr>
        <w:pStyle w:val="LQN4"/>
      </w:pPr>
      <w:r>
        <w:tab/>
        <w:t>(ii)</w:t>
      </w:r>
      <w:r>
        <w:tab/>
        <w:t>on tyyppiä, joka ei enää ole tuotannossa; ja</w:t>
      </w:r>
    </w:p>
    <w:p w14:paraId="270D6A59" w14:textId="77777777" w:rsidR="00A213F5" w:rsidRDefault="00A213F5" w:rsidP="00A213F5">
      <w:pPr>
        <w:pStyle w:val="LQN4"/>
      </w:pPr>
      <w:r>
        <w:tab/>
        <w:t>(iii)</w:t>
      </w:r>
      <w:r>
        <w:tab/>
        <w:t>on historiallisesti säilynyt ja alkuperäistä vastaavassa kunnossa eikä sen pääkomponenttien teknisiin ominaisuuksiin ole tehty oleellisia muutoksia,</w:t>
      </w:r>
    </w:p>
    <w:p w14:paraId="48B5AE59" w14:textId="56DE3A66" w:rsidR="00A213F5" w:rsidRDefault="00A213F5" w:rsidP="00A213F5">
      <w:pPr>
        <w:pStyle w:val="LQT2"/>
      </w:pPr>
      <w:r>
        <w:t xml:space="preserve">kun ajoneuvoon liittyvällä ”tyypillä” tarkoitetaan samaa kuin ”ajoneuvotyypillä” moottoriajoneuvojen ja niiden perävaunujen sekä tällaisiin ajoneuvoihin tarkoitettujen </w:t>
      </w:r>
      <w:r>
        <w:lastRenderedPageBreak/>
        <w:t>järjestelmien, komponenttien ja erillisten teknisten yksiköiden hyväksynnästä ja markkinavalvonnasta 30 päivänä toukokuuta 2018 annetun Euroopan parlamentin ja neuvoston asetuksen (EU) 2018/858(</w:t>
      </w:r>
      <w:r>
        <w:rPr>
          <w:rStyle w:val="FootnoteReference"/>
        </w:rPr>
        <w:footnoteReference w:id="6"/>
      </w:r>
      <w:r>
        <w:t>) 3 artiklan 32 kohdassa;”; ja</w:t>
      </w:r>
    </w:p>
    <w:p w14:paraId="7CEE7A40" w14:textId="77777777" w:rsidR="00A213F5" w:rsidRDefault="00A213F5" w:rsidP="00A213F5">
      <w:pPr>
        <w:pStyle w:val="N3"/>
      </w:pPr>
      <w:r>
        <w:t>korvataan 6 kohdan a alakohdan määritelmässä ”alkuperäinen kulutuspintakuvio” ilmaisu ”re-treaded” [pinnoitettu] ilmaisulla ”retreaded” [tarkistus ei vaikuta suomenkieliseen versioon] molemmissa kohdissa .</w:t>
      </w:r>
    </w:p>
    <w:p w14:paraId="63D4D4FF" w14:textId="77777777" w:rsidR="004800DA" w:rsidRDefault="004800DA" w:rsidP="004800DA">
      <w:pPr>
        <w:pStyle w:val="N2"/>
      </w:pPr>
      <w:r>
        <w:t>Lisätään liitteen 1 taulukossa 2 (E-säännöt) olevaan 44 kohtaan liittyvän merkinnän jälkeen—</w:t>
      </w:r>
    </w:p>
    <w:p w14:paraId="76FC1C44" w14:textId="77777777" w:rsidR="00A42AA8" w:rsidRDefault="00A42AA8" w:rsidP="001D0E3C">
      <w:pPr>
        <w:pStyle w:val="linespace"/>
      </w:pPr>
    </w:p>
    <w:tbl>
      <w:tblPr>
        <w:tblW w:w="89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555"/>
        <w:gridCol w:w="1233"/>
        <w:gridCol w:w="1233"/>
      </w:tblGrid>
      <w:tr w:rsidR="001D0E3C" w:rsidRPr="001D0E3C" w14:paraId="342E504E" w14:textId="77777777" w:rsidTr="004970A4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”45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Henkilöautojen ja niiden perävaunujen pinnoitetut renkaat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4970A4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Hyötyajoneuvojen ja niiden perävaunujen pinnoitetut renkaat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Leimattu infrastruktuuriministeriön virallisella leimalla xx xxxxx 2023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Infrastruktuuriministeriön vanhempi virkailija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PERUSTELUT</w:t>
      </w:r>
    </w:p>
    <w:p w14:paraId="2D3DC66A" w14:textId="3ED882CF" w:rsidR="00040058" w:rsidRDefault="00040058" w:rsidP="00040058">
      <w:pPr>
        <w:pStyle w:val="XNotenote"/>
      </w:pPr>
      <w:r>
        <w:t>(Nämä perustelut eivät ole osa määräyksiä)</w:t>
      </w:r>
    </w:p>
    <w:p w14:paraId="35F194C5" w14:textId="2CB6F34C" w:rsidR="00040058" w:rsidRDefault="00040058" w:rsidP="00040058">
      <w:pPr>
        <w:pStyle w:val="T1"/>
      </w:pPr>
      <w:r>
        <w:t>Näillä määräyksillä muutetaan moottoriajoneuvoista (rakenne ja käyttö) annettuja vuoden 1999 määräyksiä (Pohjois-Irlanti) siten, että niissä säädetään sellaisten renkaiden (myös pinnoitettujen renkaiden) iästä ja renkaiden päiväysmerkintöjen luettavuudesta, joita voidaan käyttää linja-autoissa (myös minibusseissa) ja tavarankuljetusajoneuvoissa, joiden enimmäisbruttopaino on yli 3 500 kilogrammaa. Määräyksillä muutetaan myös vuoden 1999 määräysten liitteessä 1 olevaa taulukkoa 2 siten, että siihen sisällytetään E-sääntöjen 108 ja 109 pinnoitettuja renkaita koskevat määräykset. Näissä määräyksissä säädetään museoajoneuvoa koskevasta poikkeuksesta edellyttäen, että niitä ei käytetä kaupallisiin tarkoituksiin.</w:t>
      </w:r>
    </w:p>
    <w:p w14:paraId="0FE50F41" w14:textId="77777777" w:rsidR="006D38F1" w:rsidRDefault="006D38F1" w:rsidP="00040058">
      <w:pPr>
        <w:pStyle w:val="T1"/>
      </w:pPr>
      <w:r>
        <w:t xml:space="preserve">Nämä määräykset on annettu tiedoksi Euroopan komissiolle 9 päivänä syyskuuta 2015 annetun Euroopan parlamentin ja neuvoston direktiivin (EU) 2015/1535 (EUVL L 241, 17.9.2015, s. 1) mukaisesti ilmoitusnumerolla </w:t>
      </w:r>
      <w:r>
        <w:rPr>
          <w:color w:val="FF0000"/>
        </w:rPr>
        <w:t xml:space="preserve">xxxxxxxx. </w:t>
      </w:r>
      <w:r>
        <w:t xml:space="preserve">Huomautuksia ei esitetty kolmen kuukauden odotusajan aikana. Direktiivi on saatavilla verkossa osoitteessa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Yhdistyneiden kansakuntien Euroopan talouskomissio antaa E-säännöt. Jäljennökset näissä määräyksissä tarkoitetuista E-säännöistä ovat saatavilla UNECE:n verkkosivustolta: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Jäljennökset ovat saatavilla myös ajoneuvopolitiikasta vastaavalta osastolta osoitteesta Vehicle Policy Branch, Safe and Access Travel Division, Department for Infrastructure, Clarence Court, 10–18 Adelaide Street, Town Parks, Belfast BT2 8GB (sähköposti: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Sääntelyn vaikutusten arviointi ja perustelut on laadittu, ja ne ovat saatavilla ajoneuvopolitiikasta vastaavalta osastolta edellä mainitusta osoitteesta tai verkossa tämän lakiperusteisen määräyksen yhteydessä osoitteessa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Entinen aluekehityksestä vastaava ministeriö; katso ministeriöistä (Pohjois-Irlanti) annetun vuoden 2016 lain (2016, 5 luku (Pohjois-Irlanti)) 1 §:n 6 ja 11 momentti sekä liite 1. Ympäristöministeriö on lakkautettu kyseisen lain 1 §:n 9 momentin nojalla.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Hallinnollinen määräys 1995/2994 (Pohjois-Irlanti 18); 55 § muutettiin tieliikenteestä (Pohjois-Irlanti) annetun vuoden 2007 määräyksen 42 §:n 1 momentilla (hallinnollinen määräys 2007/916 (Pohjois-Irlanti 10)).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Ks. </w:t>
      </w:r>
      <w:r>
        <w:t>ministeriöistä (tehtävien siirto) (Pohjois-Irlanti) annetun vuoden 2016 määräyksen (vuoden 2016 lakiperusteiset määräykset nro 76) 8 §:n 1 momentin b kohta ja liitteessä 5 oleva 2 osa.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Lakiperusteiset määräykset (S.R.) nro 1999/454; asiaa koskevat muutosmääräykset ovat S.R. 2011 nro 20, S.R. 2011 nro 303 ja S.R. 2016 nro 160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EUVL L 151, 14.6.2018 s.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Huhtikuun 2023 toinen luonnos – Oikeusviraston 6.4.2023 hyväksymän mukaisesti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970A4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fi-FI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fi-FI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339</TotalTime>
  <Pages>4</Pages>
  <Words>881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