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[Nacrt] Zakonska pravila Sjeverne Irske</w:t>
      </w:r>
    </w:p>
    <w:p w14:paraId="5D1F8D67" w14:textId="77777777" w:rsidR="00E61B82" w:rsidRDefault="00E61B82" w:rsidP="00E61B82">
      <w:pPr>
        <w:pStyle w:val="Number"/>
      </w:pPr>
      <w:r>
        <w:t xml:space="preserve">2023. Br. </w:t>
      </w:r>
    </w:p>
    <w:p w14:paraId="1E808628" w14:textId="77777777" w:rsidR="00E61B82" w:rsidRPr="00292216" w:rsidRDefault="00A07397" w:rsidP="00E61B82">
      <w:pPr>
        <w:pStyle w:val="subject"/>
      </w:pPr>
      <w:r>
        <w:t>cestovni promet i vozila</w:t>
      </w:r>
    </w:p>
    <w:p w14:paraId="43A768EC" w14:textId="77777777" w:rsidR="00E61B82" w:rsidRDefault="00A07397" w:rsidP="00E61B82">
      <w:pPr>
        <w:pStyle w:val="Title"/>
      </w:pPr>
      <w:r>
        <w:t>Propisi o motornim vozilima (konstrukcija i uporaba) (izmjena) (Sjeverna Irska) iz 2023.</w:t>
      </w:r>
    </w:p>
    <w:p w14:paraId="08710F03" w14:textId="77777777" w:rsidR="00E61B82" w:rsidRPr="00D87569" w:rsidRDefault="00E61B82" w:rsidP="00015E5E">
      <w:pPr>
        <w:pStyle w:val="Made"/>
        <w:tabs>
          <w:tab w:val="left" w:pos="3969"/>
        </w:tabs>
      </w:pPr>
      <w:r>
        <w:t>Sastavljeno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***</w:t>
      </w:r>
    </w:p>
    <w:p w14:paraId="7459A16E" w14:textId="77777777" w:rsidR="00BC3A4C" w:rsidRDefault="00A07397" w:rsidP="00015E5E">
      <w:pPr>
        <w:pStyle w:val="Coming"/>
        <w:tabs>
          <w:tab w:val="clear" w:pos="3232"/>
          <w:tab w:val="clear" w:pos="3629"/>
          <w:tab w:val="left" w:pos="3969"/>
        </w:tabs>
      </w:pPr>
      <w:r>
        <w:t>Stupanje na snagu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Ministarstvo infrastrukture (</w:t>
      </w:r>
      <w:r>
        <w:rPr>
          <w:rStyle w:val="FootnoteReference"/>
        </w:rPr>
        <w:footnoteReference w:id="2"/>
      </w:r>
      <w:r>
        <w:t>) donosi sljedeće Propise na temelju ovlasti danih člankom 55. stavkom 1., člankom 55. stavkom 2. točkom (a) i stavkom 6. te člankom 110. stavkom 2. Odluke o cestovnom prometu (Sjeverna Irska) iz 1995.(</w:t>
      </w:r>
      <w:r w:rsidR="00E54DC5">
        <w:rPr>
          <w:rStyle w:val="FootnoteReference"/>
        </w:rPr>
        <w:footnoteReference w:id="3"/>
      </w:r>
      <w:r>
        <w:t>), koje su mu sada dodijeljene (</w:t>
      </w:r>
      <w:r w:rsidR="00FB6465">
        <w:rPr>
          <w:rStyle w:val="FootnoteReference"/>
        </w:rPr>
        <w:footnoteReference w:id="4"/>
      </w:r>
      <w:r>
        <w:t>).</w:t>
      </w:r>
    </w:p>
    <w:p w14:paraId="799E9B50" w14:textId="77777777" w:rsidR="00252709" w:rsidRDefault="00FB6465" w:rsidP="00FB6465">
      <w:pPr>
        <w:pStyle w:val="H1"/>
      </w:pPr>
      <w:r>
        <w:t>Navođenje i stupanje na snagu</w:t>
      </w:r>
    </w:p>
    <w:p w14:paraId="54B94898" w14:textId="4B752315" w:rsidR="00FB6465" w:rsidRDefault="00FB6465" w:rsidP="00FB6465">
      <w:pPr>
        <w:pStyle w:val="N1"/>
      </w:pPr>
      <w:r>
        <w:t xml:space="preserve"> Ovi se Propisi mogu navoditi kao Propisi o motornim vozilima (konstrukcija i uporaba) (izmjena) (Sjeverna Irska) iz 2023. i stupaju na snagu dana xx xxxxx 2023.</w:t>
      </w:r>
    </w:p>
    <w:p w14:paraId="6322C4DC" w14:textId="77777777" w:rsidR="00FB6465" w:rsidRDefault="00FB6465" w:rsidP="00FB6465">
      <w:pPr>
        <w:pStyle w:val="H1"/>
      </w:pPr>
      <w:r>
        <w:t>Izmjena Propisa o konstrukciji i uporabi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Propisi o motornim vozilima (konstrukcija i uporaba) (Sjeverna Irska) iz 1999.(</w:t>
      </w:r>
      <w:r>
        <w:rPr>
          <w:rStyle w:val="FootnoteReference"/>
        </w:rPr>
        <w:footnoteReference w:id="5"/>
      </w:r>
      <w:r>
        <w:t>) mijenjaju se u skladu sa stavcima od 2. do 5.</w:t>
      </w:r>
    </w:p>
    <w:p w14:paraId="085E52C7" w14:textId="77777777" w:rsidR="006A64B8" w:rsidRDefault="006A64B8" w:rsidP="006A64B8">
      <w:pPr>
        <w:pStyle w:val="N2"/>
      </w:pPr>
      <w:r>
        <w:t>U propisu 2. stavku 2. (tumačenje), u definiciji „Pravilnika UNECE-a, iz kojeg slijedi broj”, riječi „više od dvije znamenke” zamjenjuju se riječima „točka nakon koje slijedi drugi broj”.</w:t>
      </w:r>
    </w:p>
    <w:p w14:paraId="259A558A" w14:textId="77777777" w:rsidR="00022A1B" w:rsidRDefault="00022A1B" w:rsidP="006A64B8">
      <w:pPr>
        <w:pStyle w:val="N2"/>
      </w:pPr>
      <w:r>
        <w:t>U propisu 30. (opterećenja guma i kategorije brzine)—</w:t>
      </w:r>
    </w:p>
    <w:p w14:paraId="2CD06048" w14:textId="77777777" w:rsidR="00022A1B" w:rsidRDefault="00022A1B" w:rsidP="00022A1B">
      <w:pPr>
        <w:pStyle w:val="N3"/>
      </w:pPr>
      <w:r>
        <w:t>u stavku 7. riječi „pri čemu se taj zahtjev ne primjenjuje na obnovljenu gumu” zamjenjuje se riječima „ili, u slučaju obnovljene gume, sa zahtjevima Pravilnika UNECE-a br. 108 ili 109”; i</w:t>
      </w:r>
    </w:p>
    <w:p w14:paraId="510A7921" w14:textId="77777777" w:rsidR="00022A1B" w:rsidRDefault="00022A1B" w:rsidP="00022A1B">
      <w:pPr>
        <w:pStyle w:val="N3"/>
      </w:pPr>
      <w:r>
        <w:t>u stavku 12., u definiciji „indeksa nosivosti”, „2.29.” do kraja se zamjenjuje s „2. Pravilnika UNECE-a br. 30.02 ili Pravilnika UNECE-a br. 54, ili kao ‚indeks opterećenja’ u stavku 2. Pravilnika UNECE-a br. 108 ili Pravilnika UNECE-a br. 109”.</w:t>
      </w:r>
    </w:p>
    <w:p w14:paraId="19D5D210" w14:textId="77777777" w:rsidR="00DD69B1" w:rsidRDefault="00DD69B1" w:rsidP="00DD69B1">
      <w:pPr>
        <w:pStyle w:val="N2"/>
      </w:pPr>
      <w:r>
        <w:t>U propisu 32. (stanje i održavanje guma)—</w:t>
      </w:r>
    </w:p>
    <w:p w14:paraId="3AE878F1" w14:textId="77777777" w:rsidR="00DD69B1" w:rsidRDefault="00DD69B1" w:rsidP="00DD69B1">
      <w:pPr>
        <w:pStyle w:val="N3"/>
      </w:pPr>
      <w:r>
        <w:t>u stavku 1. –</w:t>
      </w:r>
    </w:p>
    <w:p w14:paraId="03749A2F" w14:textId="77777777" w:rsidR="00DD69B1" w:rsidRDefault="00DD69B1" w:rsidP="00DD69B1">
      <w:pPr>
        <w:pStyle w:val="N4"/>
      </w:pPr>
      <w:r>
        <w:t>riječi „podložno stavcima od 2. do 4.” zamjenjuju se riječima „podložno stavku 1.A i stavcima od 2. do 4.”;</w:t>
      </w:r>
    </w:p>
    <w:p w14:paraId="2B4BAE61" w14:textId="77777777" w:rsidR="00DD69B1" w:rsidRDefault="007442AA" w:rsidP="00DD69B1">
      <w:pPr>
        <w:pStyle w:val="N4"/>
      </w:pPr>
      <w:r>
        <w:t>u točki (g) podtočki ii. riječ „ili” na kraju se izostavlja;</w:t>
      </w:r>
    </w:p>
    <w:p w14:paraId="116D86A6" w14:textId="77777777" w:rsidR="007442AA" w:rsidRDefault="007442AA" w:rsidP="00DD69B1">
      <w:pPr>
        <w:pStyle w:val="N4"/>
      </w:pPr>
      <w:r>
        <w:lastRenderedPageBreak/>
        <w:t>nakon točke (h) umeće se sljedeći tekst—</w:t>
      </w:r>
    </w:p>
    <w:p w14:paraId="31D345C1" w14:textId="364E70A3" w:rsidR="007442AA" w:rsidRDefault="00E21C8D" w:rsidP="00E21C8D">
      <w:pPr>
        <w:pStyle w:val="LQN4"/>
      </w:pPr>
      <w:r>
        <w:tab/>
        <w:t>„i.</w:t>
      </w:r>
      <w:r>
        <w:tab/>
        <w:t>guma nije obnovljena guma i—</w:t>
      </w:r>
    </w:p>
    <w:p w14:paraId="1127C07A" w14:textId="77777777" w:rsidR="00A42AA8" w:rsidRDefault="00A42AA8" w:rsidP="00A42AA8">
      <w:pPr>
        <w:pStyle w:val="NLQN4"/>
      </w:pPr>
      <w:r>
        <w:tab/>
        <w:t>i.</w:t>
      </w:r>
      <w:r>
        <w:tab/>
        <w:t>tjedan proizvodnje označen na bočnoj strani gume u skladu s Pravilnikom UNECE-a br. 30 ili 54 pada više od 10 godina prije datuma na koji se motorno vozilo upotrebljava na cesti; ili</w:t>
      </w:r>
    </w:p>
    <w:p w14:paraId="3D0FC71C" w14:textId="0322961D" w:rsidR="00A42AA8" w:rsidRDefault="00A42AA8" w:rsidP="00A42AA8">
      <w:pPr>
        <w:pStyle w:val="NLQN4"/>
      </w:pPr>
      <w:r>
        <w:tab/>
        <w:t>ii.</w:t>
      </w:r>
      <w:r>
        <w:tab/>
        <w:t>nema oznaku tjedna proizvodnje koja je u skladu s Pravilnikom UNECE-a br. 30 ili 54 (zbog toga što je proizvedena prije početka primjene Pravilnika UNECE-a ili iz nekog drugog razloga);</w:t>
      </w:r>
    </w:p>
    <w:p w14:paraId="21565F41" w14:textId="77777777" w:rsidR="00A42AA8" w:rsidRDefault="00A42AA8" w:rsidP="00A42AA8">
      <w:pPr>
        <w:pStyle w:val="LQN4"/>
      </w:pPr>
      <w:r>
        <w:tab/>
        <w:t>(j)</w:t>
      </w:r>
      <w:r>
        <w:tab/>
        <w:t>guma je obnovljena guma i—</w:t>
      </w:r>
    </w:p>
    <w:p w14:paraId="0991118A" w14:textId="77777777" w:rsidR="00A42AA8" w:rsidRDefault="00A42AA8" w:rsidP="00A42AA8">
      <w:pPr>
        <w:pStyle w:val="NLQN4"/>
      </w:pPr>
      <w:r>
        <w:tab/>
        <w:t>i.</w:t>
      </w:r>
      <w:r>
        <w:tab/>
        <w:t>tjedan proizvodnje označen na njezinoj bočnoj strani u skladu s Pravilnikom UNECE-a br. 108 ili 109 pada više od 10 godina prije datuma na koji se motorno vozilo upotrebljava na cesti; ili</w:t>
      </w:r>
    </w:p>
    <w:p w14:paraId="1D5A9534" w14:textId="77777777" w:rsidR="00520F87" w:rsidRDefault="00520F87" w:rsidP="00520F87">
      <w:pPr>
        <w:pStyle w:val="NLQN4"/>
      </w:pPr>
      <w:r>
        <w:tab/>
        <w:t>ii.</w:t>
      </w:r>
      <w:r>
        <w:tab/>
        <w:t>nema oznaku tjedna obnavljanja koja je u skladu s Pravilnikom UNECE-a br. 108 ili 109 (zbog toga što je obnovljena prije početka primjene Pravilnika UNECE-a ili iz nekog drugog razloga); ili</w:t>
      </w:r>
    </w:p>
    <w:p w14:paraId="371ABCF7" w14:textId="1D9D5575" w:rsidR="00520F87" w:rsidRDefault="00520F87" w:rsidP="00520F87">
      <w:pPr>
        <w:pStyle w:val="LQN4"/>
      </w:pPr>
      <w:r>
        <w:tab/>
        <w:t>(k)</w:t>
      </w:r>
      <w:r>
        <w:tab/>
        <w:t>datum označen na bočnoj strani gume u skladu s Pravilnikom UNECE-a br. 30. 54, 108 ili 109 nečitljiv je.”;</w:t>
      </w:r>
    </w:p>
    <w:p w14:paraId="17D017BD" w14:textId="77777777" w:rsidR="00520F87" w:rsidRDefault="00520F87" w:rsidP="00520F87">
      <w:pPr>
        <w:pStyle w:val="N3"/>
      </w:pPr>
      <w:r>
        <w:t>nakon stavka 1. umeće se sljedeći tekst—</w:t>
      </w:r>
    </w:p>
    <w:p w14:paraId="252B767E" w14:textId="65543917" w:rsidR="00EE3061" w:rsidRDefault="00E21C8D" w:rsidP="00EE3061">
      <w:pPr>
        <w:pStyle w:val="LQN2"/>
      </w:pPr>
      <w:r>
        <w:t>„(1.A) Podložno stavku 4. točkama (a) i (ca) i ne dovodeći u pitanje bilo koju odredbu iz propisa 30.—</w:t>
      </w:r>
    </w:p>
    <w:p w14:paraId="0F6D8888" w14:textId="77777777" w:rsidR="00EE3061" w:rsidRDefault="00EE3061" w:rsidP="00EE3061">
      <w:pPr>
        <w:pStyle w:val="LQN3"/>
      </w:pPr>
      <w:r>
        <w:t>(a)</w:t>
      </w:r>
      <w:r>
        <w:tab/>
        <w:t>stavak 1. točke (i) i (j) primjenjuju se samo na gume postavljene—</w:t>
      </w:r>
    </w:p>
    <w:p w14:paraId="781B8B31" w14:textId="77777777" w:rsidR="00EE3061" w:rsidRDefault="00EE3061" w:rsidP="00EE3061">
      <w:pPr>
        <w:pStyle w:val="LQN4"/>
      </w:pPr>
      <w:r>
        <w:tab/>
        <w:t>i.</w:t>
      </w:r>
      <w:r>
        <w:tab/>
        <w:t>na prednju osovinu autobusa koji nije minibus;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  <w:t>ii.</w:t>
      </w:r>
      <w:r>
        <w:tab/>
        <w:t>u pojedinačnoj konfiguraciji na bilo kojoj osovini minibusa; ili</w:t>
      </w:r>
    </w:p>
    <w:p w14:paraId="4BC37583" w14:textId="77777777" w:rsidR="00EE3061" w:rsidRDefault="00EE3061" w:rsidP="00EE3061">
      <w:pPr>
        <w:pStyle w:val="LQN4"/>
      </w:pPr>
      <w:r>
        <w:tab/>
        <w:t>iii.</w:t>
      </w:r>
      <w:r>
        <w:tab/>
        <w:t>na prednju osovinu teretnog vozila čija najveća bruto masa premašuje 3 500 kg;</w:t>
      </w:r>
    </w:p>
    <w:p w14:paraId="247FF29E" w14:textId="77777777" w:rsidR="00EE3061" w:rsidRDefault="00EE3061" w:rsidP="00EE3061">
      <w:pPr>
        <w:pStyle w:val="LQN3"/>
      </w:pPr>
      <w:r>
        <w:t>(b)</w:t>
      </w:r>
      <w:r>
        <w:tab/>
        <w:t>u točki (a) —</w:t>
      </w:r>
    </w:p>
    <w:p w14:paraId="5B8B4A93" w14:textId="77777777" w:rsidR="00EE3061" w:rsidRPr="00F9319A" w:rsidRDefault="00EE3061" w:rsidP="00EE3061">
      <w:pPr>
        <w:pStyle w:val="LQN4"/>
      </w:pPr>
      <w:r>
        <w:tab/>
        <w:t>i.</w:t>
      </w:r>
      <w:r>
        <w:tab/>
        <w:t>„prednja osovina” znači svaka osovina ispred središnje točke šasije na kojoj kotačima upravlja upravljački sustav; i</w:t>
      </w:r>
    </w:p>
    <w:p w14:paraId="09B8C591" w14:textId="77777777" w:rsidR="00EE3061" w:rsidRDefault="00EE3061" w:rsidP="00EE3061">
      <w:pPr>
        <w:pStyle w:val="LQN4"/>
      </w:pPr>
      <w:r>
        <w:tab/>
        <w:t>ii.</w:t>
      </w:r>
      <w:r>
        <w:tab/>
        <w:t>„Pojedinačna konfiguracija” znači da je na kraju predmetne osovine postavljen najviše jedan set kotača i guma; i</w:t>
      </w:r>
    </w:p>
    <w:p w14:paraId="10800F30" w14:textId="77777777" w:rsidR="00EE3061" w:rsidRDefault="00EE3061" w:rsidP="00EE3061">
      <w:pPr>
        <w:pStyle w:val="LQN3"/>
      </w:pPr>
      <w:r>
        <w:t>(c)</w:t>
      </w:r>
      <w:r>
        <w:tab/>
        <w:t>stavak 1. točka (k) primjenjuje se samo na—</w:t>
      </w:r>
    </w:p>
    <w:p w14:paraId="1BD3712B" w14:textId="77777777" w:rsidR="00FF5A1C" w:rsidRPr="00F9319A" w:rsidRDefault="00FF5A1C" w:rsidP="00FF5A1C">
      <w:pPr>
        <w:pStyle w:val="LQN4"/>
      </w:pPr>
      <w:r>
        <w:tab/>
        <w:t>i.</w:t>
      </w:r>
      <w:r>
        <w:tab/>
        <w:t>autobuse (uključujući minibuse); i</w:t>
      </w:r>
    </w:p>
    <w:p w14:paraId="19A93219" w14:textId="001A4982" w:rsidR="00FF5A1C" w:rsidRDefault="00FF5A1C" w:rsidP="00FF5A1C">
      <w:pPr>
        <w:pStyle w:val="LQN4"/>
      </w:pPr>
      <w:r>
        <w:tab/>
        <w:t>ii.</w:t>
      </w:r>
      <w:r>
        <w:tab/>
        <w:t>teretna vozila čija najveća bruto težina premašuje 3 500 kg.;</w:t>
      </w:r>
    </w:p>
    <w:p w14:paraId="0AF3BAC2" w14:textId="77777777" w:rsidR="00FF5A1C" w:rsidRDefault="00FF5A1C" w:rsidP="00FF5A1C">
      <w:pPr>
        <w:pStyle w:val="N3"/>
      </w:pPr>
      <w:r>
        <w:t>u stavku 4.—</w:t>
      </w:r>
    </w:p>
    <w:p w14:paraId="43505781" w14:textId="77777777" w:rsidR="00426F4F" w:rsidRDefault="00426F4F" w:rsidP="00426F4F">
      <w:pPr>
        <w:pStyle w:val="N4"/>
      </w:pPr>
      <w:r>
        <w:t>u točki (a) nakon riječi „stavka 1. točke (a) do (g)” umeću se riječi „i (i) do (k)”;</w:t>
      </w:r>
    </w:p>
    <w:p w14:paraId="7C39BE16" w14:textId="77777777" w:rsidR="00426F4F" w:rsidRDefault="00426F4F" w:rsidP="00426F4F">
      <w:pPr>
        <w:pStyle w:val="N4"/>
      </w:pPr>
      <w:r>
        <w:t>nakon podstavka (c) umeće se sljedeći tekst—</w:t>
      </w:r>
    </w:p>
    <w:p w14:paraId="4E3E441C" w14:textId="3789445E" w:rsidR="00426F4F" w:rsidRDefault="00E21C8D" w:rsidP="00426F4F">
      <w:pPr>
        <w:pStyle w:val="LQN3"/>
      </w:pPr>
      <w:r>
        <w:t>„(ca)</w:t>
      </w:r>
      <w:r>
        <w:tab/>
        <w:t>Nijedna odredba stavka 1. točaka od (i) do (k) ne primjenjuje se na vozilo od povijesnog interesa koje se upotrebljava u nekomercijalne svrhe; u tu svrhu ‚vozilo od povijesnog interesa’ znači vozilo za koje Ministarstvo smatra da je od povijesnog interesa za Sjevernu Irsku i koje ispunjava sljedeće zahtjeve:</w:t>
      </w:r>
    </w:p>
    <w:p w14:paraId="45C7B239" w14:textId="77777777" w:rsidR="00A213F5" w:rsidRDefault="00A213F5" w:rsidP="00A213F5">
      <w:pPr>
        <w:pStyle w:val="LQN4"/>
      </w:pPr>
      <w:r>
        <w:tab/>
        <w:t>i.</w:t>
      </w:r>
      <w:r>
        <w:tab/>
        <w:t>prvi je put proizvedeno ili registrirano prije barem 40 godina;</w:t>
      </w:r>
    </w:p>
    <w:p w14:paraId="190D1C8F" w14:textId="77777777" w:rsidR="00A213F5" w:rsidRDefault="00A213F5" w:rsidP="00A213F5">
      <w:pPr>
        <w:pStyle w:val="LQN4"/>
      </w:pPr>
      <w:r>
        <w:tab/>
        <w:t>ii.</w:t>
      </w:r>
      <w:r>
        <w:tab/>
        <w:t>Tipa je koji se više ne proizvodi; i</w:t>
      </w:r>
    </w:p>
    <w:p w14:paraId="270D6A59" w14:textId="77777777" w:rsidR="00A213F5" w:rsidRDefault="00A213F5" w:rsidP="00A213F5">
      <w:pPr>
        <w:pStyle w:val="LQN4"/>
      </w:pPr>
      <w:r>
        <w:tab/>
        <w:t>iii.</w:t>
      </w:r>
      <w:r>
        <w:tab/>
        <w:t>povijesno je očuvano ili održavano u svojem izvornom stanju i nije doživjelo značajne promjene u tehničkim značajkama svojih glavnih sastavnih dijelova,</w:t>
      </w:r>
    </w:p>
    <w:p w14:paraId="48B5AE59" w14:textId="56DE3A66" w:rsidR="00A213F5" w:rsidRDefault="00A213F5" w:rsidP="00A213F5">
      <w:pPr>
        <w:pStyle w:val="LQT2"/>
      </w:pPr>
      <w:r>
        <w:t xml:space="preserve">pri čemu ‚tip‚’ u odnosu na vozilo ima isto značenje kao ‚tip vozila’ u članku 3. stavku 32. Uredbe (EU) 2018/858 Europskog parlamenta i Vijeća od 30. svibnja 2018. o homologaciji i </w:t>
      </w:r>
      <w:r>
        <w:lastRenderedPageBreak/>
        <w:t>nadzoru tržišta motornih vozila i njihovih prikolica te sustavâ, sastavnih dijelova i zasebnih tehničkih jedinica namijenjenih za takva vozila (</w:t>
      </w:r>
      <w:r>
        <w:rPr>
          <w:rStyle w:val="FootnoteReference"/>
        </w:rPr>
        <w:footnoteReference w:id="6"/>
      </w:r>
      <w:r>
        <w:t>);”; i</w:t>
      </w:r>
    </w:p>
    <w:p w14:paraId="7CEE7A40" w14:textId="77777777" w:rsidR="00A213F5" w:rsidRDefault="00A213F5" w:rsidP="00A213F5">
      <w:pPr>
        <w:pStyle w:val="N3"/>
      </w:pPr>
      <w:r>
        <w:t>u stavku 6. točki (a) u definiciji „originalnog uzorka gaznog sloja” za „obnovljenu” na oba mjesta na kojima se pojavljuje, riječ je o zamjeni riječi „obnovljenu”.</w:t>
      </w:r>
    </w:p>
    <w:p w14:paraId="63D4D4FF" w14:textId="77777777" w:rsidR="004800DA" w:rsidRDefault="004800DA" w:rsidP="004800DA">
      <w:pPr>
        <w:pStyle w:val="N2"/>
      </w:pPr>
      <w:r>
        <w:t>U tablici 2. Priloga 1. (Pravilnici UNECE-a), nakon unosa koji se odnosi na točku 44. umeće se sljedeći tekst—</w:t>
      </w:r>
    </w:p>
    <w:p w14:paraId="76FC1C44" w14:textId="77777777" w:rsidR="00A42AA8" w:rsidRDefault="00A42AA8" w:rsidP="001D0E3C">
      <w:pPr>
        <w:pStyle w:val="linespace"/>
      </w:pPr>
    </w:p>
    <w:tbl>
      <w:tblPr>
        <w:tblW w:w="88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413"/>
        <w:gridCol w:w="1233"/>
        <w:gridCol w:w="1233"/>
      </w:tblGrid>
      <w:tr w:rsidR="001D0E3C" w:rsidRPr="001D0E3C" w14:paraId="342E504E" w14:textId="77777777" w:rsidTr="00015E5E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„45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Obnovljene gume za osobna vozila i njihove prikolice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015E5E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Obnovljene gume za gospodarska vozila i njihove prikolice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>Zapečaćeno službenim pečatom Ministarstva infrastrukture xx xxxxx 2023.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Viši službenik Ministarstva infrastrukture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NAPOMENA S OBJAŠNJENJIMA</w:t>
      </w:r>
    </w:p>
    <w:p w14:paraId="2D3DC66A" w14:textId="3ED882CF" w:rsidR="00040058" w:rsidRDefault="00040058" w:rsidP="00040058">
      <w:pPr>
        <w:pStyle w:val="XNotenote"/>
      </w:pPr>
      <w:r>
        <w:t>(Ova napomena nije dio Propisa)</w:t>
      </w:r>
    </w:p>
    <w:p w14:paraId="35F194C5" w14:textId="2CB6F34C" w:rsidR="00040058" w:rsidRDefault="00040058" w:rsidP="00040058">
      <w:pPr>
        <w:pStyle w:val="T1"/>
      </w:pPr>
      <w:r>
        <w:t>Ovim se Propisima izmjenjuju Propisi o motornim vozilima (konstrukcija i uporaba) (Sjeverna Irska) iz 1999. kako bi se unijele odredbe o starosti guma (uključujući obnovljene gume) i čitljivosti oznaka datuma na gumama koje su dopuštene za uporabu u autobusima (uključujući minibuse) i teretnim vozilima čija najveća bruto masa premašuje 3 500 kg. Propisima se također izmjenjuje tablica 2. Priloga 1. Propisima iz 1999. kako bi se uključile odredbe koje se odnose na obnovljene gume u pravilnicima br. 108 i 109. UNECE-a. Ovim će se Propisima predvidjeti izuzeće za vozila od povijesnog interesa pod uvjetom da se ne upotrebljavaju u komercijalne svrhe.</w:t>
      </w:r>
    </w:p>
    <w:p w14:paraId="0FE50F41" w14:textId="77777777" w:rsidR="006D38F1" w:rsidRDefault="006D38F1" w:rsidP="00040058">
      <w:pPr>
        <w:pStyle w:val="T1"/>
      </w:pPr>
      <w:r>
        <w:t xml:space="preserve">Ovi su Propisi priopćeni Europskoj komisiji u skladu s Direktivom (EU) 2015/1535 Europskog parlamenta i Vijeća od 9. rujna 2015. (SL br. L241, 17.9.2015., str. 1.) pod brojem obavijesti </w:t>
      </w:r>
      <w:r>
        <w:rPr>
          <w:color w:val="FF0000"/>
        </w:rPr>
        <w:t xml:space="preserve">xxxxxxxx. </w:t>
      </w:r>
      <w:r>
        <w:t xml:space="preserve">Tijekom tromjesečnog razdoblja mirovanja nije podnesena nijedna primjedba. Direktiva je dostupna na internetu na mrežnom mjestu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</w:t>
      </w:r>
    </w:p>
    <w:p w14:paraId="6186E13D" w14:textId="77777777" w:rsidR="00755802" w:rsidRDefault="00755802" w:rsidP="00040058">
      <w:pPr>
        <w:pStyle w:val="T1"/>
      </w:pPr>
      <w:r>
        <w:t xml:space="preserve">Pravilnike UNECE-a izdaje Gospodarska komisija Ujedinjenih naroda za Europu. Primjerci pravilnika UNECE-a iz ovih Propisa dostupni su na mrežnom mjestu UNECE-a: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>. Primjerci se također mogu dobiti od Jedinice za vozila Odjela za sigurno i dostupno putovanje Ministarstva infrastrukture, Clarence Court, 10-18 Adelaide Street, Town Parks, Belfast BT2 8GB (e-pošta: vehicle.standards@infrastructure-ni.gov.uk</w:t>
      </w:r>
    </w:p>
    <w:p w14:paraId="0E7BDCF2" w14:textId="77777777" w:rsidR="0083627D" w:rsidRPr="00095513" w:rsidRDefault="0083627D" w:rsidP="0083627D">
      <w:pPr>
        <w:pStyle w:val="T1"/>
      </w:pPr>
      <w:r>
        <w:t xml:space="preserve">Sastavljeni su procjena regulatornog učinka i memorandum s objašnjenjima, koji su dostupni u Jedinici za vozila na prethodno navedenoj adresi ili na internetu, zajedno s ovim Zakonskim pravilom, na poveznici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Nekadašnje Ministarstvo regionalnog razvoja; vidjeti članak 1. stavke 6. i 11. i Prilog 1. Zakonu o ministarstvima (Sjeverna Irska) iz 2016. (2016. poglavlje 5. (N.I.)). U skladu s člankom 1. stavkom 9. navedenog Zakona, ukida se Ministarstvo zaštite okoliša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Z.I. 1995/2994 (S.I. 18); Članak 55. izmijenjen je člankom 42. stavkom 1. Odluke o cestovnom prometu (Sjeverna Irska) iz 2007. (Z.I. 2007/916 (S.I. 10))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</w:rPr>
        <w:t xml:space="preserve">Vidjeti </w:t>
      </w:r>
      <w:r>
        <w:t>članak 8. stavak 1. točku (b) i dio 2. Priloga 5. Odluci o ministarstvima (Prijenos funkcija) (Sjeverna Irska) iz 2016. (Zakonska pravila iz 2016. br. 76)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Zakonska pravila iz 1999. br. 454; relevantni Propisi o izmjenama jesu Z.P. iz 2011. br. 20, Z.P. iz 2011. br. 303 i Z.P. iz 2016. br. 160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SL L 151, 14.6.2018., str. 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Drugi nacrt iz travnja 2023. – kako ga je odobrio DSO 6/4/23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15E5E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hr-HR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hr-HR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275</TotalTime>
  <Pages>4</Pages>
  <Words>1101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