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46"/>
        <w:gridCol w:w="790"/>
        <w:gridCol w:w="1217"/>
      </w:tblGrid>
      <w:tr w:rsidR="005C2641" w:rsidRPr="00C32FE3" w14:paraId="06BA75C1" w14:textId="77777777" w:rsidTr="000B28D3">
        <w:trPr>
          <w:cantSplit/>
          <w:trHeight w:val="294"/>
        </w:trPr>
        <w:tc>
          <w:tcPr>
            <w:tcW w:w="3253" w:type="dxa"/>
            <w:gridSpan w:val="3"/>
          </w:tcPr>
          <w:p w14:paraId="0380FEC5" w14:textId="77777777" w:rsidR="005C2641" w:rsidRPr="00C32FE3" w:rsidRDefault="005C2641" w:rsidP="00C13834">
            <w:pPr>
              <w:pStyle w:val="SNREPUBLIQUE"/>
            </w:pPr>
            <w:r>
              <w:t>FRANCOUZSKÁ REPUBLIKA</w:t>
            </w:r>
          </w:p>
        </w:tc>
      </w:tr>
      <w:tr w:rsidR="005C2641" w:rsidRPr="00C32FE3" w14:paraId="60AB21EC" w14:textId="77777777" w:rsidTr="000B28D3">
        <w:trPr>
          <w:cantSplit/>
          <w:trHeight w:hRule="exact" w:val="115"/>
        </w:trPr>
        <w:tc>
          <w:tcPr>
            <w:tcW w:w="1246" w:type="dxa"/>
          </w:tcPr>
          <w:p w14:paraId="3A442AB4" w14:textId="77777777" w:rsidR="005C2641" w:rsidRPr="00C32FE3" w:rsidRDefault="005C2641" w:rsidP="00C13834"/>
        </w:tc>
        <w:tc>
          <w:tcPr>
            <w:tcW w:w="790" w:type="dxa"/>
            <w:tcBorders>
              <w:bottom w:val="single" w:sz="1" w:space="0" w:color="000000"/>
            </w:tcBorders>
          </w:tcPr>
          <w:p w14:paraId="64272111" w14:textId="77777777" w:rsidR="005C2641" w:rsidRPr="00C32FE3" w:rsidRDefault="005C2641" w:rsidP="00C13834"/>
        </w:tc>
        <w:tc>
          <w:tcPr>
            <w:tcW w:w="1217" w:type="dxa"/>
          </w:tcPr>
          <w:p w14:paraId="4C2C75AC" w14:textId="77777777" w:rsidR="005C2641" w:rsidRPr="00C32FE3" w:rsidRDefault="005C2641" w:rsidP="00C13834"/>
        </w:tc>
      </w:tr>
      <w:tr w:rsidR="005C2641" w:rsidRPr="00C32FE3" w14:paraId="61593BD7" w14:textId="77777777" w:rsidTr="000B28D3">
        <w:trPr>
          <w:cantSplit/>
          <w:trHeight w:val="831"/>
        </w:trPr>
        <w:tc>
          <w:tcPr>
            <w:tcW w:w="3253" w:type="dxa"/>
            <w:gridSpan w:val="3"/>
          </w:tcPr>
          <w:p w14:paraId="20413DCB" w14:textId="77777777" w:rsidR="005C2641" w:rsidRDefault="005C2641" w:rsidP="00C13834">
            <w:pPr>
              <w:pStyle w:val="SNTimbre"/>
            </w:pPr>
            <w:r>
              <w:t>Ministerstvo pro ekologickou transformaci</w:t>
            </w:r>
          </w:p>
          <w:p w14:paraId="01EC4D2C" w14:textId="77777777" w:rsidR="005C2641" w:rsidRPr="00C32FE3" w:rsidRDefault="005C2641" w:rsidP="00C13834">
            <w:pPr>
              <w:pStyle w:val="SNTimbre"/>
            </w:pPr>
            <w:r>
              <w:t>Bydlení</w:t>
            </w:r>
          </w:p>
        </w:tc>
      </w:tr>
      <w:tr w:rsidR="005C2641" w:rsidRPr="00C32FE3" w14:paraId="22B0EA09" w14:textId="77777777" w:rsidTr="000B28D3">
        <w:trPr>
          <w:cantSplit/>
          <w:trHeight w:hRule="exact" w:val="233"/>
        </w:trPr>
        <w:tc>
          <w:tcPr>
            <w:tcW w:w="1246" w:type="dxa"/>
          </w:tcPr>
          <w:p w14:paraId="3759A36A" w14:textId="77777777" w:rsidR="005C2641" w:rsidRPr="00C32FE3" w:rsidRDefault="005C2641" w:rsidP="00C13834"/>
        </w:tc>
        <w:tc>
          <w:tcPr>
            <w:tcW w:w="790" w:type="dxa"/>
            <w:tcBorders>
              <w:bottom w:val="single" w:sz="1" w:space="0" w:color="000000"/>
            </w:tcBorders>
          </w:tcPr>
          <w:p w14:paraId="04DEF11A" w14:textId="77777777" w:rsidR="005C2641" w:rsidRPr="00C32FE3" w:rsidRDefault="005C2641" w:rsidP="00C13834"/>
        </w:tc>
        <w:tc>
          <w:tcPr>
            <w:tcW w:w="1217" w:type="dxa"/>
          </w:tcPr>
          <w:p w14:paraId="77D432E1" w14:textId="77777777" w:rsidR="005C2641" w:rsidRPr="00C32FE3" w:rsidRDefault="005C2641" w:rsidP="00C13834"/>
        </w:tc>
      </w:tr>
      <w:tr w:rsidR="005C2641" w:rsidRPr="00C32FE3" w14:paraId="3B71A753" w14:textId="77777777" w:rsidTr="000B28D3">
        <w:trPr>
          <w:cantSplit/>
          <w:trHeight w:hRule="exact" w:val="233"/>
        </w:trPr>
        <w:tc>
          <w:tcPr>
            <w:tcW w:w="1246" w:type="dxa"/>
          </w:tcPr>
          <w:p w14:paraId="780F1E54" w14:textId="77777777" w:rsidR="005C2641" w:rsidRPr="00C32FE3" w:rsidRDefault="005C2641" w:rsidP="00C13834"/>
        </w:tc>
        <w:tc>
          <w:tcPr>
            <w:tcW w:w="790" w:type="dxa"/>
          </w:tcPr>
          <w:p w14:paraId="770B6C28" w14:textId="77777777" w:rsidR="005C2641" w:rsidRPr="00C32FE3" w:rsidRDefault="005C2641" w:rsidP="00C13834"/>
        </w:tc>
        <w:tc>
          <w:tcPr>
            <w:tcW w:w="1217"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Vyhláška ze dne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o environmentálním prohlášení výrobků určených k použití ve stavebních pracích a o environmentálním prohlášení výrobků používaných pro výpočet vlivu budov na životní prostředí</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Dotčená veřejnost:</w:t>
      </w:r>
      <w:r>
        <w:rPr>
          <w:rFonts w:ascii="Times New Roman" w:hAnsi="Times New Roman"/>
          <w:i/>
          <w:sz w:val="24"/>
        </w:rPr>
        <w:t xml:space="preserve"> dotčení žadatelé o registraci, pokud jde o stavební a dekorační výrobky, jakož i elektrická, elektronická a klimatická technická zařízení, kterých se používá pro výpočet environmentálního profilu budov.</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Účel:</w:t>
      </w:r>
      <w:r>
        <w:rPr>
          <w:rFonts w:ascii="Times New Roman" w:hAnsi="Times New Roman"/>
          <w:i/>
          <w:sz w:val="24"/>
        </w:rPr>
        <w:t xml:space="preserve"> specifikovat použití článků R. 412-49 až R. 412-57 zákoníku o spotřebitelích a článků R. 111-20-24 až R.111-20-30 zákoníku o výstavbě a bydlení.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 xml:space="preserve">Vstup v platnost: </w:t>
      </w:r>
      <w:r>
        <w:rPr>
          <w:rFonts w:ascii="Times New Roman" w:hAnsi="Times New Roman"/>
          <w:i/>
          <w:sz w:val="24"/>
        </w:rPr>
        <w:t>text vstupuje v platnost 1. ledna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Poznámka:</w:t>
      </w:r>
      <w:r>
        <w:rPr>
          <w:rFonts w:ascii="Times New Roman" w:hAnsi="Times New Roman"/>
          <w:i/>
          <w:sz w:val="24"/>
        </w:rPr>
        <w:t xml:space="preserve"> účelem vyhlášky je specifikovat použití článků R. 412-49 až R. 412-57 zákoníku o spotřebitelích a článků R. 111-20-24 až R. 111-20-30 zákoníku o výstavbě a bydlení.</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Vyhláškou se stanoví:</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obsah environmentálních prohlášení stavebních a dekoračních výrobků a elektrických, elektronických a klimatizačních zařízení určených k použití při stavebních pracích a environmentálních prohlášení stavebních a dekoračních výrobků, jakož i elektrických, elektronických a klimatizačních technických zařízení, kterých se používá pro výpočet environmentálního profilu budov;</w:t>
      </w:r>
    </w:p>
    <w:p w14:paraId="25B1EABC" w14:textId="5C276BD0" w:rsidR="00770B24" w:rsidRPr="0008192D" w:rsidRDefault="0008192D" w:rsidP="0008192D">
      <w:pPr>
        <w:ind w:left="708"/>
        <w:jc w:val="both"/>
        <w:rPr>
          <w:rFonts w:ascii="Times New Roman" w:hAnsi="Times New Roman" w:cs="Times New Roman"/>
          <w:i/>
          <w:sz w:val="24"/>
          <w:szCs w:val="24"/>
        </w:rPr>
      </w:pPr>
      <w:r>
        <w:rPr>
          <w:rFonts w:ascii="Times New Roman" w:hAnsi="Times New Roman"/>
          <w:i/>
          <w:sz w:val="24"/>
        </w:rPr>
        <w:t xml:space="preserve">— </w:t>
      </w:r>
      <w:r w:rsidRPr="0008192D">
        <w:rPr>
          <w:rFonts w:ascii="Times New Roman" w:hAnsi="Times New Roman"/>
          <w:i/>
          <w:sz w:val="24"/>
        </w:rPr>
        <w:t xml:space="preserve"> </w:t>
      </w:r>
      <w:r w:rsidR="00E04C22" w:rsidRPr="0008192D">
        <w:rPr>
          <w:rFonts w:ascii="Times New Roman" w:hAnsi="Times New Roman"/>
          <w:i/>
          <w:sz w:val="24"/>
        </w:rPr>
        <w:t>metodika posuzování a výpočtu informací obsažených v environmentálním prohlášení;</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veškeré podpůrné důkazy o informacích obsažených v environmentálním prohlášení, které mají být zpřístupněny pro program environmentálních prohlášení a pro kontrolní orgány nebo jejich zástupce;</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adresa databáze (databází), na které jsou environmentální prohlášení uvedená v R. 111-20-25 zákoníku o výstavbě a bydlení zpřístupněna veřejnosti;</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podmínky pro vypracování kolektivních environmentálních prohlášení týkajících se stavebních nebo dekoračních výrobků nebo zařízení několika žadateli o registraci;</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podmínky pro vypracování konfigurovatelných prohlášení týkající se stavebních nebo dekoračních výrobků nebo zařízení.</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lastRenderedPageBreak/>
        <w:t>Odkazy:</w:t>
      </w:r>
      <w:r>
        <w:rPr>
          <w:rFonts w:ascii="Times New Roman" w:hAnsi="Times New Roman"/>
          <w:i/>
          <w:sz w:val="24"/>
        </w:rPr>
        <w:t xml:space="preserve"> Texty vytvořené nebo upravené na základě této vyhlášky jsou k dispozici k nahlédnutí, ve znění vyplývajícím z této změny, na internetových stránkách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Ministr pro ekologickou transformaci, náměstek ministra pro bydlení, při ministru pro ekologickou transformaci,</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s ohledem na směrnici Evropského parlamentu a Rady (EU) 2015/1535 ze dne 9. září 2015 o postupu při poskytování informací v oblasti technických předpisů a předpisů pro služby informační společnosti (kodifikované znění), a zejména na oznámení č. </w:t>
      </w:r>
      <w:r>
        <w:rPr>
          <w:rFonts w:ascii="Times New Roman" w:hAnsi="Times New Roman"/>
          <w:sz w:val="24"/>
          <w:highlight w:val="yellow"/>
          <w:shd w:val="clear" w:color="auto" w:fill="FFFFFF"/>
        </w:rPr>
        <w:t>rok/XXX/F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s ohledem na zákoník o spotřebitelích, zejména články L. 412-1 a R. 412-49 až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s ohledem na zákoník o výstavbě a bydlení, zejména na články L. 111-9-2 a R. 111-20-24 až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s ohledem na připomínky učiněné během veřejné konzultace provedené od </w:t>
      </w:r>
      <w:r>
        <w:rPr>
          <w:rFonts w:ascii="Times New Roman" w:hAnsi="Times New Roman"/>
          <w:sz w:val="24"/>
          <w:highlight w:val="yellow"/>
        </w:rPr>
        <w:t xml:space="preserve">[...] </w:t>
      </w:r>
      <w:r>
        <w:rPr>
          <w:rFonts w:ascii="Times New Roman" w:hAnsi="Times New Roman"/>
          <w:sz w:val="24"/>
        </w:rPr>
        <w:t xml:space="preserve">do </w:t>
      </w:r>
      <w:r>
        <w:rPr>
          <w:rFonts w:ascii="Times New Roman" w:hAnsi="Times New Roman"/>
          <w:sz w:val="24"/>
          <w:highlight w:val="yellow"/>
        </w:rPr>
        <w:t>[...]</w:t>
      </w:r>
      <w:r>
        <w:rPr>
          <w:rFonts w:ascii="Times New Roman" w:hAnsi="Times New Roman"/>
          <w:sz w:val="24"/>
        </w:rPr>
        <w:t>, podle článku L. 120-1 zákoníku životního prostředí;</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s ohledem na stanovisko Vrchní rady pro stavebnictví a energetickou účinnost ze dne 13. dubna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se tímto nařizuje:</w:t>
      </w:r>
    </w:p>
    <w:p w14:paraId="36B5C6AB" w14:textId="5A8F9966" w:rsidR="008F5FB3" w:rsidRPr="005D260E" w:rsidRDefault="008F5FB3" w:rsidP="007F6637">
      <w:pPr>
        <w:pStyle w:val="Titre2FDES"/>
      </w:pPr>
      <w:r>
        <w:t>Článek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(Definice)</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Pro účely této vyhlášky jsou následující výrazy definovány takto: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„ukazatel“: kvantifikovatelná hodnota vztahující se k environmentálním aspektům; </w:t>
      </w:r>
    </w:p>
    <w:p w14:paraId="7CB46E4F" w14:textId="4E4C0FD1" w:rsidR="008F5FB3" w:rsidRPr="005D260E" w:rsidRDefault="00CF19F7" w:rsidP="00CD009F">
      <w:pPr>
        <w:pStyle w:val="NormalWeb"/>
        <w:jc w:val="both"/>
      </w:pPr>
      <w:r>
        <w:t xml:space="preserve">výraz „žadatel o registraci“ se chápe ve smyslu „odpovědný za uvedení na trh“ v článku R. 412-49 zákoníku o spotřebitelích nebo se jím rozumí výraz „žadatel o registraci“ ve smyslu článku R. 111-20-24 zákoníku o výstavbě a bydlení;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„funkční jednotka“: kvantifikované vlastnosti systému výrobků určených k použití jako referenční jednotky v analýze životního cyklu;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„deklarovaná jednotka“: množství kusů zařízení, případně stavebního nebo dekorativního výrobku, které má být kromě funkční jednotky použito jako referenční jednotka při analýze životního cyklu;</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„referenční životnost stavebního nebo dekoračního výrobku nebo zařízení“: životnost, kterou lze očekávat v případě stavebního nebo dekoračního výrobku nebo zařízení podle souboru referenčních podmínek použití a která může sloužit jako základ pro odhad životnosti za jiných podmínek použití;</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lastRenderedPageBreak/>
        <w:t>„doplňkový výrobek“: obecný pojem pro označení jakéhokoli výrobku, který musí být nutně spojen se stavebním nebo dekoračním výrobkem nebo s hlavním zařízením během každé etapy provádění a životnosti v provozu;</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„konfigurovatelné prohlášení“: environmentální prohlášení doprovázené pravidly, která umožňují přizpůsobení informací v něm uvedených, aby odpovídaly konkrétnímu výrobku a počítačovému nástroji, jenž umožňuje použití těchto pravidel;</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V následujících článcích se výrazem „výrobek“ rozumí „stavební výrobky“, „dekorační výrobky“ a „elektrická, elektronická a klimatizační technická zařízení“, jak jsou definována v článku R. 111-20-24 zákoníku o výstavbě a bydlení.</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Článek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(Oblast působnosti)</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Ustanovení této vyhlášky se vztahují na výrobky uvedené v článku R. 412-50 zákoníku o spotřebitelích a v článku R. 111-20-24 zákoníku o výstavbě a bydlení.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Článek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(Obsah environmentálního prohlášení)</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Environmentální prohlášení uvedené v článku R. 412-51 zákoníku o spotřebitelích a v článku R. 111-20-25 zákoníku o výstavbě a bydlení obsahuje tyto informace: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Hodnoty pro fázi výroby, fázi výstavby, fázi užívání, fázi ukončení životnosti a souhrn těchto fází v případě následujících ukazatelů: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popis vlivů na životní prostředí: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globální oteplování (emise skleníkových plynů);</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vyčerpání ozonové vrstvy;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okyselování půdy a vody;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eutrofizace;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fotochemická tvorba ozonu;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vyčerpání abiotických zdrojů – prvků;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vyčerpání abiotických zdrojů – fosilních paliv;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popis využití zdrojů: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využívání obnovitelné primární energie, s výjimkou obnovitelných zdrojů primární energie používaných jako suroviny;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využívání obnovitelných primárních zdrojů energie používaných jako suroviny;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celkové využívání obnovitelných zdrojů primární energie (primární energie a primární zdroje energie používané jako suroviny);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využívání neobnovitelné primární energie, s výjimkou neobnovitelných primárních zdrojů energie používaných jako suroviny;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využívání neobnovitelných zdrojů primární energie používaných jako suroviny;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celkové využívání neobnovitelných primárních zdrojů energie (primární energie a primární zdroje energie používané jako suroviny);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použití druhotného materiálu;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použití obnovitelných sekundárních paliv;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použití neobnovitelných sekundárních paliv;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netto využití sladké vody.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popis kategorií odpadů: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zneškodněný nebezpečný odpad;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zneškodněný odpad, který není nebezpečný;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radioaktivní odpad zneškodněný;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popis odchozích toků: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součásti určené k opětovnému použití;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materiály určené k recyklaci;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materiály určené k energetickému využití;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energie dodávaná do exteriéru.</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Od 1. ledna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Použití materiálů z obnovitelných zdrojů zahrnutých do výrobku prostřednictvím ukazatele množství uhlíku z atmosféry uloženého ve stavebním nebo dekoračním výrobku;</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Hodnoty ukazatelů uvedených v bodě 1. pro každou z dílčích fází fáze používání, tj. v těchto dílčích fázích: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využívání nebo použití, s výjimkou požadavků na energii a vodu v provozní fázi budovy;</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lastRenderedPageBreak/>
        <w:t>údržba;</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oprava;</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nahrazení;</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obnova;</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využívání energie během použití;</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využívání vody během použití.</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 případě environmentálního prohlášení ovlivněného požadavky článku 9 této vyhlášky rozsahy změn (maximální a minimální hodnoty) kontrolních ukazatelů definovaných v článku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U environmentálních prohlášení ověřených od 1. října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Použití materiálů z obnovitelných zdrojů začleněných do výrobku vyjádřeného ukazatelem množství uhlíku z atmosféry uloženého v zařízení;</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Hodnoty ukazatelů týkajících se výhod a poplatků souvisejících s obnovou na konci životnosti.</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Od 1. ledna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Hodnoty ukazatelů týkajících se výhod a poplatků souvisejících s obnovou na konci životnosti.</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Funkční jednotku nebo deklarovanou jednotku výrobku;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Referenční životnost výrobku;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Popis výrobků tvořících funkční jednotku nebo deklarovanou jednotku (množství hlavního výrobku, množství obalů, množství doplňkových výrobků souvisejících s prováděním nebo životností v praxi);</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Definice výrobku;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Tyto informace o výrobku, na který se vztahuje environmentální prohlášení: skupina, popis nebo obchodní označení, název (názvy) nebo označení žadatele o registraci;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Datum environmentálního prohlášení;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Osvědčení o ověření a kontaktní údaje auditora, který provedl nezávislé ověření třetí strany podle článku R. 412-55 kodexu spotřebitelů a článku R. 111-20-27 kodexu o výstavbě a bydlení;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Údaje o žadateli o registraci;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Adresa internetové stránky, kde jsou tyto informace k dispozici zdarma.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Článek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(Poskytnutí podpůrných důkazů žadatelem o registraci)</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Pro program environmentálních prohlášení a pro správní orgány odpovědné za kontroly nebo jejich zástupce žadatel o registraci uchovává k dispozici všechny položky nebo kontaktní údaje fyzických nebo právnických osob, které mají tyto věci v držení, aby odůvodnily informace </w:t>
      </w:r>
      <w:r>
        <w:rPr>
          <w:rFonts w:ascii="Times New Roman" w:hAnsi="Times New Roman"/>
          <w:sz w:val="24"/>
        </w:rPr>
        <w:lastRenderedPageBreak/>
        <w:t xml:space="preserve">obsažené v environmentálním prohlášení, zejména: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původ surovin, materiálů a součástí výrobku;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identifikaci vstupů, které nejsou zahrnuty do inventury životního cyklu v souladu s pravidlem vymezení;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celkovou hmotnost vstupů nezahrnutých do inventury životního cyklu v důsledku pravidla vymezení;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výsledky výpočtů inventury;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podklady pro referenční životnost výrobku;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v případě, že musí být použity obecné údaje pocházející z veřejných nebo soukromých databází, dokumentace týkající se toho, jak jsou použité obecné údaje technologicky, zeměpisně a časově reprezentativní, odkazy na databáze, z nichž pocházejí, a odkazy na použité datové moduly;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scénáře, na nichž je inventura životního cyklu založena;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místo produkce, na které se vztahuje environmentální prohlášení;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výrobu každé lokality vyjádřenou jednotkou množství definovanou ve funkční jednotce;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je-li použita metoda odběru vzorků, důkaz, že použitý vzorek je reprezentativní zejména z zeměpisného, časového a technologického hlediska produkce výrobku;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základní prvky rámce platnosti environmentálních prohlášení, kterých se týkají požadavky článku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Základní prvky konfigurovatelného prohlášení uvedeného v článku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Článek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(Jednotky)</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Formáty funkčních jednotek pro každou kategorii stavebních nebo dekoračních výrobků jsou definovány v příloze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Formáty funkčních jednotek nebo jednotek deklarovaných pro zařízení jsou definovány v příloze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Článek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(Metody hodnocení a výpočtu)</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Metody hodnocení a výpočtu údajů uvedených v článku 3, a zejména ukazatele, podléhají všem </w:t>
      </w:r>
      <w:r>
        <w:rPr>
          <w:rFonts w:ascii="Times New Roman" w:hAnsi="Times New Roman"/>
          <w:sz w:val="24"/>
        </w:rPr>
        <w:lastRenderedPageBreak/>
        <w:t>těmto podmínkám:</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nevedou k vynechání procesů představujících celkem více než 5 % hodnoty každé z uvedených údajů;</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při výpočtu uvedených informací nevedou k tomu, že se pro výrobek, na který se vztahuje environmentální prohlášení, poskytnou výhody poskytované jiným výrobkům, s výjimkou ukazatelů týkajících se výhod a poplatků souvisejících s obnovou po skončení životnosti;</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splňují normu NF EN 15804 + A1: 2014-04 nebo </w:t>
      </w:r>
      <w:r>
        <w:rPr>
          <w:rFonts w:ascii="Times New Roman" w:hAnsi="Times New Roman"/>
          <w:sz w:val="24"/>
          <w:shd w:val="clear" w:color="auto" w:fill="FFFFFF"/>
        </w:rPr>
        <w:t>normu XP C08-100-1: 2016-12 nebo normu EN 50693: 2019-08 nebo jakoukoli rovnocennou normu;</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musí být v souladu s metodou výpočtu posouzení zisků a nákladů souvisejících s obnovou po skončení životnosti, jak je definováno v příloze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U environmentálních prohlášení ověřených počínaje dnem 1. října 2022 navíc v případě, že se environmentální prohlášení vztahuje na různé způsoby instalace výrobku, který je jeho předmětem, jsou metody hodnocení a výpočtu uvedených údajů v souladu s těmito pravidly:</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kontrolní ukazatele uvedené níže jsou hodnoceny pro každou z těchto režimů instalace: </w:t>
      </w:r>
      <w:r>
        <w:rPr>
          <w:rFonts w:ascii="Times New Roman" w:hAnsi="Times New Roman"/>
          <w:snapToGrid w:val="0"/>
          <w:sz w:val="24"/>
        </w:rPr>
        <w:t>celkové globální oteplování, celkové neobnovitelné využití primární energie, zlikvidovaný odpad, který není nebezpečný;</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u každého z těchto kontrolních ukazatelů se maximální hodnota získaná pro součet kroků uvedených v článku 3 porovná s průměrem získaných hodnot (tj. průměrným vlivem různých instalačních režimů). Pokud je pro jeden z těchto ukazatelů maximální hodnota větší než 1,1násobek průměrné hodnoty, pak je třeba uvést maximální hodnotu (tj. maximální vliv mezi různými režimy instalace) pro každý z ukazatelů uvedených v environmentálním prohlášení. V opačném případě lze vykázat průměrnou hodnotu pro každý ukazatel.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Článek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(Vkládání do databáze/databází)</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Žadatel o registraci zpřístupní ověřené environmentální prohlášení v databázi nebo databázích uvedených v dohodě podepsané ministrem odpovědným za výstavbu a právním subjektem zastupujícím program environmentálních prohlášení.</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Adresa databáze nebo adresy databází jsou k dispozici na internetových stránkách ministra odpovědného za výstavbu.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Článek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(Aktualizované environmentální prohlášení)</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Environmentální prohlášení se aktualizuje s každou významnou změnou výrobku, je-li to nezbytné pro zohlednění technologického vývoje nebo jiných okolností, které mohou ovlivnit obsah nebo přesnost environmentálního prohlášení, a to nejméně jednou za pět let.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Článek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(Kolektivní údaje o životním prostředí)</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Environmentální prohlášení může být založeno na kolektivním environmentálním prohlášení o podobných výrobcích od několika žadatelů o registraci.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Toto kolektivní environmentální prohlášení splňuje tyto podmínky: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týká se „standardního výrobku“;</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stanoví se za podmínek uvedených v předchozích článcích;</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musí být zajištěna jednotnost parametrů, které významně ovlivňují hodnotu každého ukazatele; za tímto účelem musí společné environmentální prohlášení obsahovat rámec platnosti definovaný v příloze IV, který shromažďuje tyto informace:</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identifikaci vlivných parametrů s uvedením, zda jsou doplněny obecnými nebo specifickými údaji;</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doby platnosti těchto parametrů.</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Žadatel o registraci, který předložil společné environmentální prohlášení, odpovídá za informace, které obsahuje, včetně seznamu dotyčných výrobků a podmínek, za nichž mohou být výrobky k němu v případě potřeby připojeny.</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Žadatelé o registraci výrobků, na něž se vztahuje toto společné environmentální prohlášení, musí splňovat tyto podmínky: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odpovídají za informace, které předávají výše uvedenému žadateli o registraci;</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dodržují rámec platnosti společného environmentálního prohlášení;</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předloží osvědčení o shodě s rámcem platnosti kolektivního environmentálního prohlášení;</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kontrolním orgánům dávají k dispozici podpůrné důkazy o shodě s rámcem platnosti.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Ověření nezávislé třetí strany uvedené v článku R. 412-55 zákoníku o spotřebitelích a uvedené v článku R. 111-20-27 zákoníku o výstavbě a bydlení v případě výrobků připojených ke kolektivnímu environmentálnímu prohlášení se skládá z ověření kolektivního environmentálního prohlášení nezávislou třetí stranou.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Kontrolní ukazatele, které je nutné zohlednit, jsou minimálně:</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celkové globální oteplování;</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celkové neobnovitelné využívání primární energie;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zlikvidovaný odpad, který není nebezpečný.</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Kolektivní environmentální prohlášení musí splňovat tyto požadavky:</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 xml:space="preserve">je-li maximální hodnota každého kontrolního ukazatele získaná pro součet kroků uvedených v článku 3 a při výpočtu variability popsané v příloze IV menší nebo rovna průměrné hodnotě ukazatele vynásobené mezní hodnotou, lze hodnoty ukazatelů </w:t>
      </w:r>
      <w:r>
        <w:rPr>
          <w:rFonts w:ascii="Times New Roman" w:hAnsi="Times New Roman"/>
          <w:sz w:val="24"/>
        </w:rPr>
        <w:lastRenderedPageBreak/>
        <w:t>vypočítat se středními hodnotami citlivých parametrů. V opačném případě musí být deklarován horní práh (maximální hodnota, kterou může ukazatel dosáhnout).</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U kolektivních environmentálních prohlášení učiněných od 1. října 2022 je výše uvedená mezní hodnota „1.4“ a výpočet výše uvedené variability musí zahrnovat alespoň citlivé parametry týkající se:</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složení výrobku: množství a druh materiálů;</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množství obalů;</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výrobní postupy kromě těžby a zpracování surovin (stupně A2 a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u kolektivních environmentálních prohlášení učiněných od 1. října 2022 je výše uvedená mezní hodnota „1,3“ a výpočet výše uvedené variability musí zahrnovat alespoň citlivé parametry týkající se:</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složení výrobku: množství a druh materiálů;</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množství obalů;</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výrobní postupy kromě těžby a zpracování surovin (stupně A2 a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doprava na místo (fáze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Článek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(Rozsah údajů o životním prostředí)</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Environmentální prohlášení může být založeno na podobných výrobcích téhož žadatele o registraci. Tato environmentální prohlášení musí splňovat požadavky na kolektivní environmentální prohlášení stanovené v článku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Článek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(Konfigurovatelné údaje o životním prostředí)</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Environmentální prohlášení může být založeno na konfigurovatelném prohlášení.</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Toto konfigurovatelné prohlášení splňuje tyto podmínky: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týká se „standardního výrobku“;</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stanoví se za podmínek uvedených v předchozích článcích;</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obsahuje soubor pravidel pro výpočet pro úpravu informací, které jsou v něm uvedeny, na základě proměnlivých parametrů, aby odpovídaly výrobku podobnému standardnímu výrobku, ale jejichž rozměry, složení nebo určité procesy životního cyklu se liší;</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hodnota výše uvedených proměnných parametrů musí být po dodání budovy ověřitelná;</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toto obsahuje rámec platnosti vymezující hodnoty, které mohou být převzaty výše uvedenými proměnnými parametry, a charakteristiky, které musí splňovat výše uvedený obdobný výrobek.</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Ke každému konfigurovatelnému prohlášení ověřenému od 1. října 2022 je přiložen počítačový výpočetní nástroj, který umožňuje použít výše uvedená pravidla výpočtu a exportovat informace požadované v článku 3, jakož i seznam výše uvedených upravitelných parametrů a jejich hodnot. Všechny tyto informace jsou exportovány ve formě počítačového souboru ve formátu definovaném na internetových stránkách ministerstva odpovědného za výstavbu.</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Ověření nezávislou třetí stranou uvedené v článku R. 412-55 zákona o spotřebitelích a uvedené v článku R. 111-20-27 zákoníku o výstavbě a bydlení se v případě konfigurovatelného prohlášení vztahuje také na pravidla pro výpočet uvedená v tomto článku a na počítačový nástroj pro výpočet počítače zmíněný v předchozím odstavci.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Článek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(Osvědčení)</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O certifikaci environmentálních vlastnostech uvedených v článku R. 412-53 zákoníku o spotřebitelích se předpokládá, že je v souladu s předpisy, pokud zohledňuje všechny požadavky normy NF EN ISO 14024: 2018-03. Tuto certifikaci stavebních nebo dekoračních výrobků nebo zařízení vydává organizace akreditovaná za tímto účelem Francouzským akreditačním výborem (COFRAC) nebo jiným akreditačním orgánem, který podepsal mnohostranné dohody o vzájemném uznávání.</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Tento oddíl se nevztahuje na environmentální prohlášení používaná při výpočtu vlivu budov na životní prostředí.</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Článek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Vyhláška ze dne 23. prosince 2013 o environmentálním prohlášení stavebních a dekoračních výrobků pro použití ve stavebních pracích se zrušuje.</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Zrušuje se vyhláška ze dne 31. srpna 2015 o environmentálním prohlášení elektrických, elektronických a klimatizačních zařízení pro použití ve stavebních pracích.</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Článek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Ředitel bytové výstavby, rozvoje měst a krajiny odpovídá za provedení této vyhlášky, která bude zveřejněna v Úředním věstníku Francouzské republiky.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Náměstek ministra pro bydlení, při ministru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 ekologickou transformaci</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ministra a jeho jménem: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Ředitel bytové výstavby, rozvoje měst a krajiny,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Ministra pro ekologickou transformaci,</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Za ministra a jeho jménem:</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Ředitel bytové výstavby, rozvoje měst a krajiny,</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1E48309D" w14:textId="77777777" w:rsidR="00B86D5B" w:rsidRDefault="00B86D5B">
      <w:pPr>
        <w:rPr>
          <w:rFonts w:ascii="Times New Roman" w:hAnsi="Times New Roman"/>
          <w:b/>
          <w:sz w:val="24"/>
        </w:rPr>
      </w:pPr>
      <w:r>
        <w:rPr>
          <w:rFonts w:ascii="Times New Roman" w:hAnsi="Times New Roman"/>
          <w:b/>
          <w:sz w:val="24"/>
        </w:rPr>
        <w:br w:type="page"/>
      </w:r>
    </w:p>
    <w:p w14:paraId="4A1A9D13" w14:textId="1C55AFDB"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Přílohy</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Příloha I</w:t>
      </w:r>
    </w:p>
    <w:p w14:paraId="6761F1F1" w14:textId="57464D42" w:rsidR="001308A1" w:rsidRPr="005D260E" w:rsidRDefault="00C51AA3" w:rsidP="00F76954">
      <w:pPr>
        <w:pStyle w:val="Titre2FDES"/>
        <w:jc w:val="left"/>
      </w:pPr>
      <w:r>
        <w:t>Formáty funkčních jednotek pro každou kategorii stavebních nebo dekoračních výrobků.</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č.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FORMÁT JEDNOTKY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funkční v jednotkách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mezinárodního systému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Silnice, různé sítě (včetně vnitřních sítí)</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Nádrže a zásobníky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daného objemu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Odvodňovací a kanalizační sítě (dešťová voda a odpadní vody)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prostředek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Vodovodní sítě (vnitřní a vnější)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prostředek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Sítě pro dodávky plynu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prostředek</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Systém odvádění vody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prostředek</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Silnice a vnější povrchová úprava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povrchové úpravy pro dané použití (venkovní terasa, silnice s nízkým provozem, parkování atd.)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Oplocení</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oplocení</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Pláště/kanály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Konstrukce, zdivo, skořepina, rám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Kouřové bloky a kouřovody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daného vnitřního průřezu kanálu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Vyrovnávací potěr / plovoucí vyrovnávací potěry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pro danou tloušťku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pokrytá plocha nebo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Výztuže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výztuže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Panely a prefabrikované panely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Horizontální ložiskové prvky (nosiče, stropnice, izolace, dutinové panely, panely s prostupem, překlady)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nosného prvku (upřesněte rozsah a oddíl) nebo m² (pro povrchový prvek)</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Vertikální nosné prvky (sloupy/sloupky/pilíře)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prvku (upřesněte oddíl)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Schodiště (vnitřní a vnější)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pro danou výšku nadmořské výšky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Základy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Malé zděné prvky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(uveďte tepelnou odolnost)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Podlahy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podlahové krytiny (upřesněte podporované zatížení)</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Stěny (architektonické prvky)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(uveďte tloušťku)</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Fasády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Obložení (plášť, vnější opláštění, obklady)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fasády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Závěsné stěny a světlíky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fasády (upřesněte procento neprůhledného povrchu)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Vnější povrch fasád (včetně kompozitních vnějších tepelně </w:t>
            </w:r>
            <w:r>
              <w:rPr>
                <w:rFonts w:ascii="Times New Roman" w:hAnsi="Times New Roman"/>
                <w:sz w:val="24"/>
              </w:rPr>
              <w:lastRenderedPageBreak/>
              <w:t xml:space="preserve">izolačních systémů)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m² fasády (uveďte případně tepelnou odolnost)</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Střešní krytina / hydroizolace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Velké prvky střešní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pokrytí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Malé prvky střešní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pokrytí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Hydroizolační a izolační výrobky pro zapuštěné stěny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pokrytí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Výrobky pro hydroizolaci střešní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pokrytí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Zelené prvky střešní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pokrytí (uveďte druh podporované vegetace a případně tepelné vlastnosti)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Vnitřní a vnější tesařské práce, uzávěry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Okna, francouzská okna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truhlářské práce (otevřená plocha před montáží) (uveďte hodnotu U, solární faktor, klasifikace propustnosti vody a větru a propustnost světla)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Zábradlí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zábradlí</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Dveře (vnitřní, vnější, portál atd.) </w:t>
            </w:r>
          </w:p>
          <w:p w14:paraId="49074EDD" w14:textId="1FC62C2F" w:rsidR="00F301F5" w:rsidRPr="000B28D3"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(otevřená plocha před instalací)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Rolety, žaluzie, sluneční clony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neprůhledného/chráněného povrchu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Střešní okna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truhlářské práce (otevřená plocha před montáží) (uveďte hodnotu U, solární faktor, klasifikace propustnosti vody a větru a propustnost světla)</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Krokvové boxy, střešní panely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(uveďte tepelný odpor)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Systémy obložení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(uveďte tepelný odpor)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Dodatečná izolace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(uveďte tepelný odpor)</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Dutinové panely, izolační panely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(uveďte tepelný odpor)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Tepelné a akustické nástěnné izolátory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(specifikujte teplo a akustický odpor)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Tepelné a akustické izolátory pro podkroví</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(specifikujte teplo a akustický odpor)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Tepelná a zvuková izolace, volně ložené</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(specifikujte teplo a akustický odpor)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Tepelné a zvukové izolátory pro střešní terasy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izolace (specifikujte teplo a akustický odpor)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Nedostatečná tepelná a zvuková izolace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(specifikujte teplo a akustický odpor)</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Distribuovaná izolace bez nákladu</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(uveďte teplo a akustický odpor, je-li relevantní)</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Tepelné a zvukové izolátory pro stěny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(specifikujte teplo a akustický odpor)</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Zvukové izolátory pro oddíly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(specifikujte teplo a akustický odpor)</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Tepelná a zvuková izolace pod deskami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izolace (specifikujte teplo a akustický odpor)</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Izolace pod dlažebními a </w:t>
            </w:r>
            <w:r>
              <w:rPr>
                <w:rFonts w:ascii="Times New Roman" w:hAnsi="Times New Roman"/>
                <w:sz w:val="24"/>
              </w:rPr>
              <w:lastRenderedPageBreak/>
              <w:t>broušenými deskami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izolace (specifikujte teplo a akustický </w:t>
            </w:r>
            <w:r>
              <w:rPr>
                <w:rFonts w:ascii="Times New Roman" w:hAnsi="Times New Roman"/>
                <w:sz w:val="24"/>
              </w:rPr>
              <w:lastRenderedPageBreak/>
              <w:t>odpor)</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Dělící příčky, zavěšené podhledy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Dělící příčky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dělicí příčky (uveďte případný akustický výkon)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Zavěšené podhledy, napínané stropy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zavěšeného stropu (upřesněte akustický výkon)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Podlahové krytiny a obklady stěn, barvy, dekorační výrobky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Barvy, lazury a laky, barvy (bez nasycení)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pokryté plochy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Soklové lišty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soklových lišt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Nátěry na stěny a stropy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nátěru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Tvrdé podlahové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krytiny (uveďte třídu použití UPEC nebo klasifikaci odolnosti vůči opotřebení a propíchnutí, chování ve vodě a odolnosti vůči chemickým činitelům nebo ekvivalent)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Pružné podlahové krytiny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krytiny (uveďte třídu použití UPEC nebo klasifikaci odolnosti vůči opotřebení a propíchnutí, chování ve vodě a odolnosti vůči chemickým činitelům nebo ekvivalent)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Akustické výrobky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krytiny (uveďte třídu použití UPEC nebo klasifikaci odolnosti vůči opotřebení a propíchnutí, chování ve vodě a odolnosti vůči chemickým činitelům nebo ekvivalent)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Nasycené nasycení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pokryté plochy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Výrobky pro přípravu a realizaci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Tesařská adheziva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Opravy a montáž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Země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adheziva k zemi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Malty pro zdění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Obklady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dlažba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Dekorace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Tmely a polyuretanové pěny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(uveďte lineární hmotnost)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Chemie v budovách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Výrobky pro betonování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(upřesněte hustotu)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Syntetické pryskyřice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(upřesněte hustotu)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Různé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Sanitární a koupelnové vybavení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Kohoutky a sprchové sloupy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(upřesněte typ)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(upřesněte objem objemu v litru a tvaru)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Sprchový vanička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(upřesněte rozměry: šířka a délka)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Dřez</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(upřesněte rozměry: šířka, délka a počet zásobníků)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Umyvadlo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(upřesněte rozměry: šířka, délka a počet zásobníků)</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toaleta – mísa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Jednotka (upřesněte rozměry: šířka a délka)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Ostatní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Příloha II</w:t>
      </w:r>
    </w:p>
    <w:p w14:paraId="1E7210AD" w14:textId="4609938E" w:rsidR="001308A1" w:rsidRPr="005D260E" w:rsidRDefault="00C51AA3" w:rsidP="007F6637">
      <w:pPr>
        <w:pStyle w:val="Titre2FDES"/>
      </w:pPr>
      <w:r>
        <w:t>Formáty funkčních jednotek nebo jednotek deklarovaných pro zařízení.</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č.</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Funkční jednotka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Deklarovaná jednotka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Skupina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Řešení</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Zařízení pro elektroenergetické a komunikační sítě</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Nástěnné tvarovky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Automatizované systémy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Snímače pohybu</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Termostaty</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Regulátory světlosti</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Boxy na vybavení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 sádrokartonáž</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 zdivo</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Kontroly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Vypínače</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Stiskněte tlačítka</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Ostatní: Potrubí větrání, rolety atd.</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Desky a podpěry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Podsestava zařízení na stěnu</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Zásuvky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Výstupy s nízkým proudem</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Zásuvky s vysokým proudem</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 zásuvky (TV, reproduktor, IT, atd.)</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Signalizace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Zvukový výstup: reproduktor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Zvukový výstup: zvony a zvonice</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Ukazatele směru</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Obsahem výstroje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Dálkové ovladače, rolety, svorky</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Modulární zařízení pro kryty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Obecné ochranné prostředky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Spoje</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Jističe obvodů</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Vypínače obvodů síťového připojení</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Spínače/izolátory</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Měniče zdrojů</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Diferenciální relé</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Ochrana před bleskem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Hromosvody</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Telekomunikační hromosvody</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Ochrana vedení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Jističe obvodů</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Dělicí jističe obvodů</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Motorové vypínače obvodů</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Pojistky</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Ochrana proti zemnímu úniku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Bloky diferenciálu</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 jističe obvodů</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Přepínače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Řízení osvětlení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Spínače fotobuněk</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Solárním management</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Regulátory světlosti</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Hospodaření s energií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Nabíjecí boxy</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Správa energie</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Správa slepých a závěrek</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Správa slepých a závěrek</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Řízení času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Prolínající se harmonogramy</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Časovače</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Relé časovače</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Řízení tepla (topení, větrání)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Termostaty</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Měření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Měřiče energie</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Dešťové, sluneční senzory atd.</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Voltmetry, ampérmetry</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Ovládací zařízení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Stiskněte tlačítka</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Kontaktní osoby</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Spínače, měniče, přepínače atd.</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Dálkové impulzní spínače</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Signalizační zařízení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Zvonkohry a vyzváněcí tóny</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Ukazatele směru</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Domácí automatizační a komunikační systémy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Multimediální sítě a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Modulární zařízení pro domácí automatizaci</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Domácí automatizační koncová zařízení</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Zařízení pro distribuci signalizace/detekce</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Přístupové body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Kryty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Skříně</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Polyesterové skříně</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Kovové skříně</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Spoje</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Vybavení skříněk</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Boxy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Kryty terminálů</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Zapuštěné boxy</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Vodotěsné boxy</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Vyčnívající boxy</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 boxy</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Rozvodnice</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Ostatní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Stoly, tepelná správa krytů</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Řešení směrování kabelů</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Kabelové routingové systémy a kabelové regály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Lanové dráhy vodičů</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Dlážděné kabelové podnosy</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Stojany na kabely</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Zavazadlové systémy a kanály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Kanály</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Profilované kanály</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Tuhé trubky a kanály</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Napájecí kanály</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Podlahové kanály</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Instalační kanály</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Výlisky a prkna</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Ostatní bodové výrobky pro vedení kabelů</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Skříň technického zařízení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Podlahové kanály</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Dělicí boxy a vertikální instalační kolony</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Kabelové zavazadlo pro skříně</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Ostatní a příslušenství</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Ostatní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Připojení/křest (mimo kryt)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Spojovací bloky</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Konektory</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Průmyslové zásuvky</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Elektrické napájení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Transformátory</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Ústřední zdroje</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Mobilní elektrická zařízení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Kontrolní světlo</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Víceúčelové adaptérové bloky, zásuvky pro děliče telefonu, ostatní</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 na otevírání klapek</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Motorizace dveří, vrat apod.</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Motorizace rolet</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Dráty a kabely</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Elektrické sítě</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Kabely středního napětí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Kabely s nízkým napětím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Elektrické síťové příslušenství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Přenos elektřiny a dat uvnitř budovy</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Energetické vodiče a kabely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Komunikační kabely z mědi a optických vláken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Příslušenství uvnitř budovy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Ostatní dráty a kabely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Neizolované</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Topné kabely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Bezpečnost jednotlivců a kontrola přístupu</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Detekce a kontrola přístupu</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Systém detekce vetřelců</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Zařízení pro detekci vetřelců</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Ovládací zařízení (klíčová deska, dálkové ovládání atd.)</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Alarmové konzole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Zabezpečovací zařízení (siréna, vysílač atd.)</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Systémy řízení přístupu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Vstup do zvukových dveří</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Vjezd do dveří videa</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Sledování videa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Systém kamerového dohledu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Zařízení pro snímání obrazu (kamery)</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Zařízení pro správu obrazu</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Propojení</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Bezpečnost budovy</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Bezpečnostní osvětlovací systém</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Okolí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Samostatné jednotky nouzového osvětlení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Montáž světla pro centrální zdroj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Jednotky reflektorů</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Evakuace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Samostatné jednotky nouzového osvětlení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Nezávislé bytové jednotky osvětlení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dvojí funkce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Montáž světla pro centrální zdroj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(zařízení k osvětlení)</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(posílené identifikační zařízení)</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Nouzové osvětlení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Nezávislé bytové jednotky osvětlení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dvojí funkce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Přenosné samostatné zásahové jednotky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Dodávka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Centrální zdroj nouzového osvětlení</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Požární bezpečnost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Požární bezpečnost a technický poplach</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Nezávislé detektory kouře/alarmy</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Technické poplachy a detektory (zaplavení, plyn atd.)</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Samostatné detektory oxidu uhelnatého</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Technické poplachy a detektory</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Zařízení HVAC</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Vytápění a/nebo chlazení a/nebo výroba teplé vody pro domácnost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Kotel (samostatné topení)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Plynový kotel</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topný olej</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Hybridní kotel</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biomasu</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Smíšený kotel (teplá voda pro domácnost)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Plynový kotel</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topný olej</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Nezávislé spotřebiče pro biomasu</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Tepelné čerpadlo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Elektrické kompresní tepelné čerpadlo</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Hybridní tepelné čerpadlo</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Čerpadlo na cirkulaci vody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Radiátor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Vyhřívaná lišta na ručníky</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Přímé elektrické vytápění pomocí viditelné pevné jednotky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Konvektor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Zářící</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Radiátor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Zařízení se sekundární funkcí jako vyhřívaná utěrka</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Výroba teplé vody pro domácnost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Individuální zásobník vody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Elektrický ohřívač vody</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Termodynamický ohřívač vody</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Plynový ohřívač vody</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Individuální solární ohřívač vody</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Koncové jednotky komfortu</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Ventilátorové ohřívače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Ventilátorové ohřívače</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Klimatizační trámy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Pasivní klimatizační trámy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Aktivní klimatizační trámy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Dynamické radiátory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Dynamické radiátory</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Kanály a síťové příslušenství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kanálu</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Pružné kanály</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Pevné kanály</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Ohyby a příslušenství</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Difúze vzduchu</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nebo</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Pasivní terminály</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Difuzory</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Přívody vzduchu</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Otvory pro odsávání a vhánění vzduchu</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Úprava vzduchu</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Čistírna vzduchu</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s dvojitým průtokem</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Filtrace vzduchu</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Větrací box</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Větrání s jednoduchým průtokem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Mechanicky řízená ventilace s dvojitým </w:t>
            </w:r>
            <w:r>
              <w:rPr>
                <w:rFonts w:ascii="Times New Roman" w:hAnsi="Times New Roman"/>
                <w:sz w:val="24"/>
              </w:rPr>
              <w:lastRenderedPageBreak/>
              <w:t>průtokem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Větrací box</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Chlazení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Jednotka výroby ledové vody</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Chladicí věž</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Chladiče vzduchu</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Místní výroba elektřiny</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Generátor elektřiny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Fotovoltaický modul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Krystalický křemík (monokrystalický nebo polykrystalický)</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Tenké vrstvy</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Větrné turbíny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Horizontální</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Vertikální</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Přeměna a regulace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Přeměna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Synchronní měniče</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Autonomní měniče</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Převodník DC/DC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Převodník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Regulátor zatížení</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Uskladnění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Elektrochemická baterie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Olověné</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Lithiové</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Ostatní</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Monitorování</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Monitorování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Monitorovací zařízení</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Osvětlovací zařízení</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Zařízení pro vnitřní osvětlení a napájení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Zapuštěné osvětlení</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Lineární vnitřní zapuštěné osvětlení pro kancelářské osvětlení</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Nelineární vnitřní zapuštěné osvětlení pro kancelářské osvětlení</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Vnitřní zapuštěné zvýrazňovací osvětlení (bodové)</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Světla namontovaná na povrchu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Stropní svítidla, lineární vnitřní zavěšená zařízení pro kancelářské nebo průmyslové osvětlení</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Funkční vnitřní lineární povrchové nástěnné osvětlení</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Stropní svítidla, povrchové nástěnné osvětlení, dekorativní vnitřní zavěšené kování</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Vnitřní otvory</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Vnitřní osvětlení pásy (bez </w:t>
            </w:r>
            <w:r>
              <w:rPr>
                <w:rFonts w:ascii="Times New Roman" w:hAnsi="Times New Roman"/>
                <w:sz w:val="24"/>
              </w:rPr>
              <w:lastRenderedPageBreak/>
              <w:t>optických zařízení, na rozdíl od lineárních výrobků)</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Vnitřní reflektory, nástěnné nebo zavěšené nebo zavěšené, pro akcentované osvětlení</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Vodotěsná vnitřní svítidla</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 pružné tyče a pásky (včetně napájení)</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Zavěšené armatury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Průmyslové tvarovky</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Kontinuální on-line konstrukce pro průmyslové nebo komerční osvětlení</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Montážní prvky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Zábradlí pro přívod reflektorů</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Zařízení pro venkovní osvětlení a napájení</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Světla reflektorů</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Reflektory pro sport a velké plochy</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Venkovní reflektory pro dekorativní osvětlení</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Svítidla pro venkovní osvětlení, jiná než reflektory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Svítidla pro dekorativní osvětlení</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Svítidla pro funkční osvětlení</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Dobové osvětlení</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Zapuštěné reflektory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Venkovní reflektory, které mají být zapuštěny v podlahách nebo stěnách</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Zapuštěné osvětlení pro orientaci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Venkovní orientace svítidla, která mají být zapuštěna v podlaze nebo stěnách</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Příspěvky a sloupce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Ozdobné vnější terminály</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Dekorativní vnější světelné sloupy</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Vodotěsné světelné armatury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Povrchová nástěnná světla a vodotěsné otvory</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Ponorné zapuštěné osvětlení pro bazény nebo fontány</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Ponorné reflektory pro bazény nebo fontány</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Stožáry a úchyty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Stožáry</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Zadky</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Různé montáže pro venkovní světelné kování</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Ostatní</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Různé</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0F6C1E3B" w14:textId="3D8EB21A" w:rsidR="003C68D4" w:rsidRPr="005D260E" w:rsidRDefault="00162F9E" w:rsidP="008837F2">
      <w:pPr>
        <w:pStyle w:val="Titre2FDES"/>
        <w:jc w:val="left"/>
      </w:pPr>
      <w:r>
        <w:lastRenderedPageBreak/>
        <w:t>Příloha III</w:t>
      </w:r>
    </w:p>
    <w:p w14:paraId="67517A54" w14:textId="77777777" w:rsidR="00C51AA3" w:rsidRPr="005D260E" w:rsidRDefault="003C68D4" w:rsidP="008837F2">
      <w:pPr>
        <w:pStyle w:val="Titre2FDES"/>
        <w:jc w:val="left"/>
      </w:pPr>
      <w:r>
        <w:t xml:space="preserve">Výpočet zisků a nákladů souvisejících s oceněním ke konci životnosti.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Zobrazení kladné hodnoty vede k čistému náboji a záporné hodnotě vede k čistému zisku.</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V případě recyklace se pro daný tok recyklovaného odpadu (a tedy daného lambda materiálu) použije tento vzorec: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kde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hmotnost (kg) sekundárního materiálu skutečně získaného z hmotnosti shromážděného materiálu (lambda složka materiálu v toku „materiálů určených k recyklaci“);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výrobní inventura (na kg) materiálu (nebo směsi), u něhož je recyklovaný druhotný materiál nahrazen v následném systému, který jej používá (tj. nikoli soupis výroby navazujícího výrobku, ale výrobní inventární materiál, který tvoří tento navazující výrobek);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inventura (na kg) výroby druhotného materiálu připraveného k použití v navazujícím systému ze zásob;</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hmotnost (kg) druhotného materiálu zabudovaného do výrobku, na který se prohlášení vztahuje při výrobě (lambda složka materiálu při průtoku druhotných materiálů);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výrobní soupis (na kg) původního materiálu použitého k výrobě výrobku, na který se vztahuje prohlášení, pokud nedojde k žádné recyklaci materiálu;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soupis (na kg) výroby druhotného materiálu připraveného k použití použitého k výrobě výrobku, na který se vztahuje prohlášení.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V případě energetického využití se pro daný tok recyklovaného odpadu použije tento vzorec: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kde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hmotnost (v kg) sekundárního materiálu skutečně získaného ze sebrané hmotnosti zásob (složka/složky průtokového materiálu „materiálů pro rekuperaci energie“;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výrobní inventura (na kg) energie, pro kterou je energie využitá recyklací druhotných materiálů nahrazena v navazujícím systému (tj. ne výrobní soupis navazujícího systému, ke kterému bude vedlejší materiál přispívat, ale soupis výroby energie spotřebované následným systémem, vyjádřený v dodávaném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inventura (na kg) energetické recyklace sekundárního materiálu ze zásob, u nichž je referenčním tokem množství recyklovaného sekundárního materiálu;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získaného sekundárního materiálu;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energetický výkon zařízení na recyklaci sekundárního materiálu.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Celková výhoda deklarovaného výrobku se poté získá jako součet všech kolektivních výhod vypočtených pro každý z materiálů/toků.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Příloha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Rámec pro platnost kolektivních environmentálních prohlášení pro výrobky</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Homogenita</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Analýza životního cyklu (Life Cycle Analysis – dále jen LCA) zahrnuje velké množství dat pro četné scénáře. Některé údaje jsou shromažďovány na místě, některé jsou vypočteny a některé se odhadují. Údaje dodávající LCA jsou proto údaje s určitou mírou nejistoty. Výsledek LCA je tedy poměrně citlivý na rozdíly ve vstupních údajích.</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Článek 9 vyhlášky vyžaduje, aby dopady žadatelů o registraci na životní prostředí, které používají stejné společné environmentální prohlášení, byly homogenní. Kolektivní environmentální prohlášení se tedy bude vztahovat na ekologicky homogenní výrobky, pokud je možné zajistit, aby všechny výrobky, jichž se týká, deklarovaly dopady na životní prostředí pod limitní hodnotou, pokud jsou v souladu s rámcem platnosti souvisejícím s tímto kolektivním environmentálním prohlášením.</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Uznává se, že tato homogenita by měla být prokázána pouze u některých kontrolních ukazatelů.</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 ukazatelů LCA se prokázání homogenity provádí analýzou citlivosti nejistých parametrů a parametrů, které se liší od jednoho žadatele o registraci k druhému. Důrazně se doporučuje, aby tato analýza byla provedena na začátku procesu LCA a aby kolektivní environmentální prohlášení vycházelo z této analýzy.</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Analýza citlivosti</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Analýza citlivosti LCA musí zahrnovat tyto fáze:</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Výběr kontrolních ukazatelů.</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Identifikace citlivých parametrů: studie přispěvatelů k identifikaci vstupních parametrů, které nejvíce přispívají k vysvětlení hodnoty kontrolních ukazatelů (výsledky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Určení rozsahu variací citlivých parametrů (limitní parametry a jakékoli statistické rozdělení).</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Parametrizované simulace založené na fázích b a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Analýza citlivosti může být iterativní. Výsledkem analýzy citlivosti musí být:</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Seznam faktorů, které ovlivňují výsledky LCA (citlivé parametry) a jejich povolených variačních polí (tento seznam je pole platnosti).</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u každého kontrolního ukazatele pravděpodobný interval kolísání (95 % interval spolehlivosti) hodnot ukazatelů získaných pomocí simulací parametrů.</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Fáze 1: výběr kontrolních ukazatelů</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Výběr kontrolních ukazatelů musí být přiměřený. Mohou být vybrány případ od případu z těch, které jsou uvedeny v článku 3 vyhlášky. Jejich výběr musí být odůvodněn. Alespoň tyto ukazatele by měly být zkoumány:</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globální oteplování;</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použití neobnovitelné primární energie, s výjimkou neobnovitelných zdrojů primární energie používané jako suroviny;</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zlikvidovaný odpad, který není nebezpečný.</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Fáze 2: identifikace citlivých parametrů</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Pro každý kontrolní ukazatel by měla být provedena analýza citlivých parametrů. Za tímto účelem se navrhuje, aby jako počáteční přístup byly dopady rozděleny podle procesů zahrnutých do životního cyklu. Tato analýza by měla vycházet z referenčního scénáře popsaného v analýze citlivosti.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Doporučuje se zvážit všechny procesy s příspěvkem k výskytu více než 5 % základního scénáře. Poté by měly být identifikovány parametry modelu LCA (zadání nebo opuštění procesu, parametr interního modelování procesů atd.), které tento příspěvek mění. To jsou parametry, které jsou považovány za citlivé.</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konci této analýzy bude mít žadatel o registraci seznam procesů, které nejvíce přispívají k kontrolním ukazatelům během celého životního cyklu, a seznam citlivých parametrů.</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Fáze 3: definice rozsahů variace citlivých parametrů</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Tato fáze spočívá v definování rozsahu variace každého citlivého parametru. Tento rozsah by pak měl být navržen minimálně ve formě intervalů. Je-li znám, může být stanoven zákon o rozdělení parametru ve výše definovaném intervalu.</w:t>
      </w:r>
      <w:r>
        <w:rPr>
          <w:rFonts w:ascii="Times New Roman" w:hAnsi="Times New Roman"/>
          <w:sz w:val="24"/>
        </w:rPr>
        <w:br/>
        <w:t>Po této fázi je každý citlivý parametr spojen s rozsahem variací.</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Fáze 4: Výpočet variability ukazatelů</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základě stavů 2 a 3 tato fáze zahrnuje použití vhodné matematické metody pro stanovení rozsahu variací ukazatelů (maximální hodnoty, střední hodnoty a minimální hodnoty) při vystavení modelu LCA změnám v citlivých parametrech.</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Výsledkem fáze 4 je soubor rozpětí hodnot, které každý z ukazatelů, na něž se vztahuje analýza citlivosti, bere.</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Výpočet variability ukazatelů zahrnuje alespoň citlivé parametry týkající se prvků uvedených v článku 9 této vyhlášky.</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Fáze 3 a 4 lze provést iterací, aby se rozsah citlivých parametrů přizpůsobil požadovaným podmínkám homogenity.</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Zpráva o analýze citlivosti</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Zpráva obsahuje položky odpovídající čtyřem fázím analýzy citlivosti a konečný výsledek analýzy citlivosti, včetně rozsahu platnosti kolektivního environmentálního prohlášení a rozsahu změn kontrolních ukazatelů.</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Deklarované hodnoty citlivosti a environmentální hodnoty</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Výsledky analýzy citlivosti podmiňují hodnoty životního prostředí uvedené v kolektivním environmentálním prohlášení, jak je uvedeno v oddíle 9 této vyhlášky.</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Pokud je maximální hodnota (nebo maximum při 95% spolehlivosti, je-li použit statistický přístup) rozsahu kolísání každého kontrolního ukazatele vlivu na životní prostředí</w:t>
      </w:r>
      <w:r>
        <w:rPr>
          <w:rFonts w:ascii="Times New Roman" w:hAnsi="Times New Roman"/>
          <w:sz w:val="24"/>
        </w:rPr>
        <w:t xml:space="preserve"> menší nebo rovna střední hodnotě ukazatele vynásobené mezní hodnotou (uvedenou v článku 9 této vyhlášky)</w:t>
      </w:r>
      <w:r>
        <w:rPr>
          <w:rFonts w:ascii="Times New Roman" w:hAnsi="Times New Roman"/>
          <w:sz w:val="24"/>
          <w:shd w:val="clear" w:color="auto" w:fill="FFFFFF"/>
        </w:rPr>
        <w:t>, pak se hodnoty deklarovaných ukazatelů vlivu na životní prostředí vypočítají s průměrnými hodnotami citlivých parametrů.</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Pokud tomu tak není, tj. pokud alespoň jeden z kontrolních ukazatelů vlivů na životní prostředí má maximální hodnotu větší</w:t>
      </w:r>
      <w:r>
        <w:rPr>
          <w:rFonts w:ascii="Times New Roman" w:hAnsi="Times New Roman"/>
          <w:sz w:val="24"/>
        </w:rPr>
        <w:t>, než je průměrná hodnota ukazatele vynásobená mezní hodnotou (uvedenou v článku 9 této vyhlášky)</w:t>
      </w:r>
      <w:r>
        <w:rPr>
          <w:rFonts w:ascii="Times New Roman" w:hAnsi="Times New Roman"/>
          <w:sz w:val="24"/>
          <w:shd w:val="clear" w:color="auto" w:fill="FFFFFF"/>
        </w:rPr>
        <w:t>, pak musí být horní mez deklarována. Tato horní hranice odpovídá hodnotě ukazatelů získaných při použití maximálních hodnot (nebo max. s pravděpodobností 95 %, pokud se použije statistický přístup) citlivých parametrů.</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Přesná identifikace výrobků uvedených v prohlášení</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Aby se zjistilo, zda je pravděpodobné, že se na výrobek vztahuje kolektivní environmentální prohlášení, je třeba stanovit, zda je výrobek podobný standardnímu výrobku a zda je žadatel o registraci tohoto přípravku oprávněn používat toto společné environmentální prohlášení.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Identifikace standardního výrobku</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Standardní výrobek musí být správně definován a popsán, aby se usnadnil soulad mezi popisem výrobku a popisem standardního výrobku. Popis standardního výrobku musí obsahovat alespoň tyto údaje: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Seznam hlavních součástí nebo převládajících materiálů.</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Informace o funkčnosti nebo úrovni výkonu.</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Tato identifikace musí být dostatečná, aby rychle a jednoznačně zjistila, zda se na určitý výrobek může vztahovat kolektivní prohlášení.</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Identifikace žadatelů o registraci, kteří mohou používat kolektivní environmentální prohlášení</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Vzhledem k tomu, že kolektivní environmentální prohlášení je majetkem a odpovědností společenství, může toto společenství rozhodnout, že toto kolektivní environmentální prohlášení mohou využívat pouze někteří žadatelé o registraci.</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Musí být uveden seznam žadatelů o registraci oprávněných používat kolektivní environmentální prohlášení:</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buď ve formě vyčerpávajícího seznamu názvů;</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nebo ve formě podmínky členství v kolektivním subjektu (sdružení, odbory, signatáři charty správných postupů atd.). V tomto případě musí být seznam členů tohoto společenství veřejně přístupný.</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Obsah rámce platnosti</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Rámec platnosti obsahuje minimálně:</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Identifikace standardního výrobku (povinné);</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Výrobky, na které se vztahuje kolektivní environmentální prohlášení;</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Identifikace žadatelů o registraci, kteří mohou používat společné environmentální prohlášení;</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Zpráva o studii citlivosti včetně rozsahu platnosti a poskytující důkazy o tom, že deklarované hodnoty ukazatelů jsou homogenní.</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Využití rámce platnosti</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Aby žadatel o registraci mohl pro svůj výrobek používat společné environmentální prohlášení, musí předložit důkazy:</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Zda jejich výrobek splňuje „standardní výrobek“ zahrnutý v kolektivním environmentálním prohlášení;</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Je na seznamu žadatelů o registraci oprávněných pro toto kolektivní environmentální prohlášení;</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Že je v souladu s rozsahem platnosti dotyčného kolektivního environmentálního prohlášení.</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5776" w14:textId="77777777" w:rsidR="00E40FA7" w:rsidRDefault="00E40FA7" w:rsidP="00F76954">
      <w:pPr>
        <w:spacing w:after="0" w:line="240" w:lineRule="auto"/>
      </w:pPr>
      <w:r>
        <w:separator/>
      </w:r>
    </w:p>
  </w:endnote>
  <w:endnote w:type="continuationSeparator" w:id="0">
    <w:p w14:paraId="5DFC2E01" w14:textId="77777777" w:rsidR="00E40FA7" w:rsidRDefault="00E40FA7"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Strana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z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7BEC" w14:textId="77777777" w:rsidR="00E40FA7" w:rsidRDefault="00E40FA7" w:rsidP="00F76954">
      <w:pPr>
        <w:spacing w:after="0" w:line="240" w:lineRule="auto"/>
      </w:pPr>
      <w:r>
        <w:separator/>
      </w:r>
    </w:p>
  </w:footnote>
  <w:footnote w:type="continuationSeparator" w:id="0">
    <w:p w14:paraId="47586501" w14:textId="77777777" w:rsidR="00E40FA7" w:rsidRDefault="00E40FA7"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6DC2566"/>
    <w:multiLevelType w:val="hybridMultilevel"/>
    <w:tmpl w:val="CE4E3A46"/>
    <w:lvl w:ilvl="0" w:tplc="2DDCC0E6">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3"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6"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8"/>
  </w:num>
  <w:num w:numId="3">
    <w:abstractNumId w:val="19"/>
  </w:num>
  <w:num w:numId="4">
    <w:abstractNumId w:val="15"/>
  </w:num>
  <w:num w:numId="5">
    <w:abstractNumId w:val="55"/>
  </w:num>
  <w:num w:numId="6">
    <w:abstractNumId w:val="57"/>
  </w:num>
  <w:num w:numId="7">
    <w:abstractNumId w:val="7"/>
  </w:num>
  <w:num w:numId="8">
    <w:abstractNumId w:val="33"/>
  </w:num>
  <w:num w:numId="9">
    <w:abstractNumId w:val="29"/>
  </w:num>
  <w:num w:numId="10">
    <w:abstractNumId w:val="23"/>
  </w:num>
  <w:num w:numId="11">
    <w:abstractNumId w:val="28"/>
  </w:num>
  <w:num w:numId="12">
    <w:abstractNumId w:val="36"/>
  </w:num>
  <w:num w:numId="13">
    <w:abstractNumId w:val="47"/>
  </w:num>
  <w:num w:numId="14">
    <w:abstractNumId w:val="17"/>
  </w:num>
  <w:num w:numId="15">
    <w:abstractNumId w:val="67"/>
  </w:num>
  <w:num w:numId="16">
    <w:abstractNumId w:val="27"/>
  </w:num>
  <w:num w:numId="17">
    <w:abstractNumId w:val="48"/>
  </w:num>
  <w:num w:numId="18">
    <w:abstractNumId w:val="30"/>
  </w:num>
  <w:num w:numId="19">
    <w:abstractNumId w:val="31"/>
  </w:num>
  <w:num w:numId="20">
    <w:abstractNumId w:val="38"/>
  </w:num>
  <w:num w:numId="21">
    <w:abstractNumId w:val="12"/>
  </w:num>
  <w:num w:numId="22">
    <w:abstractNumId w:val="44"/>
  </w:num>
  <w:num w:numId="23">
    <w:abstractNumId w:val="24"/>
  </w:num>
  <w:num w:numId="24">
    <w:abstractNumId w:val="40"/>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2"/>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5"/>
  </w:num>
  <w:num w:numId="47">
    <w:abstractNumId w:val="34"/>
  </w:num>
  <w:num w:numId="48">
    <w:abstractNumId w:val="35"/>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9"/>
  </w:num>
  <w:num w:numId="58">
    <w:abstractNumId w:val="50"/>
  </w:num>
  <w:num w:numId="59">
    <w:abstractNumId w:val="21"/>
  </w:num>
  <w:num w:numId="60">
    <w:abstractNumId w:val="10"/>
  </w:num>
  <w:num w:numId="61">
    <w:abstractNumId w:val="42"/>
  </w:num>
  <w:num w:numId="62">
    <w:abstractNumId w:val="16"/>
  </w:num>
  <w:num w:numId="63">
    <w:abstractNumId w:val="25"/>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num>
  <w:num w:numId="71">
    <w:abstractNumId w:val="52"/>
  </w:num>
  <w:num w:numId="72">
    <w:abstractNumId w:val="65"/>
  </w:num>
  <w:num w:numId="73">
    <w:abstractNumId w:val="54"/>
  </w:num>
  <w:num w:numId="74">
    <w:abstractNumId w:val="22"/>
  </w:num>
  <w:num w:numId="75">
    <w:abstractNumId w:val="41"/>
  </w:num>
  <w:num w:numId="76">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192D"/>
    <w:rsid w:val="000830A6"/>
    <w:rsid w:val="00086046"/>
    <w:rsid w:val="00090DA5"/>
    <w:rsid w:val="000911BB"/>
    <w:rsid w:val="000926E7"/>
    <w:rsid w:val="0009376D"/>
    <w:rsid w:val="00093ECC"/>
    <w:rsid w:val="000A20BB"/>
    <w:rsid w:val="000B28D3"/>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2657F"/>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86D5B"/>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0FA7"/>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cs-CZ"/>
    </w:rPr>
  </w:style>
  <w:style w:type="character" w:styleId="FootnoteReference">
    <w:name w:val="footnote reference"/>
    <w:uiPriority w:val="99"/>
    <w:semiHidden/>
    <w:rsid w:val="003D011E"/>
    <w:rPr>
      <w:noProof/>
      <w:position w:val="6"/>
      <w:sz w:val="18"/>
      <w:vertAlign w:val="baseline"/>
      <w:lang w:val="cs-CZ"/>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cs-CZ"/>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cs-CZ"/>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cs-CZ"/>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cs-CZ"/>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cs-CZ"/>
    </w:rPr>
  </w:style>
  <w:style w:type="character" w:styleId="PageNumber">
    <w:name w:val="page number"/>
    <w:uiPriority w:val="99"/>
    <w:rsid w:val="003D011E"/>
    <w:rPr>
      <w:noProof/>
      <w:lang w:val="cs-CZ"/>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cs-CZ"/>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6815</Words>
  <Characters>38848</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2021-05-12T14:36:00Z</dcterms:modified>
</cp:coreProperties>
</file>