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7F10">
        <w:rPr>
          <w:rFonts w:ascii="Times New Roman" w:eastAsia="Times New Roman" w:hAnsi="Times New Roman" w:cs="Times New Roman"/>
          <w:b/>
          <w:bCs/>
          <w:sz w:val="36"/>
          <w:szCs w:val="36"/>
          <w:lang w:eastAsia="fr-FR"/>
        </w:rPr>
        <w:t>Arrêté du 14 décembre 2021 relatif à la déclaration environnementale des produits destinés à un usage dans les ouvrages de bâtiment et à la déclaration environnementale des produits utilisée pour le calcul de la performance environnementale des bâtiments</w:t>
      </w:r>
    </w:p>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t>NOR : LOGL2113185A</w:t>
      </w:r>
      <w:r w:rsidRPr="00B77F10">
        <w:rPr>
          <w:rFonts w:ascii="Times New Roman" w:eastAsia="Times New Roman" w:hAnsi="Times New Roman" w:cs="Times New Roman"/>
          <w:sz w:val="24"/>
          <w:szCs w:val="24"/>
          <w:lang w:eastAsia="fr-FR"/>
        </w:rPr>
        <w:br/>
        <w:t>ELI : https://www.legifrance.gouv.fr/eli/arrete/2021/12/14/LOGL2113185A/jo/texte</w:t>
      </w:r>
      <w:r w:rsidRPr="00B77F10">
        <w:rPr>
          <w:rFonts w:ascii="Times New Roman" w:eastAsia="Times New Roman" w:hAnsi="Times New Roman" w:cs="Times New Roman"/>
          <w:sz w:val="24"/>
          <w:szCs w:val="24"/>
          <w:lang w:eastAsia="fr-FR"/>
        </w:rPr>
        <w:br/>
        <w:t>JORF n°0296 du 21 décembre 2021</w:t>
      </w:r>
      <w:r w:rsidRPr="00B77F10">
        <w:rPr>
          <w:rFonts w:ascii="Times New Roman" w:eastAsia="Times New Roman" w:hAnsi="Times New Roman" w:cs="Times New Roman"/>
          <w:sz w:val="24"/>
          <w:szCs w:val="24"/>
          <w:lang w:eastAsia="fr-FR"/>
        </w:rPr>
        <w:br/>
        <w:t>Texte n° 23</w:t>
      </w:r>
    </w:p>
    <w:p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t>Annexe</w:t>
      </w:r>
    </w:p>
    <w:p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t>Annexe</w:t>
      </w:r>
    </w:p>
    <w:p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t>Annexe</w:t>
      </w:r>
    </w:p>
    <w:p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t>Annexe</w:t>
      </w:r>
    </w:p>
    <w:p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Publics concernés : déclarants concernés par les produits de construction et de décoration ainsi que des équipements électriques, électroniques et de génie climatique destinés à un usage dans les ouvrages de bâtiment ou utilisés pour le calcul de la performance environnementale des bâtiments. </w:t>
      </w:r>
      <w:r w:rsidRPr="00B77F10">
        <w:rPr>
          <w:rFonts w:ascii="Times New Roman" w:eastAsia="Times New Roman" w:hAnsi="Times New Roman" w:cs="Times New Roman"/>
          <w:sz w:val="24"/>
          <w:szCs w:val="24"/>
          <w:lang w:eastAsia="fr-FR"/>
        </w:rPr>
        <w:br/>
        <w:t xml:space="preserve">Objet : préciser les modalités d'application des articles R. 171-14 à R. 171-22 et des articles R. 171-23 à R. 171-31 du code de la construction et de l'habitation. </w:t>
      </w:r>
      <w:r w:rsidRPr="00B77F10">
        <w:rPr>
          <w:rFonts w:ascii="Times New Roman" w:eastAsia="Times New Roman" w:hAnsi="Times New Roman" w:cs="Times New Roman"/>
          <w:sz w:val="24"/>
          <w:szCs w:val="24"/>
          <w:lang w:eastAsia="fr-FR"/>
        </w:rPr>
        <w:br/>
        <w:t xml:space="preserve">Entrée en vigueur : le texte entre en vigueur au 1er janvier 2022. </w:t>
      </w:r>
      <w:r w:rsidRPr="00B77F10">
        <w:rPr>
          <w:rFonts w:ascii="Times New Roman" w:eastAsia="Times New Roman" w:hAnsi="Times New Roman" w:cs="Times New Roman"/>
          <w:sz w:val="24"/>
          <w:szCs w:val="24"/>
          <w:lang w:eastAsia="fr-FR"/>
        </w:rPr>
        <w:br/>
        <w:t xml:space="preserve">Notice : l'arrêté a pour objet de préciser les modalités d'application des articles R. 171-14 à R. 171-22 et des articles R. 171-23 à R. 171-31 du code de la construction et de l'habitation. </w:t>
      </w:r>
      <w:r w:rsidRPr="00B77F10">
        <w:rPr>
          <w:rFonts w:ascii="Times New Roman" w:eastAsia="Times New Roman" w:hAnsi="Times New Roman" w:cs="Times New Roman"/>
          <w:sz w:val="24"/>
          <w:szCs w:val="24"/>
          <w:lang w:eastAsia="fr-FR"/>
        </w:rPr>
        <w:br/>
        <w:t xml:space="preserve">L'arrêté fixe : </w:t>
      </w:r>
      <w:r w:rsidRPr="00B77F10">
        <w:rPr>
          <w:rFonts w:ascii="Times New Roman" w:eastAsia="Times New Roman" w:hAnsi="Times New Roman" w:cs="Times New Roman"/>
          <w:sz w:val="24"/>
          <w:szCs w:val="24"/>
          <w:lang w:eastAsia="fr-FR"/>
        </w:rPr>
        <w:br/>
        <w:t xml:space="preserve">- le détail des informations mentionnées à l'article R. 171-17 du code de la construction et de l'habitation ; </w:t>
      </w:r>
      <w:r w:rsidRPr="00B77F10">
        <w:rPr>
          <w:rFonts w:ascii="Times New Roman" w:eastAsia="Times New Roman" w:hAnsi="Times New Roman" w:cs="Times New Roman"/>
          <w:sz w:val="24"/>
          <w:szCs w:val="24"/>
          <w:lang w:eastAsia="fr-FR"/>
        </w:rPr>
        <w:br/>
        <w:t xml:space="preserve">- les modalités de calcul des indicateurs mentionnées à l'article R. 171-17 du code de la construction et de l'habitation ; </w:t>
      </w:r>
      <w:r w:rsidRPr="00B77F10">
        <w:rPr>
          <w:rFonts w:ascii="Times New Roman" w:eastAsia="Times New Roman" w:hAnsi="Times New Roman" w:cs="Times New Roman"/>
          <w:sz w:val="24"/>
          <w:szCs w:val="24"/>
          <w:lang w:eastAsia="fr-FR"/>
        </w:rPr>
        <w:br/>
        <w:t xml:space="preserve">- les éléments, mentionnés à l'article R. 171-21 du code de la construction et de l'habitation, permettant de justifier les informations contenues dans la déclaration environnementale ; </w:t>
      </w:r>
      <w:r w:rsidRPr="00B77F10">
        <w:rPr>
          <w:rFonts w:ascii="Times New Roman" w:eastAsia="Times New Roman" w:hAnsi="Times New Roman" w:cs="Times New Roman"/>
          <w:sz w:val="24"/>
          <w:szCs w:val="24"/>
          <w:lang w:eastAsia="fr-FR"/>
        </w:rPr>
        <w:br/>
        <w:t xml:space="preserve">- où est renseigné l'adresse de la ou des bases de données où les déclarations environnementales, mentionnées à l'article R. 171-17 du code de la construction et de l'habitation, bénéficiant d'une attestation de vérification, mentionnées à l'article R. 171-18 du code de la construction et de l'habitation, sont mises à disposition du public ; </w:t>
      </w:r>
      <w:r w:rsidRPr="00B77F10">
        <w:rPr>
          <w:rFonts w:ascii="Times New Roman" w:eastAsia="Times New Roman" w:hAnsi="Times New Roman" w:cs="Times New Roman"/>
          <w:sz w:val="24"/>
          <w:szCs w:val="24"/>
          <w:lang w:eastAsia="fr-FR"/>
        </w:rPr>
        <w:br/>
        <w:t xml:space="preserve">- les conditions d'élaboration des déclarations environnementales collectives portant sur des produits de construction ou de décoration ou sur des équipements par plusieurs déclarants ; </w:t>
      </w:r>
      <w:r w:rsidRPr="00B77F10">
        <w:rPr>
          <w:rFonts w:ascii="Times New Roman" w:eastAsia="Times New Roman" w:hAnsi="Times New Roman" w:cs="Times New Roman"/>
          <w:sz w:val="24"/>
          <w:szCs w:val="24"/>
          <w:lang w:eastAsia="fr-FR"/>
        </w:rPr>
        <w:br/>
        <w:t xml:space="preserve">- les conditions d'élaboration des déclarations paramétrables portant sur des produits de construction ou de décoration ou sur des équipements. </w:t>
      </w:r>
      <w:r w:rsidRPr="00B77F10">
        <w:rPr>
          <w:rFonts w:ascii="Times New Roman" w:eastAsia="Times New Roman" w:hAnsi="Times New Roman" w:cs="Times New Roman"/>
          <w:sz w:val="24"/>
          <w:szCs w:val="24"/>
          <w:lang w:eastAsia="fr-FR"/>
        </w:rPr>
        <w:br/>
        <w:t xml:space="preserve">Références : les textes créés ou modifiés par le présent arrêté peuvent être consultés, dans leur rédaction issue de cette modification, sur le site Légifrance (https://www.legifrance.gouv.fr). </w:t>
      </w:r>
    </w:p>
    <w:p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ministre de la transition écologique et la ministre déléguée auprès de la ministre de la transition écologique, chargée du logement,</w:t>
      </w:r>
      <w:r w:rsidRPr="00B77F10">
        <w:rPr>
          <w:rFonts w:ascii="Times New Roman" w:eastAsia="Times New Roman" w:hAnsi="Times New Roman" w:cs="Times New Roman"/>
          <w:sz w:val="24"/>
          <w:szCs w:val="24"/>
          <w:lang w:eastAsia="fr-FR"/>
        </w:rPr>
        <w:br/>
        <w:t xml:space="preserve">Vu la directive (UE) 2015/1535 du Parlement européen et du Conseil du 9 septembre 2015, </w:t>
      </w:r>
      <w:r w:rsidRPr="00B77F10">
        <w:rPr>
          <w:rFonts w:ascii="Times New Roman" w:eastAsia="Times New Roman" w:hAnsi="Times New Roman" w:cs="Times New Roman"/>
          <w:sz w:val="24"/>
          <w:szCs w:val="24"/>
          <w:lang w:eastAsia="fr-FR"/>
        </w:rPr>
        <w:lastRenderedPageBreak/>
        <w:t>prévoyant une procédure d'information dans le domaine des réglementations techniques et des règles relatives aux services de la société de l'information et la notification n° 2021/257/F adressée à la Commission européenne le 28 avril 2021 et la réponse du 29 juillet 2021 de cette dernière ;</w:t>
      </w:r>
      <w:r w:rsidRPr="00B77F10">
        <w:rPr>
          <w:rFonts w:ascii="Times New Roman" w:eastAsia="Times New Roman" w:hAnsi="Times New Roman" w:cs="Times New Roman"/>
          <w:sz w:val="24"/>
          <w:szCs w:val="24"/>
          <w:lang w:eastAsia="fr-FR"/>
        </w:rPr>
        <w:br/>
        <w:t>Vu le code de la consommation, notamment le 10° de son article L. 412-1 ;</w:t>
      </w:r>
      <w:r w:rsidRPr="00B77F10">
        <w:rPr>
          <w:rFonts w:ascii="Times New Roman" w:eastAsia="Times New Roman" w:hAnsi="Times New Roman" w:cs="Times New Roman"/>
          <w:sz w:val="24"/>
          <w:szCs w:val="24"/>
          <w:lang w:eastAsia="fr-FR"/>
        </w:rPr>
        <w:br/>
        <w:t>Vu le code de la construction et de l'habitation, notamment ses articles R. 171-14 à R. 171-31 ;</w:t>
      </w:r>
      <w:r w:rsidRPr="00B77F10">
        <w:rPr>
          <w:rFonts w:ascii="Times New Roman" w:eastAsia="Times New Roman" w:hAnsi="Times New Roman" w:cs="Times New Roman"/>
          <w:sz w:val="24"/>
          <w:szCs w:val="24"/>
          <w:lang w:eastAsia="fr-FR"/>
        </w:rPr>
        <w:br/>
        <w:t>Vu l'avis du Conseil supérieur de la construction et de l'efficacité énergétique en date du 13 avril 2021 ;</w:t>
      </w:r>
      <w:r w:rsidRPr="00B77F10">
        <w:rPr>
          <w:rFonts w:ascii="Times New Roman" w:eastAsia="Times New Roman" w:hAnsi="Times New Roman" w:cs="Times New Roman"/>
          <w:sz w:val="24"/>
          <w:szCs w:val="24"/>
          <w:lang w:eastAsia="fr-FR"/>
        </w:rPr>
        <w:br/>
        <w:t>Vu les observations formulées lors de la consultation du public réalisée du 18 mai au 8 juin 2021, en application de l'article L. 123-19-1 du code de l'environnement,</w:t>
      </w:r>
      <w:r w:rsidRPr="00B77F10">
        <w:rPr>
          <w:rFonts w:ascii="Times New Roman" w:eastAsia="Times New Roman" w:hAnsi="Times New Roman" w:cs="Times New Roman"/>
          <w:sz w:val="24"/>
          <w:szCs w:val="24"/>
          <w:lang w:eastAsia="fr-FR"/>
        </w:rPr>
        <w:br/>
        <w:t>Arrêtent :</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Les dispositions du présent arrêté s'appliquent aux produits de construction, aux produits de décoration et aux équipements électriques, électroniques et de génie climatique, mentionnés à l'article R. 171-14 du code de la construction et de l'habitation et à l'article R. 171-23 du code de la construction et de l'habitation.</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2</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 sens du présent arrêté, on entend par :</w:t>
      </w:r>
      <w:r w:rsidRPr="00B77F10">
        <w:rPr>
          <w:rFonts w:ascii="Times New Roman" w:eastAsia="Times New Roman" w:hAnsi="Times New Roman" w:cs="Times New Roman"/>
          <w:sz w:val="24"/>
          <w:szCs w:val="24"/>
          <w:lang w:eastAsia="fr-FR"/>
        </w:rPr>
        <w:br/>
        <w:t>« Déclaration paramétrable » : déclaration environnementale assortie de règles permettant d'adapter les informations qui y sont mentionnées pour correspondre à un produit particulier et d'un outil informatique permettant d'appliquer ces règles.</w:t>
      </w:r>
      <w:r w:rsidRPr="00B77F10">
        <w:rPr>
          <w:rFonts w:ascii="Times New Roman" w:eastAsia="Times New Roman" w:hAnsi="Times New Roman" w:cs="Times New Roman"/>
          <w:sz w:val="24"/>
          <w:szCs w:val="24"/>
          <w:lang w:eastAsia="fr-FR"/>
        </w:rPr>
        <w:br/>
        <w:t>Dans les articles suivants, le terme « déclarant » est entendu au sens de « déclarant » défini à l'article R. 171-15 du code de la construction et de l'habitation ou au sens de « responsable de la mise sur le marché » défini à l'article R. 171-24 du code de la construction et de l'habitation.</w:t>
      </w:r>
      <w:r w:rsidRPr="00B77F10">
        <w:rPr>
          <w:rFonts w:ascii="Times New Roman" w:eastAsia="Times New Roman" w:hAnsi="Times New Roman" w:cs="Times New Roman"/>
          <w:sz w:val="24"/>
          <w:szCs w:val="24"/>
          <w:lang w:eastAsia="fr-FR"/>
        </w:rPr>
        <w:br/>
        <w:t>Dans les articles suivants, le terme « produit » est entendu au sens de « produits de construction », « produits de décoration » et « équipements électriques, électroniques et de génie climatique » définis à l'article R. 171-15 du code de la construction et de l'habitation.</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3</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déclaration environnementale contient les informations mentionnées à l'article R. 171-17 du code de la construction et de l'habitation.</w:t>
      </w:r>
      <w:r w:rsidRPr="00B77F10">
        <w:rPr>
          <w:rFonts w:ascii="Times New Roman" w:eastAsia="Times New Roman" w:hAnsi="Times New Roman" w:cs="Times New Roman"/>
          <w:sz w:val="24"/>
          <w:szCs w:val="24"/>
          <w:lang w:eastAsia="fr-FR"/>
        </w:rPr>
        <w:br/>
        <w:t>En application du 1° de l'article R. 171-17 du code de la construction et de l'habitation, la déclaration environnementale contient, pour l'étape de production, l'étape du processus de construction, l'étape d'utilisation, l'étape de fin de vie et la somme de ces étapes, les valeurs des indicateurs suivants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décrivant les impacts environnementaux :</w:t>
      </w:r>
      <w:r w:rsidRPr="00B77F10">
        <w:rPr>
          <w:rFonts w:ascii="Times New Roman" w:eastAsia="Times New Roman" w:hAnsi="Times New Roman" w:cs="Times New Roman"/>
          <w:sz w:val="24"/>
          <w:szCs w:val="24"/>
          <w:lang w:eastAsia="fr-FR"/>
        </w:rPr>
        <w:br/>
        <w:t>- réchauffement climatique (émissions de gaz à effet de serre) ;</w:t>
      </w:r>
      <w:r w:rsidRPr="00B77F10">
        <w:rPr>
          <w:rFonts w:ascii="Times New Roman" w:eastAsia="Times New Roman" w:hAnsi="Times New Roman" w:cs="Times New Roman"/>
          <w:sz w:val="24"/>
          <w:szCs w:val="24"/>
          <w:lang w:eastAsia="fr-FR"/>
        </w:rPr>
        <w:br/>
      </w:r>
      <w:r w:rsidRPr="00B77F10">
        <w:rPr>
          <w:rFonts w:ascii="Times New Roman" w:eastAsia="Times New Roman" w:hAnsi="Times New Roman" w:cs="Times New Roman"/>
          <w:sz w:val="24"/>
          <w:szCs w:val="24"/>
          <w:lang w:eastAsia="fr-FR"/>
        </w:rPr>
        <w:lastRenderedPageBreak/>
        <w:t>- appauvrissement de la couche d'ozone ;</w:t>
      </w:r>
      <w:r w:rsidRPr="00B77F10">
        <w:rPr>
          <w:rFonts w:ascii="Times New Roman" w:eastAsia="Times New Roman" w:hAnsi="Times New Roman" w:cs="Times New Roman"/>
          <w:sz w:val="24"/>
          <w:szCs w:val="24"/>
          <w:lang w:eastAsia="fr-FR"/>
        </w:rPr>
        <w:br/>
        <w:t>- acidification des sols et de l'eau ;</w:t>
      </w:r>
      <w:r w:rsidRPr="00B77F10">
        <w:rPr>
          <w:rFonts w:ascii="Times New Roman" w:eastAsia="Times New Roman" w:hAnsi="Times New Roman" w:cs="Times New Roman"/>
          <w:sz w:val="24"/>
          <w:szCs w:val="24"/>
          <w:lang w:eastAsia="fr-FR"/>
        </w:rPr>
        <w:br/>
        <w:t>- eutrophisation ;</w:t>
      </w:r>
      <w:r w:rsidRPr="00B77F10">
        <w:rPr>
          <w:rFonts w:ascii="Times New Roman" w:eastAsia="Times New Roman" w:hAnsi="Times New Roman" w:cs="Times New Roman"/>
          <w:sz w:val="24"/>
          <w:szCs w:val="24"/>
          <w:lang w:eastAsia="fr-FR"/>
        </w:rPr>
        <w:br/>
        <w:t>- formation d'ozone photochimique ;</w:t>
      </w:r>
      <w:r w:rsidRPr="00B77F10">
        <w:rPr>
          <w:rFonts w:ascii="Times New Roman" w:eastAsia="Times New Roman" w:hAnsi="Times New Roman" w:cs="Times New Roman"/>
          <w:sz w:val="24"/>
          <w:szCs w:val="24"/>
          <w:lang w:eastAsia="fr-FR"/>
        </w:rPr>
        <w:br/>
        <w:t>- épuisement des ressources abiotiques - éléments ;</w:t>
      </w:r>
      <w:r w:rsidRPr="00B77F10">
        <w:rPr>
          <w:rFonts w:ascii="Times New Roman" w:eastAsia="Times New Roman" w:hAnsi="Times New Roman" w:cs="Times New Roman"/>
          <w:sz w:val="24"/>
          <w:szCs w:val="24"/>
          <w:lang w:eastAsia="fr-FR"/>
        </w:rPr>
        <w:br/>
        <w:t>- épuisement des ressources abiotiques - combustibles fossiles.</w:t>
      </w:r>
      <w:r w:rsidRPr="00B77F10">
        <w:rPr>
          <w:rFonts w:ascii="Times New Roman" w:eastAsia="Times New Roman" w:hAnsi="Times New Roman" w:cs="Times New Roman"/>
          <w:sz w:val="24"/>
          <w:szCs w:val="24"/>
          <w:lang w:eastAsia="fr-FR"/>
        </w:rPr>
        <w:br/>
        <w:t>- décrivant l'utilisation des ressources :</w:t>
      </w:r>
      <w:r w:rsidRPr="00B77F10">
        <w:rPr>
          <w:rFonts w:ascii="Times New Roman" w:eastAsia="Times New Roman" w:hAnsi="Times New Roman" w:cs="Times New Roman"/>
          <w:sz w:val="24"/>
          <w:szCs w:val="24"/>
          <w:lang w:eastAsia="fr-FR"/>
        </w:rPr>
        <w:br/>
        <w:t>- utilisation de l'énergie primaire renouvelable, à l'exclusion des ressources d'énergie primaire renouvelables utilisées comme matières premières ;</w:t>
      </w:r>
      <w:r w:rsidRPr="00B77F10">
        <w:rPr>
          <w:rFonts w:ascii="Times New Roman" w:eastAsia="Times New Roman" w:hAnsi="Times New Roman" w:cs="Times New Roman"/>
          <w:sz w:val="24"/>
          <w:szCs w:val="24"/>
          <w:lang w:eastAsia="fr-FR"/>
        </w:rPr>
        <w:br/>
        <w:t>- utilisation des ressources d'énergie primaire renouvelables utilisées en tant que matières premières ;</w:t>
      </w:r>
      <w:r w:rsidRPr="00B77F10">
        <w:rPr>
          <w:rFonts w:ascii="Times New Roman" w:eastAsia="Times New Roman" w:hAnsi="Times New Roman" w:cs="Times New Roman"/>
          <w:sz w:val="24"/>
          <w:szCs w:val="24"/>
          <w:lang w:eastAsia="fr-FR"/>
        </w:rPr>
        <w:br/>
        <w:t>- utilisation totale des ressources d'énergie primaire renouvelables (énergie primaire et ressources d'énergie primaire utilisées comme matières premières) ;</w:t>
      </w:r>
      <w:r w:rsidRPr="00B77F10">
        <w:rPr>
          <w:rFonts w:ascii="Times New Roman" w:eastAsia="Times New Roman" w:hAnsi="Times New Roman" w:cs="Times New Roman"/>
          <w:sz w:val="24"/>
          <w:szCs w:val="24"/>
          <w:lang w:eastAsia="fr-FR"/>
        </w:rPr>
        <w:br/>
        <w:t>- utilisation de l'énergie primaire non renouvelable, à l'exclusion des ressources d'énergie primaire non renouvelables utilisées comme matières premières ;</w:t>
      </w:r>
      <w:r w:rsidRPr="00B77F10">
        <w:rPr>
          <w:rFonts w:ascii="Times New Roman" w:eastAsia="Times New Roman" w:hAnsi="Times New Roman" w:cs="Times New Roman"/>
          <w:sz w:val="24"/>
          <w:szCs w:val="24"/>
          <w:lang w:eastAsia="fr-FR"/>
        </w:rPr>
        <w:br/>
        <w:t>- utilisation des ressources d'énergie primaire non renouvelables utilisées en tant que matières premières ;</w:t>
      </w:r>
      <w:r w:rsidRPr="00B77F10">
        <w:rPr>
          <w:rFonts w:ascii="Times New Roman" w:eastAsia="Times New Roman" w:hAnsi="Times New Roman" w:cs="Times New Roman"/>
          <w:sz w:val="24"/>
          <w:szCs w:val="24"/>
          <w:lang w:eastAsia="fr-FR"/>
        </w:rPr>
        <w:br/>
        <w:t>- utilisation totale des ressources d'énergie primaire non renouvelables (énergie primaire et ressources d'énergie primaire utilisées comme matières premières) ;</w:t>
      </w:r>
      <w:r w:rsidRPr="00B77F10">
        <w:rPr>
          <w:rFonts w:ascii="Times New Roman" w:eastAsia="Times New Roman" w:hAnsi="Times New Roman" w:cs="Times New Roman"/>
          <w:sz w:val="24"/>
          <w:szCs w:val="24"/>
          <w:lang w:eastAsia="fr-FR"/>
        </w:rPr>
        <w:br/>
        <w:t>- utilisation de matière secondaire ;</w:t>
      </w:r>
      <w:r w:rsidRPr="00B77F10">
        <w:rPr>
          <w:rFonts w:ascii="Times New Roman" w:eastAsia="Times New Roman" w:hAnsi="Times New Roman" w:cs="Times New Roman"/>
          <w:sz w:val="24"/>
          <w:szCs w:val="24"/>
          <w:lang w:eastAsia="fr-FR"/>
        </w:rPr>
        <w:br/>
        <w:t>- utilisation de combustibles secondaires renouvelables ;</w:t>
      </w:r>
      <w:r w:rsidRPr="00B77F10">
        <w:rPr>
          <w:rFonts w:ascii="Times New Roman" w:eastAsia="Times New Roman" w:hAnsi="Times New Roman" w:cs="Times New Roman"/>
          <w:sz w:val="24"/>
          <w:szCs w:val="24"/>
          <w:lang w:eastAsia="fr-FR"/>
        </w:rPr>
        <w:br/>
        <w:t>- utilisation de combustibles secondaires non renouvelables ;</w:t>
      </w:r>
      <w:r w:rsidRPr="00B77F10">
        <w:rPr>
          <w:rFonts w:ascii="Times New Roman" w:eastAsia="Times New Roman" w:hAnsi="Times New Roman" w:cs="Times New Roman"/>
          <w:sz w:val="24"/>
          <w:szCs w:val="24"/>
          <w:lang w:eastAsia="fr-FR"/>
        </w:rPr>
        <w:br/>
        <w:t>- utilisation nette d'eau douce.</w:t>
      </w:r>
      <w:r w:rsidRPr="00B77F10">
        <w:rPr>
          <w:rFonts w:ascii="Times New Roman" w:eastAsia="Times New Roman" w:hAnsi="Times New Roman" w:cs="Times New Roman"/>
          <w:sz w:val="24"/>
          <w:szCs w:val="24"/>
          <w:lang w:eastAsia="fr-FR"/>
        </w:rPr>
        <w:br/>
        <w:t>- décrivant les catégories de déchets :</w:t>
      </w:r>
      <w:r w:rsidRPr="00B77F10">
        <w:rPr>
          <w:rFonts w:ascii="Times New Roman" w:eastAsia="Times New Roman" w:hAnsi="Times New Roman" w:cs="Times New Roman"/>
          <w:sz w:val="24"/>
          <w:szCs w:val="24"/>
          <w:lang w:eastAsia="fr-FR"/>
        </w:rPr>
        <w:br/>
        <w:t>- déchets dangereux éliminés ;</w:t>
      </w:r>
      <w:r w:rsidRPr="00B77F10">
        <w:rPr>
          <w:rFonts w:ascii="Times New Roman" w:eastAsia="Times New Roman" w:hAnsi="Times New Roman" w:cs="Times New Roman"/>
          <w:sz w:val="24"/>
          <w:szCs w:val="24"/>
          <w:lang w:eastAsia="fr-FR"/>
        </w:rPr>
        <w:br/>
        <w:t>- déchets non dangereux éliminés ;</w:t>
      </w:r>
      <w:r w:rsidRPr="00B77F10">
        <w:rPr>
          <w:rFonts w:ascii="Times New Roman" w:eastAsia="Times New Roman" w:hAnsi="Times New Roman" w:cs="Times New Roman"/>
          <w:sz w:val="24"/>
          <w:szCs w:val="24"/>
          <w:lang w:eastAsia="fr-FR"/>
        </w:rPr>
        <w:br/>
        <w:t>- déchets radioactifs éliminés.</w:t>
      </w:r>
      <w:r w:rsidRPr="00B77F10">
        <w:rPr>
          <w:rFonts w:ascii="Times New Roman" w:eastAsia="Times New Roman" w:hAnsi="Times New Roman" w:cs="Times New Roman"/>
          <w:sz w:val="24"/>
          <w:szCs w:val="24"/>
          <w:lang w:eastAsia="fr-FR"/>
        </w:rPr>
        <w:br/>
        <w:t>- décrivant les flux sortants :</w:t>
      </w:r>
      <w:r w:rsidRPr="00B77F10">
        <w:rPr>
          <w:rFonts w:ascii="Times New Roman" w:eastAsia="Times New Roman" w:hAnsi="Times New Roman" w:cs="Times New Roman"/>
          <w:sz w:val="24"/>
          <w:szCs w:val="24"/>
          <w:lang w:eastAsia="fr-FR"/>
        </w:rPr>
        <w:br/>
        <w:t>- composants destinés à la réutilisation ;</w:t>
      </w:r>
      <w:r w:rsidRPr="00B77F10">
        <w:rPr>
          <w:rFonts w:ascii="Times New Roman" w:eastAsia="Times New Roman" w:hAnsi="Times New Roman" w:cs="Times New Roman"/>
          <w:sz w:val="24"/>
          <w:szCs w:val="24"/>
          <w:lang w:eastAsia="fr-FR"/>
        </w:rPr>
        <w:br/>
        <w:t>- matériaux destinés au recyclage ;</w:t>
      </w:r>
      <w:r w:rsidRPr="00B77F10">
        <w:rPr>
          <w:rFonts w:ascii="Times New Roman" w:eastAsia="Times New Roman" w:hAnsi="Times New Roman" w:cs="Times New Roman"/>
          <w:sz w:val="24"/>
          <w:szCs w:val="24"/>
          <w:lang w:eastAsia="fr-FR"/>
        </w:rPr>
        <w:br/>
        <w:t>- matériaux destinés à la récupération d'énergie ;</w:t>
      </w:r>
      <w:r w:rsidRPr="00B77F10">
        <w:rPr>
          <w:rFonts w:ascii="Times New Roman" w:eastAsia="Times New Roman" w:hAnsi="Times New Roman" w:cs="Times New Roman"/>
          <w:sz w:val="24"/>
          <w:szCs w:val="24"/>
          <w:lang w:eastAsia="fr-FR"/>
        </w:rPr>
        <w:br/>
        <w:t>- énergie fournie à l'extérieur.</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 application du 4° de l'article R. 171-17 du code de la construction et de l'habitation, dans le cas d'une déclaration environnementale concernée par les exigences de l'article 8 du présent arrêté, la déclaration environnementale contient les intervalles de variation (les valeurs maximales et les valeurs minimales) des indicateurs témoins définis à l'article 8 du présent arrêté.</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4</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 déclarant tient à disposition des autorités chargées des contrôles et de la personne morale chargée de l'application d'un programme de déclarations environnementales, comme défini à l'article R. 171-21 du code de la construction et de l'habitation et à l'article R. 171-26 du code de la construction et de l'habitation, l'ensemble des éléments, ou les coordonnées des personnes physiques ou morales détentrices de ces éléments, permettant de justifier les informations contenues dans la déclaration environnementale.</w:t>
      </w:r>
      <w:r w:rsidRPr="00B77F10">
        <w:rPr>
          <w:rFonts w:ascii="Times New Roman" w:eastAsia="Times New Roman" w:hAnsi="Times New Roman" w:cs="Times New Roman"/>
          <w:sz w:val="24"/>
          <w:szCs w:val="24"/>
          <w:lang w:eastAsia="fr-FR"/>
        </w:rPr>
        <w:br/>
        <w:t>Les éléments précités sont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 l'origine des matières premières, matériaux et composants du produit ;</w:t>
      </w:r>
      <w:r w:rsidRPr="00B77F10">
        <w:rPr>
          <w:rFonts w:ascii="Times New Roman" w:eastAsia="Times New Roman" w:hAnsi="Times New Roman" w:cs="Times New Roman"/>
          <w:sz w:val="24"/>
          <w:szCs w:val="24"/>
          <w:lang w:eastAsia="fr-FR"/>
        </w:rPr>
        <w:br/>
        <w:t>- l'identification des intrants non inclus dans l'inventaire du cycle de vie en respect de la règle de coupure ;</w:t>
      </w:r>
      <w:r w:rsidRPr="00B77F10">
        <w:rPr>
          <w:rFonts w:ascii="Times New Roman" w:eastAsia="Times New Roman" w:hAnsi="Times New Roman" w:cs="Times New Roman"/>
          <w:sz w:val="24"/>
          <w:szCs w:val="24"/>
          <w:lang w:eastAsia="fr-FR"/>
        </w:rPr>
        <w:br/>
        <w:t>- la masse totale des intrants non inclus dans l'inventaire du cycle de vie en respect de la règle de coupure ;</w:t>
      </w:r>
      <w:r w:rsidRPr="00B77F10">
        <w:rPr>
          <w:rFonts w:ascii="Times New Roman" w:eastAsia="Times New Roman" w:hAnsi="Times New Roman" w:cs="Times New Roman"/>
          <w:sz w:val="24"/>
          <w:szCs w:val="24"/>
          <w:lang w:eastAsia="fr-FR"/>
        </w:rPr>
        <w:br/>
        <w:t>- les résultats des calculs d'inventaires ;</w:t>
      </w:r>
      <w:r w:rsidRPr="00B77F10">
        <w:rPr>
          <w:rFonts w:ascii="Times New Roman" w:eastAsia="Times New Roman" w:hAnsi="Times New Roman" w:cs="Times New Roman"/>
          <w:sz w:val="24"/>
          <w:szCs w:val="24"/>
          <w:lang w:eastAsia="fr-FR"/>
        </w:rPr>
        <w:br/>
        <w:t>- les éléments justificatifs de la durée de vie de référence du produit ;</w:t>
      </w:r>
      <w:r w:rsidRPr="00B77F10">
        <w:rPr>
          <w:rFonts w:ascii="Times New Roman" w:eastAsia="Times New Roman" w:hAnsi="Times New Roman" w:cs="Times New Roman"/>
          <w:sz w:val="24"/>
          <w:szCs w:val="24"/>
          <w:lang w:eastAsia="fr-FR"/>
        </w:rPr>
        <w:br/>
        <w:t>- la documentation relative à la représentativité technologique, géographique et temporelle des données génériques utilisées, les références des bases dont elles sont issues et les références des modules de données utilisés, en cas de recours à des données génériques issues de bases de données publiques ou privées ;</w:t>
      </w:r>
      <w:r w:rsidRPr="00B77F10">
        <w:rPr>
          <w:rFonts w:ascii="Times New Roman" w:eastAsia="Times New Roman" w:hAnsi="Times New Roman" w:cs="Times New Roman"/>
          <w:sz w:val="24"/>
          <w:szCs w:val="24"/>
          <w:lang w:eastAsia="fr-FR"/>
        </w:rPr>
        <w:br/>
        <w:t>- les scenarii dont découle l'inventaire du cycle de vie ;</w:t>
      </w:r>
      <w:r w:rsidRPr="00B77F10">
        <w:rPr>
          <w:rFonts w:ascii="Times New Roman" w:eastAsia="Times New Roman" w:hAnsi="Times New Roman" w:cs="Times New Roman"/>
          <w:sz w:val="24"/>
          <w:szCs w:val="24"/>
          <w:lang w:eastAsia="fr-FR"/>
        </w:rPr>
        <w:br/>
        <w:t>- le(s) site(s) de production couvert(s) par la déclaration environnementale ;</w:t>
      </w:r>
      <w:r w:rsidRPr="00B77F10">
        <w:rPr>
          <w:rFonts w:ascii="Times New Roman" w:eastAsia="Times New Roman" w:hAnsi="Times New Roman" w:cs="Times New Roman"/>
          <w:sz w:val="24"/>
          <w:szCs w:val="24"/>
          <w:lang w:eastAsia="fr-FR"/>
        </w:rPr>
        <w:br/>
        <w:t>- la production, de chaque site, exprimée avec l'unité de quantité définie dans l'unité fonctionnelle ;</w:t>
      </w:r>
      <w:r w:rsidRPr="00B77F10">
        <w:rPr>
          <w:rFonts w:ascii="Times New Roman" w:eastAsia="Times New Roman" w:hAnsi="Times New Roman" w:cs="Times New Roman"/>
          <w:sz w:val="24"/>
          <w:szCs w:val="24"/>
          <w:lang w:eastAsia="fr-FR"/>
        </w:rPr>
        <w:br/>
        <w:t>- les éléments justifiant que l'échantillon utilisé est représentatif, notamment d'un point de vue géographique, temporel et technologique, de la production du produit, en cas de recours à une méthode d'échantillonnage ;</w:t>
      </w:r>
      <w:r w:rsidRPr="00B77F10">
        <w:rPr>
          <w:rFonts w:ascii="Times New Roman" w:eastAsia="Times New Roman" w:hAnsi="Times New Roman" w:cs="Times New Roman"/>
          <w:sz w:val="24"/>
          <w:szCs w:val="24"/>
          <w:lang w:eastAsia="fr-FR"/>
        </w:rPr>
        <w:br/>
        <w:t>- les éléments constitutifs du cadre de validité pour les déclarations environnementales concernées par les exigences de l'article 8 du présent arrêté ;</w:t>
      </w:r>
      <w:r w:rsidRPr="00B77F10">
        <w:rPr>
          <w:rFonts w:ascii="Times New Roman" w:eastAsia="Times New Roman" w:hAnsi="Times New Roman" w:cs="Times New Roman"/>
          <w:sz w:val="24"/>
          <w:szCs w:val="24"/>
          <w:lang w:eastAsia="fr-FR"/>
        </w:rPr>
        <w:br/>
        <w:t>- les éléments constitutifs de la déclaration paramétrable mentionnée à l'article 10 du présent arrêté.</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5</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Les formats d'unités fonctionnelles, définies à l'article R. 171-15 du code de la construction et de l'habitation, pour chaque catégorie de produits de construction et de décoration sont définis à l'annexe I du présent arrêté.</w:t>
      </w:r>
      <w:r w:rsidRPr="00B77F10">
        <w:rPr>
          <w:rFonts w:ascii="Times New Roman" w:eastAsia="Times New Roman" w:hAnsi="Times New Roman" w:cs="Times New Roman"/>
          <w:sz w:val="24"/>
          <w:szCs w:val="24"/>
          <w:lang w:eastAsia="fr-FR"/>
        </w:rPr>
        <w:br/>
        <w:t>Les formats d'unités fonctionnelles ou d'unités déclarées, définies à l'article R. 171-15 du code de la construction et de l'habitation, pour les équipements électriques, électroniques et de génie climatique sont définis à l'annexe II du présent arrêté.</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6</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Les méthodes d'évaluation, de calcul des informations et de détermination des indicateurs mentionnés aux 1°, 2°, 3°, 14° et 15° de l'article R. 171-17 du code de la construction et de l'habitation et précisés à l'article 3 du présent arrêté, sont présumées satisfaire aux exigences du présent arrêté si elles suivent l'ensemble des conditions suivantes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elles ne conduisent pas à omettre des processus représentant au total plus de 5% de la valeur de chacune des informations mentionnées ;</w:t>
      </w:r>
      <w:r w:rsidRPr="00B77F10">
        <w:rPr>
          <w:rFonts w:ascii="Times New Roman" w:eastAsia="Times New Roman" w:hAnsi="Times New Roman" w:cs="Times New Roman"/>
          <w:sz w:val="24"/>
          <w:szCs w:val="24"/>
          <w:lang w:eastAsia="fr-FR"/>
        </w:rPr>
        <w:br/>
        <w:t>- elles ne conduisent pas à octroyer au produit objet de la déclaration environnementale des bénéfices apportés à d'autres produits, dans le calcul des informations mentionnées à l'exception des indicateurs portant sur les bénéfices et charges liés à la valorisation en fin de vie ;</w:t>
      </w:r>
      <w:r w:rsidRPr="00B77F10">
        <w:rPr>
          <w:rFonts w:ascii="Times New Roman" w:eastAsia="Times New Roman" w:hAnsi="Times New Roman" w:cs="Times New Roman"/>
          <w:sz w:val="24"/>
          <w:szCs w:val="24"/>
          <w:lang w:eastAsia="fr-FR"/>
        </w:rPr>
        <w:br/>
        <w:t>- elles respectent soit la norme NF EN 15804 + A1 : 2014-04, soit la norme XP C08-100-</w:t>
      </w:r>
      <w:r w:rsidRPr="00B77F10">
        <w:rPr>
          <w:rFonts w:ascii="Times New Roman" w:eastAsia="Times New Roman" w:hAnsi="Times New Roman" w:cs="Times New Roman"/>
          <w:sz w:val="24"/>
          <w:szCs w:val="24"/>
          <w:lang w:eastAsia="fr-FR"/>
        </w:rPr>
        <w:lastRenderedPageBreak/>
        <w:t>1 : 2016-12, soit les normes XP C08-100-1 : 2016-12 et EN 50693 : 2019-08, soit toute norme équivalente ;</w:t>
      </w:r>
      <w:r w:rsidRPr="00B77F10">
        <w:rPr>
          <w:rFonts w:ascii="Times New Roman" w:eastAsia="Times New Roman" w:hAnsi="Times New Roman" w:cs="Times New Roman"/>
          <w:sz w:val="24"/>
          <w:szCs w:val="24"/>
          <w:lang w:eastAsia="fr-FR"/>
        </w:rPr>
        <w:br/>
        <w:t>- elles respectent la méthode de calcul de l'évaluation des bénéfices et charges liés à la valorisation en fin de vie définie à l'annexe III du présent arrêté.</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De plus, pour les déclarations environnementales bénéficiant d'une attestation de conformité après le 1er octobre 2022, dans le cas où la déclaration environnementale couvre différents modes de pose du produit qui en est l'objet, les méthodes d'évaluation et de calcul des informations mentionnées respectent les règles suivantes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les indicateurs témoins listés ci-après sont évalués pour chacun de ces modes de pose : réchauffement climatique, utilisation de l'énergie primaire non renouvelable à l'exclusion des ressources d'énergie primaire non renouvelables utilisées comme matières premières, déchets non dangereux éliminés ;</w:t>
      </w:r>
      <w:r w:rsidRPr="00B77F10">
        <w:rPr>
          <w:rFonts w:ascii="Times New Roman" w:eastAsia="Times New Roman" w:hAnsi="Times New Roman" w:cs="Times New Roman"/>
          <w:sz w:val="24"/>
          <w:szCs w:val="24"/>
          <w:lang w:eastAsia="fr-FR"/>
        </w:rPr>
        <w:br/>
        <w:t>- pour chacun de ces indicateurs témoins, la valeur maximale obtenue pour la somme des étapes mentionnées à l'article 3 du présent arrêté est comparée à la moyenne des valeurs obtenues (c'est-à-dire l'impact moyen des différents modes de pose). Si pour un de ces indicateurs la valeur maximale est supérieure à 1,1 fois la valeur moyenne, alors c'est la valeur la plus défavorable qui doit être déclarée pour chacun des indicateurs figurants dans la déclaration environnementale (c'est-à-dire les valeurs les plus défavorables des différents modes de pose). Sinon, la valeur moyenne peut être déclarée pour chacun des indicateurs.</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7</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L'adresse de la base de données ou les adresses des bases de données, mentionnées à l'article R. 171-20 du code de la construction et de l'habitation, où sont disponibles les données environnementales de service et les données environnementales par défaut, définies à l'article R. 171-16 du code de la construction et de l'habitation, ainsi que les déclarations environnementales, sont renseignées sur le site du ministère chargé de la construction.</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8</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déclaration environnementale peut se fonder sur une déclaration environnementale collective portant sur des produits similaires de plusieurs déclarants.</w:t>
      </w:r>
      <w:r w:rsidRPr="00B77F10">
        <w:rPr>
          <w:rFonts w:ascii="Times New Roman" w:eastAsia="Times New Roman" w:hAnsi="Times New Roman" w:cs="Times New Roman"/>
          <w:sz w:val="24"/>
          <w:szCs w:val="24"/>
          <w:lang w:eastAsia="fr-FR"/>
        </w:rPr>
        <w:br/>
        <w:t>1° Cette déclaration environnementale collective satisfait aux conditions suivantes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elle concerne un « produit type » ;</w:t>
      </w:r>
      <w:r w:rsidRPr="00B77F10">
        <w:rPr>
          <w:rFonts w:ascii="Times New Roman" w:eastAsia="Times New Roman" w:hAnsi="Times New Roman" w:cs="Times New Roman"/>
          <w:sz w:val="24"/>
          <w:szCs w:val="24"/>
          <w:lang w:eastAsia="fr-FR"/>
        </w:rPr>
        <w:br/>
        <w:t>- elle est établie dans les conditions mentionnées aux articles précédents ;</w:t>
      </w:r>
      <w:r w:rsidRPr="00B77F10">
        <w:rPr>
          <w:rFonts w:ascii="Times New Roman" w:eastAsia="Times New Roman" w:hAnsi="Times New Roman" w:cs="Times New Roman"/>
          <w:sz w:val="24"/>
          <w:szCs w:val="24"/>
          <w:lang w:eastAsia="fr-FR"/>
        </w:rPr>
        <w:br/>
        <w:t>- l'homogénéité des paramètres qui influencent de façon significative la valeur de chacun des indicateurs doit être garantie ; à cette fin, la déclaration environnementale collective contient un cadre de validité, défini à l'annexe IV du présent arrêté, qui rassemble les informations suivantes :</w:t>
      </w:r>
      <w:r w:rsidRPr="00B77F10">
        <w:rPr>
          <w:rFonts w:ascii="Times New Roman" w:eastAsia="Times New Roman" w:hAnsi="Times New Roman" w:cs="Times New Roman"/>
          <w:sz w:val="24"/>
          <w:szCs w:val="24"/>
          <w:lang w:eastAsia="fr-FR"/>
        </w:rPr>
        <w:br/>
        <w:t xml:space="preserve">- l'identification des paramètres influents en précisant s'ils sont renseignés à l'aide de </w:t>
      </w:r>
      <w:r w:rsidRPr="00B77F10">
        <w:rPr>
          <w:rFonts w:ascii="Times New Roman" w:eastAsia="Times New Roman" w:hAnsi="Times New Roman" w:cs="Times New Roman"/>
          <w:sz w:val="24"/>
          <w:szCs w:val="24"/>
          <w:lang w:eastAsia="fr-FR"/>
        </w:rPr>
        <w:lastRenderedPageBreak/>
        <w:t>données génériques ou spécifiques ;</w:t>
      </w:r>
      <w:r w:rsidRPr="00B77F10">
        <w:rPr>
          <w:rFonts w:ascii="Times New Roman" w:eastAsia="Times New Roman" w:hAnsi="Times New Roman" w:cs="Times New Roman"/>
          <w:sz w:val="24"/>
          <w:szCs w:val="24"/>
          <w:lang w:eastAsia="fr-FR"/>
        </w:rPr>
        <w:br/>
        <w:t>- les intervalles de validité de ces paramètres.</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2° Le déclarant ayant transmis la déclaration environnementale collective est responsable des informations qu'elle contient dont la liste des produits concernés et les conditions dans lesquelles des produits peuvent s'y rattacher le cas échéant ;</w:t>
      </w:r>
      <w:r w:rsidRPr="00B77F10">
        <w:rPr>
          <w:rFonts w:ascii="Times New Roman" w:eastAsia="Times New Roman" w:hAnsi="Times New Roman" w:cs="Times New Roman"/>
          <w:sz w:val="24"/>
          <w:szCs w:val="24"/>
          <w:lang w:eastAsia="fr-FR"/>
        </w:rPr>
        <w:br/>
        <w:t>3° Les déclarants des produits, visés par cette déclaration environnementale collective satisfont aux conditions suivantes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ils sont responsables des éléments qu'ils transmettent au déclarant susvisé ;</w:t>
      </w:r>
      <w:r w:rsidRPr="00B77F10">
        <w:rPr>
          <w:rFonts w:ascii="Times New Roman" w:eastAsia="Times New Roman" w:hAnsi="Times New Roman" w:cs="Times New Roman"/>
          <w:sz w:val="24"/>
          <w:szCs w:val="24"/>
          <w:lang w:eastAsia="fr-FR"/>
        </w:rPr>
        <w:br/>
        <w:t>- ils respectent le cadre de validité de la déclaration environnementale collective ;</w:t>
      </w:r>
      <w:r w:rsidRPr="00B77F10">
        <w:rPr>
          <w:rFonts w:ascii="Times New Roman" w:eastAsia="Times New Roman" w:hAnsi="Times New Roman" w:cs="Times New Roman"/>
          <w:sz w:val="24"/>
          <w:szCs w:val="24"/>
          <w:lang w:eastAsia="fr-FR"/>
        </w:rPr>
        <w:br/>
        <w:t>- ils fournissent une attestation indiquant le respect du cadre de validité de la déclaration environnementale collective ;</w:t>
      </w:r>
      <w:r w:rsidRPr="00B77F10">
        <w:rPr>
          <w:rFonts w:ascii="Times New Roman" w:eastAsia="Times New Roman" w:hAnsi="Times New Roman" w:cs="Times New Roman"/>
          <w:sz w:val="24"/>
          <w:szCs w:val="24"/>
          <w:lang w:eastAsia="fr-FR"/>
        </w:rPr>
        <w:br/>
        <w:t>- ils tiennent à disposition des autorités chargées des contrôles et de la personne morale chargée de l'application d'un programme de déclarations environnementales, les éléments justificatifs du respect du cadre de validité.</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4° La déclaration environnementale collective respecte les exigences de vérification par tierce partie indépendante définie à l'article R. 171-18 du code de la construction et de l'habitation et mentionnée à l'article R. 171-29 du code de la construction et de l'habitation ;</w:t>
      </w:r>
      <w:r w:rsidRPr="00B77F10">
        <w:rPr>
          <w:rFonts w:ascii="Times New Roman" w:eastAsia="Times New Roman" w:hAnsi="Times New Roman" w:cs="Times New Roman"/>
          <w:sz w:val="24"/>
          <w:szCs w:val="24"/>
          <w:lang w:eastAsia="fr-FR"/>
        </w:rPr>
        <w:br/>
        <w:t>5° Les indicateurs témoins à considérer sont, au minimum : réchauffement climatique, utilisation de l'énergie primaire non renouvelable à l'exclusion des ressources d'énergie primaire non renouvelables utilisées comme matières premières, déchets non dangereux éliminés ;</w:t>
      </w:r>
      <w:r w:rsidRPr="00B77F10">
        <w:rPr>
          <w:rFonts w:ascii="Times New Roman" w:eastAsia="Times New Roman" w:hAnsi="Times New Roman" w:cs="Times New Roman"/>
          <w:sz w:val="24"/>
          <w:szCs w:val="24"/>
          <w:lang w:eastAsia="fr-FR"/>
        </w:rPr>
        <w:br/>
        <w:t>6° Les déclarations environnementales collectives doivent satisfaire les exigences suivantes : lorsque la valeur maximale de chaque indicateur témoin, obtenue pour la somme des étapes mentionnées à l'article 3 du présent arrêté et au travers du calcul de la variabilité décrit à l'annexe IV du présent arrêté, est inférieure ou égale à la valeur moyenne de l'indicateur multiplié par une valeur limite, alors les valeurs des indicateurs peuvent être calculées avec les valeurs moyennes des paramètres sensibles. Dans le cas contraire, c'est la borne la plus défavorable qui doit être déclarée (valeur maximale que l'indicateur peut atteindre dans le cas où celui-ci traduit une charge et la valeur minimale lorsqu'il traduit un bénéfice).</w:t>
      </w:r>
      <w:r w:rsidRPr="00B77F10">
        <w:rPr>
          <w:rFonts w:ascii="Times New Roman" w:eastAsia="Times New Roman" w:hAnsi="Times New Roman" w:cs="Times New Roman"/>
          <w:sz w:val="24"/>
          <w:szCs w:val="24"/>
          <w:lang w:eastAsia="fr-FR"/>
        </w:rPr>
        <w:br/>
        <w:t>Pour les déclarations environnementales collectives bénéficiant d'une attestation de conformité avant le 1er octobre 2022, la valeur limite mentionnée précédemment est « 1,4 » et le calcul de la variabilité mentionné précédemment porte au minimum sur les paramètres sensibles relatifs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à la composition du produit : masse et nature des matériaux ;</w:t>
      </w:r>
      <w:r w:rsidRPr="00B77F10">
        <w:rPr>
          <w:rFonts w:ascii="Times New Roman" w:eastAsia="Times New Roman" w:hAnsi="Times New Roman" w:cs="Times New Roman"/>
          <w:sz w:val="24"/>
          <w:szCs w:val="24"/>
          <w:lang w:eastAsia="fr-FR"/>
        </w:rPr>
        <w:br/>
        <w:t>- aux masses d'emballages ;</w:t>
      </w:r>
      <w:r w:rsidRPr="00B77F10">
        <w:rPr>
          <w:rFonts w:ascii="Times New Roman" w:eastAsia="Times New Roman" w:hAnsi="Times New Roman" w:cs="Times New Roman"/>
          <w:sz w:val="24"/>
          <w:szCs w:val="24"/>
          <w:lang w:eastAsia="fr-FR"/>
        </w:rPr>
        <w:br/>
        <w:t>- aux processus de fabrication hors extraction et transformation des matières premières (étapes A2 et A3).</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Pour les déclarations environnementales collectives bénéficiant d'une attestation de </w:t>
      </w:r>
      <w:r w:rsidRPr="00B77F10">
        <w:rPr>
          <w:rFonts w:ascii="Times New Roman" w:eastAsia="Times New Roman" w:hAnsi="Times New Roman" w:cs="Times New Roman"/>
          <w:sz w:val="24"/>
          <w:szCs w:val="24"/>
          <w:lang w:eastAsia="fr-FR"/>
        </w:rPr>
        <w:lastRenderedPageBreak/>
        <w:t>conformité après le 1er octobre 2022, la valeur limite mentionnée précédemment est « 1,35 » et le calcul de la variabilité mentionné précédemment porte au minimum sur les paramètres sensibles relatifs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à la composition du produit : masse et nature des matériaux ;</w:t>
      </w:r>
      <w:r w:rsidRPr="00B77F10">
        <w:rPr>
          <w:rFonts w:ascii="Times New Roman" w:eastAsia="Times New Roman" w:hAnsi="Times New Roman" w:cs="Times New Roman"/>
          <w:sz w:val="24"/>
          <w:szCs w:val="24"/>
          <w:lang w:eastAsia="fr-FR"/>
        </w:rPr>
        <w:br/>
        <w:t>- aux masses d'emballages ;</w:t>
      </w:r>
      <w:r w:rsidRPr="00B77F10">
        <w:rPr>
          <w:rFonts w:ascii="Times New Roman" w:eastAsia="Times New Roman" w:hAnsi="Times New Roman" w:cs="Times New Roman"/>
          <w:sz w:val="24"/>
          <w:szCs w:val="24"/>
          <w:lang w:eastAsia="fr-FR"/>
        </w:rPr>
        <w:br/>
        <w:t>- aux processus de fabrication hors extraction et transformation des matières premières (étapes A2 et A3) ;</w:t>
      </w:r>
      <w:r w:rsidRPr="00B77F10">
        <w:rPr>
          <w:rFonts w:ascii="Times New Roman" w:eastAsia="Times New Roman" w:hAnsi="Times New Roman" w:cs="Times New Roman"/>
          <w:sz w:val="24"/>
          <w:szCs w:val="24"/>
          <w:lang w:eastAsia="fr-FR"/>
        </w:rPr>
        <w:br/>
        <w:t>- au transport vers le chantier (étape A4).</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9</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déclaration environnementale peut se fonder sur des produits similaires d'un même déclarant. Ces déclarations environnementales doivent répondre aux exigences concernant les déclarations environnementales collectives définies à l'article 8 du présent arrêté.</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10</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déclaration environnementale peut se fonder sur une déclaration paramétrable.</w:t>
      </w:r>
      <w:r w:rsidRPr="00B77F10">
        <w:rPr>
          <w:rFonts w:ascii="Times New Roman" w:eastAsia="Times New Roman" w:hAnsi="Times New Roman" w:cs="Times New Roman"/>
          <w:sz w:val="24"/>
          <w:szCs w:val="24"/>
          <w:lang w:eastAsia="fr-FR"/>
        </w:rPr>
        <w:br/>
        <w:t>Cette déclaration paramétrable satisfait aux conditions suivantes :</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elle concerne un « produit type » ;</w:t>
      </w:r>
      <w:r w:rsidRPr="00B77F10">
        <w:rPr>
          <w:rFonts w:ascii="Times New Roman" w:eastAsia="Times New Roman" w:hAnsi="Times New Roman" w:cs="Times New Roman"/>
          <w:sz w:val="24"/>
          <w:szCs w:val="24"/>
          <w:lang w:eastAsia="fr-FR"/>
        </w:rPr>
        <w:br/>
        <w:t>- elle est établie dans les conditions mentionnées aux articles précédents ;</w:t>
      </w:r>
      <w:r w:rsidRPr="00B77F10">
        <w:rPr>
          <w:rFonts w:ascii="Times New Roman" w:eastAsia="Times New Roman" w:hAnsi="Times New Roman" w:cs="Times New Roman"/>
          <w:sz w:val="24"/>
          <w:szCs w:val="24"/>
          <w:lang w:eastAsia="fr-FR"/>
        </w:rPr>
        <w:br/>
        <w:t>- elle comporte un ensemble de règles de calcul permettant d'adapter, sur la base de paramètres modifiables, les informations qui y sont mentionnées pour correspondre à un produit similaire au produit type mais dont les dimensions, la composition ou certains processus du cycle de vie diffèrent ;</w:t>
      </w:r>
      <w:r w:rsidRPr="00B77F10">
        <w:rPr>
          <w:rFonts w:ascii="Times New Roman" w:eastAsia="Times New Roman" w:hAnsi="Times New Roman" w:cs="Times New Roman"/>
          <w:sz w:val="24"/>
          <w:szCs w:val="24"/>
          <w:lang w:eastAsia="fr-FR"/>
        </w:rPr>
        <w:br/>
        <w:t>- la valeur des paramètres modifiables mentionnés précédemment doit pouvoir être vérifiable à la livraison d'un bâtiment ;</w:t>
      </w:r>
      <w:r w:rsidRPr="00B77F10">
        <w:rPr>
          <w:rFonts w:ascii="Times New Roman" w:eastAsia="Times New Roman" w:hAnsi="Times New Roman" w:cs="Times New Roman"/>
          <w:sz w:val="24"/>
          <w:szCs w:val="24"/>
          <w:lang w:eastAsia="fr-FR"/>
        </w:rPr>
        <w:br/>
        <w:t>- elle comporte un cadre de conformité définissant les valeurs que peuvent prendre les paramètres modifiables susmentionnés et les caractéristiques que doit respecter le produit similaire susmentionné.</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Toute déclaration paramétrable bénéficiant d'une attestation de conformité après le 1er octobre 2022 est assortie d'un outil de calcul informatique permettant d'appliquer les règles de calcul susmentionnées et d'exporter les informations requises à l'article R. 171-17 du code de la construction et de l'habitation et à l'article 3 du présent arrêté, ainsi que la liste des paramètres modifiables susmentionnés et leurs valeurs associées. L'ensemble de ces informations sont exportées sous forme d'un fichier informatique respectant le format défini sur le site internet du ministère en charge de la construction.</w:t>
      </w:r>
      <w:r w:rsidRPr="00B77F10">
        <w:rPr>
          <w:rFonts w:ascii="Times New Roman" w:eastAsia="Times New Roman" w:hAnsi="Times New Roman" w:cs="Times New Roman"/>
          <w:sz w:val="24"/>
          <w:szCs w:val="24"/>
          <w:lang w:eastAsia="fr-FR"/>
        </w:rPr>
        <w:br/>
        <w:t xml:space="preserve">La vérification par tierce partie indépendante définie à l'article R. 171-18 du code de la construction et de l'habitation et mentionnée à l'article R. 171-29 du code de la construction et de l'habitation, porte également, dans le cas d'une déclaration </w:t>
      </w:r>
      <w:r w:rsidRPr="00B77F10">
        <w:rPr>
          <w:rFonts w:ascii="Times New Roman" w:eastAsia="Times New Roman" w:hAnsi="Times New Roman" w:cs="Times New Roman"/>
          <w:sz w:val="24"/>
          <w:szCs w:val="24"/>
          <w:lang w:eastAsia="fr-FR"/>
        </w:rPr>
        <w:lastRenderedPageBreak/>
        <w:t>paramétrable, sur les règles de calcul mentionnées dans cet article et sur l'outil de calcul informatique mentionné à l'alinéa précédent.</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11</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certification relative à des caractéristiques environnementales mentionnée à l'article R. 171-27 du code de la construction et de l'habitation est présumée conforme si elle prend en compte toutes les exigences de la norme NF EN ISO 14024 : 2018-03. Cette certification de produits de construction ou de décoration ou d'équipements est délivrée par un organisme accrédité à cet effet par le Comité français d'accréditation (COFRAC) ou par une autre instance d'accréditation signataire des accords multilatéraux de reconnaissance mutuelle.</w:t>
      </w:r>
      <w:r w:rsidRPr="00B77F10">
        <w:rPr>
          <w:rFonts w:ascii="Times New Roman" w:eastAsia="Times New Roman" w:hAnsi="Times New Roman" w:cs="Times New Roman"/>
          <w:sz w:val="24"/>
          <w:szCs w:val="24"/>
          <w:lang w:eastAsia="fr-FR"/>
        </w:rPr>
        <w:br/>
        <w:t>Cet article ne s'applique pas aux déclarations environnementales utilisées pour le calcul de la performance environnementale des bâtiments.</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12</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L'arrêté du 23 décembre 2013 relatif à la déclaration environnementale des produits de construction et de décoration destinés à un usage dans les ouvrages de bâtiment est abrogé.</w:t>
      </w:r>
      <w:r w:rsidRPr="00B77F10">
        <w:rPr>
          <w:rFonts w:ascii="Times New Roman" w:eastAsia="Times New Roman" w:hAnsi="Times New Roman" w:cs="Times New Roman"/>
          <w:sz w:val="24"/>
          <w:szCs w:val="24"/>
          <w:lang w:eastAsia="fr-FR"/>
        </w:rPr>
        <w:br/>
        <w:t>L'arrêté du 31 août 2015 relatif à la déclaration environnementale des équipements électriques, électroniques et de génie climatique destinés à un usage dans les ouvrages de bâtiment est abrogé.</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13</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Les dispositions du présent arrêté entrent en vigueur au 1er janvier 2022.</w:t>
      </w:r>
    </w:p>
    <w:p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 14</w:t>
      </w:r>
    </w:p>
    <w:p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Le directeur de l'habitat, de l'urbanisme et des paysages est chargé de l'exécution du présent arrêté, qui sera publié au Journal officiel de la République française.</w:t>
      </w:r>
    </w:p>
    <w:p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77F10">
        <w:rPr>
          <w:rFonts w:ascii="Times New Roman" w:eastAsia="Times New Roman" w:hAnsi="Times New Roman" w:cs="Times New Roman"/>
          <w:b/>
          <w:bCs/>
          <w:sz w:val="27"/>
          <w:szCs w:val="27"/>
          <w:lang w:eastAsia="fr-FR"/>
        </w:rPr>
        <w:t>Annexe</w:t>
      </w:r>
    </w:p>
    <w:p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ANNEXES</w:t>
      </w:r>
      <w:r w:rsidRPr="00B77F10">
        <w:rPr>
          <w:rFonts w:ascii="Times New Roman" w:eastAsia="Times New Roman" w:hAnsi="Times New Roman" w:cs="Times New Roman"/>
          <w:sz w:val="24"/>
          <w:szCs w:val="24"/>
          <w:lang w:eastAsia="fr-FR"/>
        </w:rPr>
        <w:br/>
        <w:t>ANNEXE I</w:t>
      </w:r>
      <w:r w:rsidRPr="00B77F10">
        <w:rPr>
          <w:rFonts w:ascii="Times New Roman" w:eastAsia="Times New Roman" w:hAnsi="Times New Roman" w:cs="Times New Roman"/>
          <w:sz w:val="24"/>
          <w:szCs w:val="24"/>
          <w:lang w:eastAsia="fr-FR"/>
        </w:rPr>
        <w:br/>
        <w:t>FORMATS D'UNITÉS FONCTIONNELLES POUR CHAQUE CATÉGORIE DE PRODUITS DE CONSTRUCTION OU DE DÉCORATION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
        <w:gridCol w:w="2040"/>
        <w:gridCol w:w="2875"/>
        <w:gridCol w:w="3655"/>
        <w:gridCol w:w="111"/>
      </w:tblGrid>
      <w:tr w:rsidR="00B77F10" w:rsidRPr="00B77F10"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FONCTION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CATÉGORIE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FORMAT D'UNITÉ</w:t>
            </w:r>
            <w:r w:rsidRPr="00B77F10">
              <w:rPr>
                <w:rFonts w:ascii="Times New Roman" w:eastAsia="Times New Roman" w:hAnsi="Times New Roman" w:cs="Times New Roman"/>
                <w:b/>
                <w:bCs/>
                <w:sz w:val="24"/>
                <w:szCs w:val="24"/>
                <w:lang w:eastAsia="fr-FR"/>
              </w:rPr>
              <w:br/>
            </w:r>
            <w:r w:rsidRPr="00B77F10">
              <w:rPr>
                <w:rFonts w:ascii="Times New Roman" w:eastAsia="Times New Roman" w:hAnsi="Times New Roman" w:cs="Times New Roman"/>
                <w:b/>
                <w:bCs/>
                <w:sz w:val="24"/>
                <w:szCs w:val="24"/>
                <w:lang w:eastAsia="fr-FR"/>
              </w:rPr>
              <w:lastRenderedPageBreak/>
              <w:t>fonctionnelle exprimé en unités du système international</w:t>
            </w: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Voirie, réseaux divers (y compris réseaux intérieurs)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Cuves et réservoirs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Une unité de volume donné</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Réseaux d'évacuation et d'assainissement (eaux pluviales et eaux usées)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moyen</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Réseaux d'adduction d'eau (intérieur et extérieur)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moyen</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Réseaux d'adduction du gaz</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moyen</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 de drainage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moyen</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Voirie et revêtements extérieurs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revêtement pour un usage donné (terrasse extérieur, voirie à faible trafic, parking…)</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Clôtures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clôture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Gaines / fourreaux</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Structure, maçonnerie, gros œuvre, charpente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Boisseaux et conduits de fumisterie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conduit de section intérieure donnée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Chapes/ chapes flottantes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pour une épaisseur donnée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Charpentes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surface couverte ou m3 ou kg</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Contreventements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contreventement ou kg</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Dalles et prédalles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Eléments porteurs horizontaux (poutres, poutrelles, entrevous, hourdis, linteaux)</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l'élément porteur (préciser la portée et la section) ou m2 (pour élément surfacique) ou kg</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Eléments porteurs verticaux (poteaux, colonnes, piliers)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l'élément (préciser la section) ou kg</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Escaliers (intérieur et extérieur)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Une unité pour une hauteur d'élévation donnée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Fondations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³</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Petits éléments de maçonnerie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Planchers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plancher (préciser la charge supportée)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Murs (éléments architecturaux)</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(préciser l'épaisseur)</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Façades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Bardages (vêture, vêtage, parement)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façade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Murs rideaux et verrières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façade (préciser le pourcentage de surface opaque)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Revêtements extérieurs des façades (y compris les systèmes composites d'isolation thermique extérieure)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façade (préciser la résistance thermique si pertinent)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Couverture, étanchéité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Eléments de couverture en grands éléments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couverture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Eléments de couverture en petits éléments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couverture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Produits d'étanchéité et d'imperméabilisation pour murs enterrés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couverture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Produits pour étanchéité de toiture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couverture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Eléments de toiture végétalisée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couverture (préciser le type de végétation tolérée et les caractéristiques thermiques si pertinent)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Menuiseries intérieures et extérieures, fermetures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Fenêtres, portes fenêtres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menuiserie (surface ouverte avant pose) (préciser le Uw, le facteur solaire, le classement air eau vent et la transmission lumineuse)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Garde-corps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garde-corps</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Portes (intérieur, extérieur, portail…)</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(surface ouverte avant pose)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Volets, volets roulants, persiennes, stores, brise-soleil</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surface opacifiée/ protégée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Fenêtres de toit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menuiserie (surface ouverte avant pose) (préciser le Uw, le facteur solaire, le classement air eau vent et la transmission lumineuse)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Caissons chevronnés, panneaux de toiture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Complexes de doublage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Compléments d'isolation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Entrevous, hourdis isolants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pour murs (ITI)</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 ou la performance acoustique)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pour combles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en vrac</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pour toitures terrasses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sous chape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 ou la performance acoustique)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Isolation répartie non porteuse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pour murs (ITE)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acoustiques pour cloisons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performance acoustique)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Isolants thermiques et acoustiques sous dalles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 ou la performance acoustique)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Isolation sous dallage et sous fondation radier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d'isolation (préciser la résistance thermique)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Cloisonnement, plafonds suspendus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Cloisonnement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cloisonnement (préciser une performance acoustique si pertinent)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Plafonds suspendus, plafonds tendus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plafond suspendu (préciser une performance acoustique)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Revêtements des sols et murs, </w:t>
            </w:r>
            <w:r w:rsidRPr="00B77F10">
              <w:rPr>
                <w:rFonts w:ascii="Times New Roman" w:eastAsia="Times New Roman" w:hAnsi="Times New Roman" w:cs="Times New Roman"/>
                <w:sz w:val="24"/>
                <w:szCs w:val="24"/>
                <w:lang w:eastAsia="fr-FR"/>
              </w:rPr>
              <w:lastRenderedPageBreak/>
              <w:t>peintures, produits de décoration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Peintures, lasures et vernis, enduits de peintures (hors saturateurs)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surface couverte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Plinthes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de plinthes</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Revêtements pour murs et plafonds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revêtement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Revêtements de sol durs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revêtement (préciser la classe d'usage ou classement de certification de la résistance à l'usure et au poinçonnement, du comportement à l'eau et de la tenue aux agents chimiques, ou équivalent)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Revêtements de sol souples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revêtement (préciser la classe d'usage ou classement de certification de la résistance à l'usure et au poinçonnement, du comportement à l'eau et de la tenue aux agents chimiques, ou équivalent)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Produits acoustiques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revêtement (préciser la classe d'usage ou classement de certification de la résistance à l'usure et au poinçonnement, du comportement à l'eau et de la tenue aux agents chimiques et les performances acoustiques, ou équivalent)</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Saturateurs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surface couverte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Produits de préparation et de mise en œuvre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Colles pour charpente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Réparations et assemblage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Sols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de colle au sol</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Mortiers pour maçonnerie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Carrelage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carrelé</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Décoration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Mastics et mousses polyuréthanes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(préciser la masse linéique)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Chimie du bâtiment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Produits pour béton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kg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Résines synthétiques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 2 (préciser la masse volumique)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sanitaires et salle d'eau</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Robinetterie et colonnes de douche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 type)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Baignoire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 volume de contenance en litre et forme)</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Receveur de douche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les dimensions : largeur et longueur)</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Evier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les dimensions : largeur, longueur et nombre de bacs)</w:t>
            </w:r>
          </w:p>
        </w:tc>
      </w:tr>
      <w:tr w:rsidR="00B77F10" w:rsidRPr="00B77F10"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Lavabo</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les dimensions : largeur, longueur et nombre de bacs)</w:t>
            </w:r>
          </w:p>
        </w:tc>
      </w:tr>
      <w:tr w:rsidR="00B77F10" w:rsidRPr="00B77F10" w:rsidTr="00B77F10">
        <w:trPr>
          <w:gridAfter w:val="1"/>
          <w:trHeight w:val="408"/>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WC - Toilette - Cuvette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 (préciser les dimensions largeur et longueur)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77F10">
        <w:rPr>
          <w:rFonts w:ascii="Times New Roman" w:eastAsia="Times New Roman" w:hAnsi="Times New Roman" w:cs="Times New Roman"/>
          <w:b/>
          <w:bCs/>
          <w:sz w:val="27"/>
          <w:szCs w:val="27"/>
          <w:lang w:eastAsia="fr-FR"/>
        </w:rPr>
        <w:t>Annexe</w:t>
      </w:r>
    </w:p>
    <w:p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ANNEXE II</w:t>
      </w:r>
      <w:r w:rsidRPr="00B77F10">
        <w:rPr>
          <w:rFonts w:ascii="Times New Roman" w:eastAsia="Times New Roman" w:hAnsi="Times New Roman" w:cs="Times New Roman"/>
          <w:sz w:val="24"/>
          <w:szCs w:val="24"/>
          <w:lang w:eastAsia="fr-FR"/>
        </w:rPr>
        <w:br/>
        <w:t>FORMATS D'UNITÉS FONCTIONNELLES OU D'UNITÉS DÉCLARÉES POUR LES ÉQUIPEMENTS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
        <w:gridCol w:w="1506"/>
        <w:gridCol w:w="1594"/>
        <w:gridCol w:w="1342"/>
        <w:gridCol w:w="899"/>
        <w:gridCol w:w="1594"/>
        <w:gridCol w:w="1761"/>
      </w:tblGrid>
      <w:tr w:rsidR="00B77F10" w:rsidRPr="00B77F10"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lastRenderedPageBreak/>
              <w:b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Fonction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Catégorie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 xml:space="preserve">Unité </w:t>
            </w:r>
            <w:r w:rsidRPr="00B77F10">
              <w:rPr>
                <w:rFonts w:ascii="Times New Roman" w:eastAsia="Times New Roman" w:hAnsi="Times New Roman" w:cs="Times New Roman"/>
                <w:b/>
                <w:bCs/>
                <w:sz w:val="24"/>
                <w:szCs w:val="24"/>
                <w:lang w:eastAsia="fr-FR"/>
              </w:rPr>
              <w:br/>
              <w:t>fonctionnelle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Unité déclarée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Famille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br/>
              <w:t>Solution</w:t>
            </w: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d'installation pour les réseaux d'énergie électrique et de communication</w:t>
            </w:r>
            <w:r w:rsidRPr="00B77F10">
              <w:rPr>
                <w:rFonts w:ascii="Times New Roman" w:eastAsia="Times New Roman" w:hAnsi="Times New Roman" w:cs="Times New Roman"/>
                <w:sz w:val="24"/>
                <w:szCs w:val="24"/>
                <w:lang w:eastAsia="fr-FR"/>
              </w:rPr>
              <w:br/>
              <w:t>≤ 63 Ampères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mural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Automatismes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Détecteurs de présence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Thermostats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Variateurs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Boîtes d'appareillage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Pour cloison sèche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Pour maçonnerie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Commandes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Interrupteurs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Poussoirs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 : VMC, volet roulant…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Plaques et supports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Sous-ensemble d'appareillage mural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Prises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Prises de courant faible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Prises de courant fort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Prises diverses (TV, HP, informatique…)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Signalisation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Diffusion sonore : haut-parleur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Diffusion sonore : sonnette et carillon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Voyants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Accessoires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Télécommandes, obturateurs, griffes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modulaire destiné aux enveloppes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général de protection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Connexions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Disjoncteurs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Disjoncteurs de branchement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Interrupteurs / sectionneurs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Inverseurs de source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Relais différentiel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Protection contre la foudre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Parafoudres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Parafoudres téléphoniques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Protection de ligne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Coupe-circuits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Disjoncteurs divisionnaires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Disjoncteurs moteurs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Fusibles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Protection différentielle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différentiels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Disjoncteurs différentiels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Interrupteurs différentiels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de l'éclairage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Interrupteurs crépusculaires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solaire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Variateurs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d'énergie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Délesteurs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Gestionnaires d'énergie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des ouvrants et volets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des ouvrants et volets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du temps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Inters horaires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Minuteries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Relais temporisés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Gestion thermique (chauffage, ventilation)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Thermostats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Mesure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Compteurs d'énergie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Capteurs pluie, soleil,…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Voltmètres, ampèremètres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Organes de commande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Boutons poussoirs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Contacteurs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Interrupteurs, inverseurs, commutateurs…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Télérupteurs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Organes de signalisation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Carillons et sonneries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Voyants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Domotique et systèmes communicants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Réseaux multimédias et VDI (Voix-Données-Image)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modulaire pour domotique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terminal pour domotique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Répartiteurs signalisation / détection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Points d'accès Wi-Fi</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Enveloppes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Armoires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Armoires polyester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Armoires métalliques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Connexions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pour armoire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Cache-bornes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Coffrets encastrés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Coffrets étanches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Coffrets saillie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Coffrets VDI</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Boîtes de dérivation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Pupitres, gestion thermique des enveloppes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Solutions de cheminement des câbles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Mètre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Systèmes de chemins de câbles et d'échelles à câbles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Chemins de câble fil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Chemins de câble dalle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Echelles à câbles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Systèmes de goulottes et conduits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Conduits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Conduits profilés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Tubes et conduits rigides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Goulottes de distribution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Goulottes de sol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Goulottes d'installation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Moulures et plinthes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 produits ponctuels pour le cheminement des câbles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Gaine Technique Logement (GTL)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Boîtes de sol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Nourrices, colonnes et colonnettes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Goulottes de câblage pour armoire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 et accessoires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Connexion / raccordement (hors enveloppe)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de jonction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Connecteurs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Prises industrielles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Alimentations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Transformateurs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Sources centrales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Appareillage électrique mobile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Baladeuse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multiprises, prises gigogne, autres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Motorisation d'ouverture de volets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Motorisation d'ouverture de porte, de portail…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Motorisation volet roulant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Fils et câbles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Réseaux d'énergie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Câbles moyenne tension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Câbles basse tension &lt; 1kV</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Accessoires réseaux d'énergie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Transfert d'énergie et de données à l'intérieur du bâtiment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Fils et câbles d'énergie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Câbles de communication Cuivre et Fibres optiques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Accessoires dans le bâtiment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 fils et câbles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Non isolés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Câbles chauffants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Sécurité des personnes et contrôle d'accès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Détection et contrôle d'accès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 de détection contre l'intrusion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 de détection contre l'intrusion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 de commande (clavier, télécommande…)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Centrales d'alarme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 de signalisation (sirène, transmetteur…)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Système de </w:t>
            </w:r>
            <w:r w:rsidRPr="00B77F10">
              <w:rPr>
                <w:rFonts w:ascii="Times New Roman" w:eastAsia="Times New Roman" w:hAnsi="Times New Roman" w:cs="Times New Roman"/>
                <w:sz w:val="24"/>
                <w:szCs w:val="24"/>
                <w:lang w:eastAsia="fr-FR"/>
              </w:rPr>
              <w:lastRenderedPageBreak/>
              <w:t>contrôle d'accès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Portiers audio</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Portiers vidéo</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Vidéo-surveillance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 de vidéo-surveillance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pour la capture d'image (caméras)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pour la gestion de l'image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Interconnexions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Sécurité du bâtiment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Système d'éclairage de sécurité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Ambiance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autonomes d'éclairage de sécurité (B.A.E.S)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 pour source centrale (L.S.C)</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à phare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Evacuation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autonomes d'éclairage de sécurité (B.A.E.S)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autonomes d'éclairage d'habitation (B.A.E.H)</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 Bi-fonctions (B.A.E.S + B.A.E.H)</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 pour source centrale (L.S.C)</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B.A.E.S + D.L (dispositif lumineux)</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B.A.E.S + D.B.R (dispositif de balisage renforcé)</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L.S.C + D.B.R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Eclairage de secours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autonomes d'éclairage d'habitation (B.A.E.H)</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 bi-fonctions (B.A.E.S + B.A.E.H)</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Intervention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Blocs autonomes portables d'intervention (B.A.P.I)</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Alimentation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Source centrale pour luminaire d'éclairage de sécurité</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Sécurité incendie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Sécurité incendie et alarme technique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Détecteurs Avertisseurs autonomes de fumée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Détecteurs et alarmes techniques (inondation, gaz…)</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Détecteurs avertisseurs autonomes de </w:t>
            </w:r>
            <w:r w:rsidRPr="00B77F10">
              <w:rPr>
                <w:rFonts w:ascii="Times New Roman" w:eastAsia="Times New Roman" w:hAnsi="Times New Roman" w:cs="Times New Roman"/>
                <w:sz w:val="24"/>
                <w:szCs w:val="24"/>
                <w:lang w:eastAsia="fr-FR"/>
              </w:rPr>
              <w:lastRenderedPageBreak/>
              <w:t>monoxyde de carbone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Détecteurs et alarmes techniques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de génie climatique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Chauffage et/ou rafraîchissement et/ou production d'eau chaude sanitaire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(chauffage seul)</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gaz</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fioul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hybride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biomasse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mixte (chauffage et eau chaude sanitaire)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gaz</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Chaudière fioul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Appareils indépendants à biomasse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Pompe à chaleur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Pompe à chaleur à compresseur électrique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Pompe à chaleur hybride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Emetteur à eau</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Radiateur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Sèche-serviettes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Chauffage à énergie électrique directe à poste fixe visible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Convecteur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Rayonnant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Radiateur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Appareil avec fonction secondaire sèche-serviette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Production d'eau chaude sanitaire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Litre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Chauffe-eau individuel à accumulation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Chauffe-eau électrique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Chauffe-eau thermodynamique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Chauffe-eau gaz</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Chauffe-eau solaire individuel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Unités terminales de confort</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Ventilo-convecteurs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Ventilo-convecteurs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 x l x h (en m) ou m3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Poutres climatiques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Poutres climatiques passives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Poutres climatiques actives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Radiateurs dynamiques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Radiateurs dynamiques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Conduits et accessoires de réseaux</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Coudes et accessoires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Conduits flexibles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Conduits rigides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Diffusion d'air</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Entrées d'air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Terminaux passifs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Diffuseurs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Filtre à air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Bouches d'extraction et d'insufflation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Traitement d'air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Centrale de traitement d'air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Centrale double flux</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Caisson de ventilation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m3/h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VMC simple flux</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VMC double flux</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Caisson de ventilation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Production de froid</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Groupe de production d'eau glacée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Tour de refroidissement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Aéroréfrigérants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Désenfumage mécanique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m3/h</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Tourelle, ventilateur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Clapet coupe-feu ou pare-feu, registre, volet</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Coffret de relayage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Production locale d'électricité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Générateur d'électricité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Modules photovoltaïques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Silicium cristallin (monocristallin, polycristallin)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Couches minces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Aérogénérateurs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Horizontal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Vertical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Conversion et régulation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Conversion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Onduleurs synchrones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Onduleurs autonomes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Convertisseur DC/DC</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Convertisseur AC/DC</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Régulation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Contrôleur de charge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Stockage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Batterie électrochimique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Plomb - acide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Lithium - 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Monitoring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Monitoring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Equipements de monitoring</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 d'éclairage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Matériels pour l'éclairage intérieur et leurs alimentations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 intérieurs linéaires pour éclairage tertiaire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 intérieurs non-linéaires pour éclairage tertiaire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 intérieurs pour éclairage d'accentuation (spots)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Appliques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Plafonniers, Suspensions intérieurs linéaires pour éclairage tertiaire ou industriel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Appliques murales linéaires intérieures fonctionnelles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Plafonniers, Appliques murales, Suspensions intérieures décoratives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Hublots intérieurs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Réglettes intérieures (ne comportent pas de dispositif optique, contrairement aux produits linéaires)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xml:space="preserve">Projecteurs intérieurs en applique ou sur </w:t>
            </w:r>
            <w:r w:rsidRPr="00B77F10">
              <w:rPr>
                <w:rFonts w:ascii="Times New Roman" w:eastAsia="Times New Roman" w:hAnsi="Times New Roman" w:cs="Times New Roman"/>
                <w:sz w:val="24"/>
                <w:szCs w:val="24"/>
                <w:lang w:eastAsia="fr-FR"/>
              </w:rPr>
              <w:lastRenderedPageBreak/>
              <w:t>rail ou suspensions, pour éclairage d'accentuation</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intérieurs étanches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Barrettes et bandes flexibles à LED (alimentation incluse)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Suspensions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Armatures industrielles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Structures en ligne continue pour éclairage industriel ou commercial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Supports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Rails d'alimentation pour projecteurs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Matériels pour l'éclairage extérieur et leurs alimentations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 sportifs et grands espaces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 extérieurs pour éclairage décoratif</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pour éclairage extérieur autres que projecteurs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pour éclairage décoratif</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pour éclairage fonctionnel</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Lanternes de style</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 encastrés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 extérieurs à encastrer dans le sol ou les murs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 pour balisage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extérieurs de balisage à encastrer dans le sol ou les murs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Bornes et colonnes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Bornes extérieures décoratives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Colonnes lumineuses extérieures décoratives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Luminaires étanches IP &gt; 54</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Appliques murales et hublots étanches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Encastrés immergeables pour piscines ou fontaines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Projecteurs immergeables pour piscines ou fontaines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unité</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Mâts et supports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Mâts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Crosses</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Supports divers pour luminaire extérieur</w:t>
            </w:r>
          </w:p>
        </w:tc>
      </w:tr>
      <w:tr w:rsidR="00B77F10" w:rsidRPr="00B77F10"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Autres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Divers</w:t>
            </w: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77F10">
        <w:rPr>
          <w:rFonts w:ascii="Times New Roman" w:eastAsia="Times New Roman" w:hAnsi="Times New Roman" w:cs="Times New Roman"/>
          <w:b/>
          <w:bCs/>
          <w:sz w:val="27"/>
          <w:szCs w:val="27"/>
          <w:lang w:eastAsia="fr-FR"/>
        </w:rPr>
        <w:lastRenderedPageBreak/>
        <w:t>Annexe</w:t>
      </w:r>
    </w:p>
    <w:p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ANNEXE III</w:t>
      </w:r>
      <w:r w:rsidRPr="00B77F10">
        <w:rPr>
          <w:rFonts w:ascii="Times New Roman" w:eastAsia="Times New Roman" w:hAnsi="Times New Roman" w:cs="Times New Roman"/>
          <w:sz w:val="24"/>
          <w:szCs w:val="24"/>
          <w:lang w:eastAsia="fr-FR"/>
        </w:rPr>
        <w:br/>
        <w:t>CALCUL DES BÉNÉFICES ET CHARGES LIÉS À LA VALORISATION EN FIN DE VIE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L'affichage d'une valeur positive traduit une charge nette et une valeur négative traduit un bénéfice net.</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1. Dans le cas d'une valorisation matière, pour un flux de déchet valorisé donné (et donc un matériau lambda donné), la formule suivante s'applique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ChargeNetRecycl = MSval (ISval - IVval) - MS (IS - IV),</w:t>
      </w:r>
      <w:r w:rsidRPr="00B77F10">
        <w:rPr>
          <w:rFonts w:ascii="Times New Roman" w:eastAsia="Times New Roman" w:hAnsi="Times New Roman" w:cs="Times New Roman"/>
          <w:sz w:val="24"/>
          <w:szCs w:val="24"/>
          <w:lang w:eastAsia="fr-FR"/>
        </w:rPr>
        <w:br/>
        <w:t>où</w:t>
      </w:r>
      <w:r w:rsidRPr="00B77F10">
        <w:rPr>
          <w:rFonts w:ascii="Times New Roman" w:eastAsia="Times New Roman" w:hAnsi="Times New Roman" w:cs="Times New Roman"/>
          <w:sz w:val="24"/>
          <w:szCs w:val="24"/>
          <w:lang w:eastAsia="fr-FR"/>
        </w:rPr>
        <w:br/>
        <w:t>MSval = masse (en kg) de matériau secondaire effectivement récupéré de la masse de stock collecté (part [s] lambda de matériau du flux « matériaux destinés au recyclage ») ;</w:t>
      </w:r>
      <w:r w:rsidRPr="00B77F10">
        <w:rPr>
          <w:rFonts w:ascii="Times New Roman" w:eastAsia="Times New Roman" w:hAnsi="Times New Roman" w:cs="Times New Roman"/>
          <w:sz w:val="24"/>
          <w:szCs w:val="24"/>
          <w:lang w:eastAsia="fr-FR"/>
        </w:rPr>
        <w:br/>
        <w:t>IVval = inventaire (par kg) de production du matériau (ou du mélange) auquel le matériau secondaire lambda valorisé se substitue dans le système aval l'utilisant (il ne s'agit pas de l'inventaire de production du produit aval, mais de l'inventaire de production du matériau constitutif de ce produit aval) ;</w:t>
      </w:r>
      <w:r w:rsidRPr="00B77F10">
        <w:rPr>
          <w:rFonts w:ascii="Times New Roman" w:eastAsia="Times New Roman" w:hAnsi="Times New Roman" w:cs="Times New Roman"/>
          <w:sz w:val="24"/>
          <w:szCs w:val="24"/>
          <w:lang w:eastAsia="fr-FR"/>
        </w:rPr>
        <w:br/>
        <w:t>ISval = inventaire (par kg) de production de matériau secondaire prêt à l'emploi dans le système aval à partir du stock ;</w:t>
      </w:r>
      <w:r w:rsidRPr="00B77F10">
        <w:rPr>
          <w:rFonts w:ascii="Times New Roman" w:eastAsia="Times New Roman" w:hAnsi="Times New Roman" w:cs="Times New Roman"/>
          <w:sz w:val="24"/>
          <w:szCs w:val="24"/>
          <w:lang w:eastAsia="fr-FR"/>
        </w:rPr>
        <w:br/>
        <w:t>MS = masse (en kg) de matériau secondaire introduit dans le produit objet de la déclaration lors de sa fabrication (part [s] lambda de matériau du flux « utilisation de matière secondaire ») ;</w:t>
      </w:r>
      <w:r w:rsidRPr="00B77F10">
        <w:rPr>
          <w:rFonts w:ascii="Times New Roman" w:eastAsia="Times New Roman" w:hAnsi="Times New Roman" w:cs="Times New Roman"/>
          <w:sz w:val="24"/>
          <w:szCs w:val="24"/>
          <w:lang w:eastAsia="fr-FR"/>
        </w:rPr>
        <w:br/>
        <w:t>IV = inventaire (par kg) de production du matériau vierge utilisé pour produire le produit objet de la déclaration en absence de valorisation matière du matériau ;</w:t>
      </w:r>
      <w:r w:rsidRPr="00B77F10">
        <w:rPr>
          <w:rFonts w:ascii="Times New Roman" w:eastAsia="Times New Roman" w:hAnsi="Times New Roman" w:cs="Times New Roman"/>
          <w:sz w:val="24"/>
          <w:szCs w:val="24"/>
          <w:lang w:eastAsia="fr-FR"/>
        </w:rPr>
        <w:br/>
        <w:t>IS = inventaire (par kg) de production du matériau secondaire prêt à l'emploi utilisé pour produire le produit objet de la déclaration.</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2. Dans le cas d'une valorisation énergétique, pour un flux de déchet valorisé donné, la formule suivante s'applique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ChargeNetValoNRJ = MSval (ISval - PCISval × REval × IVval),</w:t>
      </w:r>
      <w:r w:rsidRPr="00B77F10">
        <w:rPr>
          <w:rFonts w:ascii="Times New Roman" w:eastAsia="Times New Roman" w:hAnsi="Times New Roman" w:cs="Times New Roman"/>
          <w:sz w:val="24"/>
          <w:szCs w:val="24"/>
          <w:lang w:eastAsia="fr-FR"/>
        </w:rPr>
        <w:br/>
        <w:t>où</w:t>
      </w:r>
      <w:r w:rsidRPr="00B77F10">
        <w:rPr>
          <w:rFonts w:ascii="Times New Roman" w:eastAsia="Times New Roman" w:hAnsi="Times New Roman" w:cs="Times New Roman"/>
          <w:sz w:val="24"/>
          <w:szCs w:val="24"/>
          <w:lang w:eastAsia="fr-FR"/>
        </w:rPr>
        <w:br/>
        <w:t>MSval = masse (en kg) de matière secondaire effectivement récupérée de la masse de stock collecté (part [s] lambda de matériau du flux « matériaux destinés à la récupération d'énergie ») ;</w:t>
      </w:r>
      <w:r w:rsidRPr="00B77F10">
        <w:rPr>
          <w:rFonts w:ascii="Times New Roman" w:eastAsia="Times New Roman" w:hAnsi="Times New Roman" w:cs="Times New Roman"/>
          <w:sz w:val="24"/>
          <w:szCs w:val="24"/>
          <w:lang w:eastAsia="fr-FR"/>
        </w:rPr>
        <w:br/>
        <w:t xml:space="preserve">IVval = inventaire (par kg) de production de l'énergie à laquelle l'énergie récupérée par la valorisation énergétique de la matière secondaire se substitue dans le système aval (il ne s'agit pas de l'inventaire de production du système aval auquel la matière </w:t>
      </w:r>
      <w:r w:rsidRPr="00B77F10">
        <w:rPr>
          <w:rFonts w:ascii="Times New Roman" w:eastAsia="Times New Roman" w:hAnsi="Times New Roman" w:cs="Times New Roman"/>
          <w:sz w:val="24"/>
          <w:szCs w:val="24"/>
          <w:lang w:eastAsia="fr-FR"/>
        </w:rPr>
        <w:lastRenderedPageBreak/>
        <w:t>secondaire va contribuer, mais de l'inventaire de production de l'énergie consommée par le système aval, exprimé en MJ fourni) ;</w:t>
      </w:r>
      <w:r w:rsidRPr="00B77F10">
        <w:rPr>
          <w:rFonts w:ascii="Times New Roman" w:eastAsia="Times New Roman" w:hAnsi="Times New Roman" w:cs="Times New Roman"/>
          <w:sz w:val="24"/>
          <w:szCs w:val="24"/>
          <w:lang w:eastAsia="fr-FR"/>
        </w:rPr>
        <w:br/>
        <w:t>ISval = inventaire (par kg) de la valorisation énergétique de la matière secondaire à partir du stock dont le flux de référence est la masse de matière secondaire valorisée ;</w:t>
      </w:r>
      <w:r w:rsidRPr="00B77F10">
        <w:rPr>
          <w:rFonts w:ascii="Times New Roman" w:eastAsia="Times New Roman" w:hAnsi="Times New Roman" w:cs="Times New Roman"/>
          <w:sz w:val="24"/>
          <w:szCs w:val="24"/>
          <w:lang w:eastAsia="fr-FR"/>
        </w:rPr>
        <w:br/>
        <w:t>PCISval = PCI (MJ/ kg) de la matière secondaire récupérée ;</w:t>
      </w:r>
      <w:r w:rsidRPr="00B77F10">
        <w:rPr>
          <w:rFonts w:ascii="Times New Roman" w:eastAsia="Times New Roman" w:hAnsi="Times New Roman" w:cs="Times New Roman"/>
          <w:sz w:val="24"/>
          <w:szCs w:val="24"/>
          <w:lang w:eastAsia="fr-FR"/>
        </w:rPr>
        <w:br/>
        <w:t>REval = rendement énergétique de l'installation de valorisation énergétique de la matière secondaire récupérée.</w:t>
      </w:r>
      <w:r w:rsidRPr="00B77F10">
        <w:rPr>
          <w:rFonts w:ascii="Times New Roman" w:eastAsia="Times New Roman" w:hAnsi="Times New Roman" w:cs="Times New Roman"/>
          <w:sz w:val="24"/>
          <w:szCs w:val="24"/>
          <w:lang w:eastAsia="fr-FR"/>
        </w:rPr>
        <w:br/>
        <w:t>Le bénéfice global pour le produit déclaré est ensuite obtenu en sommant l'ensemble des bénéfices calculés pour chacun des matériaux/flux.</w:t>
      </w:r>
    </w:p>
    <w:p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77F10">
        <w:rPr>
          <w:rFonts w:ascii="Times New Roman" w:eastAsia="Times New Roman" w:hAnsi="Times New Roman" w:cs="Times New Roman"/>
          <w:b/>
          <w:bCs/>
          <w:sz w:val="27"/>
          <w:szCs w:val="27"/>
          <w:lang w:eastAsia="fr-FR"/>
        </w:rPr>
        <w:t>Annexe</w:t>
      </w:r>
    </w:p>
    <w:p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77F10">
        <w:rPr>
          <w:rFonts w:ascii="Times New Roman" w:eastAsia="Times New Roman" w:hAnsi="Times New Roman" w:cs="Times New Roman"/>
          <w:b/>
          <w:bCs/>
          <w:sz w:val="24"/>
          <w:szCs w:val="24"/>
          <w:lang w:eastAsia="fr-FR"/>
        </w:rPr>
        <w:t>Article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ANNEXE IV</w:t>
      </w:r>
      <w:r w:rsidRPr="00B77F10">
        <w:rPr>
          <w:rFonts w:ascii="Times New Roman" w:eastAsia="Times New Roman" w:hAnsi="Times New Roman" w:cs="Times New Roman"/>
          <w:sz w:val="24"/>
          <w:szCs w:val="24"/>
          <w:lang w:eastAsia="fr-FR"/>
        </w:rPr>
        <w:br/>
        <w:t>CADRE DE VALIDITÉ DES DÉCLARATIONS ENVIRONNEMENTALES COLLECTIVES POUR LES PRODUITS</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1. Homogénéité</w:t>
      </w:r>
      <w:r w:rsidRPr="00B77F10">
        <w:rPr>
          <w:rFonts w:ascii="Times New Roman" w:eastAsia="Times New Roman" w:hAnsi="Times New Roman" w:cs="Times New Roman"/>
          <w:sz w:val="24"/>
          <w:szCs w:val="24"/>
          <w:lang w:eastAsia="fr-FR"/>
        </w:rPr>
        <w:br/>
        <w:t>Une analyse de cycle de vie (ACV) fait appel à de nombreuses données et hypothèses. Certaines données sont collectées sur site, d'autres calculées, d'autres estimées. Les données alimentant une ACV sont donc des données présentant un certain niveau d'incertitude. Ainsi, le résultat de l'ACV est plus ou moins sensible aux variations des données d'entrée.</w:t>
      </w:r>
      <w:r w:rsidRPr="00B77F10">
        <w:rPr>
          <w:rFonts w:ascii="Times New Roman" w:eastAsia="Times New Roman" w:hAnsi="Times New Roman" w:cs="Times New Roman"/>
          <w:sz w:val="24"/>
          <w:szCs w:val="24"/>
          <w:lang w:eastAsia="fr-FR"/>
        </w:rPr>
        <w:br/>
        <w:t>L'article 8 du présent arrêté impose que les impacts sur l'environnement des déclarants utilisant la même déclaration environnementale collective soient homogènes. Ainsi, une déclaration environnementale collective couvrira des produits environnementalement homogènes s'il est possible de garantir que tous les produits couverts déclarent des impacts environnementaux inférieurs à une valeur limite dès lors qu'ils respectent le cadre de validité associé à cette déclaration environnementale collective.</w:t>
      </w:r>
      <w:r w:rsidRPr="00B77F10">
        <w:rPr>
          <w:rFonts w:ascii="Times New Roman" w:eastAsia="Times New Roman" w:hAnsi="Times New Roman" w:cs="Times New Roman"/>
          <w:sz w:val="24"/>
          <w:szCs w:val="24"/>
          <w:lang w:eastAsia="fr-FR"/>
        </w:rPr>
        <w:br/>
        <w:t>Il est admis que cette homogénéité ne devra être démontrée que pour certains indicateurs témoins.</w:t>
      </w:r>
      <w:r w:rsidRPr="00B77F10">
        <w:rPr>
          <w:rFonts w:ascii="Times New Roman" w:eastAsia="Times New Roman" w:hAnsi="Times New Roman" w:cs="Times New Roman"/>
          <w:sz w:val="24"/>
          <w:szCs w:val="24"/>
          <w:lang w:eastAsia="fr-FR"/>
        </w:rPr>
        <w:br/>
        <w:t>Pour les indicateurs issus d'une ACV, la démonstration de l'homogénéité est réalisée grâce à une étude de sensibilité sur les paramètres incertains et les paramètres variant d'un déclarant à un autre. Il est vivement recommandé de réaliser cette étude très tôt dans le processus d'ACV et de construire la déclaration environnementale collective à partir de cette étude.</w:t>
      </w:r>
      <w:r w:rsidRPr="00B77F10">
        <w:rPr>
          <w:rFonts w:ascii="Times New Roman" w:eastAsia="Times New Roman" w:hAnsi="Times New Roman" w:cs="Times New Roman"/>
          <w:sz w:val="24"/>
          <w:szCs w:val="24"/>
          <w:lang w:eastAsia="fr-FR"/>
        </w:rPr>
        <w:br/>
        <w:t>2. Etude de sensibilité</w:t>
      </w:r>
      <w:r w:rsidRPr="00B77F10">
        <w:rPr>
          <w:rFonts w:ascii="Times New Roman" w:eastAsia="Times New Roman" w:hAnsi="Times New Roman" w:cs="Times New Roman"/>
          <w:sz w:val="24"/>
          <w:szCs w:val="24"/>
          <w:lang w:eastAsia="fr-FR"/>
        </w:rPr>
        <w:br/>
        <w:t>Une étude de sensibilité sur les ACV doit suivre les étapes suivantes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 Choix des indicateurs témoins ;</w:t>
      </w:r>
      <w:r w:rsidRPr="00B77F10">
        <w:rPr>
          <w:rFonts w:ascii="Times New Roman" w:eastAsia="Times New Roman" w:hAnsi="Times New Roman" w:cs="Times New Roman"/>
          <w:sz w:val="24"/>
          <w:szCs w:val="24"/>
          <w:lang w:eastAsia="fr-FR"/>
        </w:rPr>
        <w:br/>
        <w:t>b) Identification des paramètres sensibles : étude de contribution pour identifier les paramètres d'entrée qui contribuent le plus à expliquer la valeur des indicateurs témoins (résultats de l'ACV) ;</w:t>
      </w:r>
      <w:r w:rsidRPr="00B77F10">
        <w:rPr>
          <w:rFonts w:ascii="Times New Roman" w:eastAsia="Times New Roman" w:hAnsi="Times New Roman" w:cs="Times New Roman"/>
          <w:sz w:val="24"/>
          <w:szCs w:val="24"/>
          <w:lang w:eastAsia="fr-FR"/>
        </w:rPr>
        <w:br/>
        <w:t xml:space="preserve">c) Détermination des domaines de variation des paramètres sensibles (bornes </w:t>
      </w:r>
      <w:r w:rsidRPr="00B77F10">
        <w:rPr>
          <w:rFonts w:ascii="Times New Roman" w:eastAsia="Times New Roman" w:hAnsi="Times New Roman" w:cs="Times New Roman"/>
          <w:sz w:val="24"/>
          <w:szCs w:val="24"/>
          <w:lang w:eastAsia="fr-FR"/>
        </w:rPr>
        <w:lastRenderedPageBreak/>
        <w:t>d'intervalle et éventuellement distribution statistique) ;</w:t>
      </w:r>
      <w:r w:rsidRPr="00B77F10">
        <w:rPr>
          <w:rFonts w:ascii="Times New Roman" w:eastAsia="Times New Roman" w:hAnsi="Times New Roman" w:cs="Times New Roman"/>
          <w:sz w:val="24"/>
          <w:szCs w:val="24"/>
          <w:lang w:eastAsia="fr-FR"/>
        </w:rPr>
        <w:br/>
        <w:t>d) Simulations paramétrées sur la base des étapes b et c.</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L'étude de sensibilité peut être itérative. Le résultat de l'étude de sensibilité doit être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 Une liste de facteurs qui influent sur les résultats de l'ACV (paramètres sensibles) et leurs domaines de variation autorisés (cette liste constitue le domaine de validité) ;</w:t>
      </w:r>
      <w:r w:rsidRPr="00B77F10">
        <w:rPr>
          <w:rFonts w:ascii="Times New Roman" w:eastAsia="Times New Roman" w:hAnsi="Times New Roman" w:cs="Times New Roman"/>
          <w:sz w:val="24"/>
          <w:szCs w:val="24"/>
          <w:lang w:eastAsia="fr-FR"/>
        </w:rPr>
        <w:br/>
        <w:t>b) Pour chaque indicateur témoin, un intervalle de variation probable (intervalle de confiance à 95 %) des valeurs de l'indicateur, obtenu par les simulations paramétrées.</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Etape 1 : choix des indicateurs témoins</w:t>
      </w:r>
      <w:r w:rsidRPr="00B77F10">
        <w:rPr>
          <w:rFonts w:ascii="Times New Roman" w:eastAsia="Times New Roman" w:hAnsi="Times New Roman" w:cs="Times New Roman"/>
          <w:sz w:val="24"/>
          <w:szCs w:val="24"/>
          <w:lang w:eastAsia="fr-FR"/>
        </w:rPr>
        <w:br/>
        <w:t>Le choix des indicateurs témoins doit être raisonnable. Ils peuvent être choisis au cas par cas parmi ceux mentionnés à l'article 3 du présent arrêté. Leur choix doit être justifié. Au minimum, les indicateurs suivants doivent être étudiés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réchauffement climatique ;</w:t>
      </w:r>
      <w:r w:rsidRPr="00B77F10">
        <w:rPr>
          <w:rFonts w:ascii="Times New Roman" w:eastAsia="Times New Roman" w:hAnsi="Times New Roman" w:cs="Times New Roman"/>
          <w:sz w:val="24"/>
          <w:szCs w:val="24"/>
          <w:lang w:eastAsia="fr-FR"/>
        </w:rPr>
        <w:br/>
        <w:t>- utilisation de l'énergie primaire non renouvelable, à l'exclusion des ressources d'énergie primaire non renouvelables utilisées comme matières premières ;</w:t>
      </w:r>
      <w:r w:rsidRPr="00B77F10">
        <w:rPr>
          <w:rFonts w:ascii="Times New Roman" w:eastAsia="Times New Roman" w:hAnsi="Times New Roman" w:cs="Times New Roman"/>
          <w:sz w:val="24"/>
          <w:szCs w:val="24"/>
          <w:lang w:eastAsia="fr-FR"/>
        </w:rPr>
        <w:br/>
        <w:t>- déchets non dangereux éliminés.</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Etape 2 : identification des paramètres sensibles</w:t>
      </w:r>
      <w:r w:rsidRPr="00B77F10">
        <w:rPr>
          <w:rFonts w:ascii="Times New Roman" w:eastAsia="Times New Roman" w:hAnsi="Times New Roman" w:cs="Times New Roman"/>
          <w:sz w:val="24"/>
          <w:szCs w:val="24"/>
          <w:lang w:eastAsia="fr-FR"/>
        </w:rPr>
        <w:br/>
        <w:t>Pour chaque indicateur témoin, il faut réaliser une étude des paramètres sensibles. Pour ce faire, en première approche, il est proposé de partir de la répartition des impacts entre procédés inclus dans le cycle de vie. Cette étude se fait sur la base d'un scénario de référence décrit dans l'étude de sensibilité.</w:t>
      </w:r>
      <w:r w:rsidRPr="00B77F10">
        <w:rPr>
          <w:rFonts w:ascii="Times New Roman" w:eastAsia="Times New Roman" w:hAnsi="Times New Roman" w:cs="Times New Roman"/>
          <w:sz w:val="24"/>
          <w:szCs w:val="24"/>
          <w:lang w:eastAsia="fr-FR"/>
        </w:rPr>
        <w:br/>
        <w:t>Il est recommandé de s'intéresser à tous les procédés dont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la contribution est supérieure à 5 % pour l'un des indicateurs témoins dans le scénario de référence ;</w:t>
      </w:r>
      <w:r w:rsidRPr="00B77F10">
        <w:rPr>
          <w:rFonts w:ascii="Times New Roman" w:eastAsia="Times New Roman" w:hAnsi="Times New Roman" w:cs="Times New Roman"/>
          <w:sz w:val="24"/>
          <w:szCs w:val="24"/>
          <w:lang w:eastAsia="fr-FR"/>
        </w:rPr>
        <w:br/>
        <w:t>- ou les impacts cumulés représentant au minimum 80 % des impacts de l'un des indicateurs témoins.</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Il convient ensuite d'identifier les paramètres (entrant ou sortant du procédé, paramètre interne de modélisation du procédé) du modèle ACV qui font varier cette contribution, ce sont les paramètres dits sensibles.</w:t>
      </w:r>
      <w:r w:rsidRPr="00B77F10">
        <w:rPr>
          <w:rFonts w:ascii="Times New Roman" w:eastAsia="Times New Roman" w:hAnsi="Times New Roman" w:cs="Times New Roman"/>
          <w:sz w:val="24"/>
          <w:szCs w:val="24"/>
          <w:lang w:eastAsia="fr-FR"/>
        </w:rPr>
        <w:br/>
        <w:t>A l'issue de cette étude, le déclarant possède une liste des procédés les plus contributeurs aux indicateurs témoins sur la totalité du cycle de vie et une liste de paramètres sensibles.</w:t>
      </w:r>
      <w:r w:rsidRPr="00B77F10">
        <w:rPr>
          <w:rFonts w:ascii="Times New Roman" w:eastAsia="Times New Roman" w:hAnsi="Times New Roman" w:cs="Times New Roman"/>
          <w:sz w:val="24"/>
          <w:szCs w:val="24"/>
          <w:lang w:eastAsia="fr-FR"/>
        </w:rPr>
        <w:br/>
        <w:t>Etape 3 : définition des domaines de variation des paramètres sensibles</w:t>
      </w:r>
      <w:r w:rsidRPr="00B77F10">
        <w:rPr>
          <w:rFonts w:ascii="Times New Roman" w:eastAsia="Times New Roman" w:hAnsi="Times New Roman" w:cs="Times New Roman"/>
          <w:sz w:val="24"/>
          <w:szCs w:val="24"/>
          <w:lang w:eastAsia="fr-FR"/>
        </w:rPr>
        <w:br/>
        <w:t>Cette étape consiste à définir pour chaque paramètre sensible son domaine de variation. A minima, ce domaine doit être proposé sous forme d'intervalle. Si elle est connue, une loi de distribution du paramètre dans l'intervalle défini auparavant peut être fournie.</w:t>
      </w:r>
      <w:r w:rsidRPr="00B77F10">
        <w:rPr>
          <w:rFonts w:ascii="Times New Roman" w:eastAsia="Times New Roman" w:hAnsi="Times New Roman" w:cs="Times New Roman"/>
          <w:sz w:val="24"/>
          <w:szCs w:val="24"/>
          <w:lang w:eastAsia="fr-FR"/>
        </w:rPr>
        <w:br/>
      </w:r>
      <w:r w:rsidRPr="00B77F10">
        <w:rPr>
          <w:rFonts w:ascii="Times New Roman" w:eastAsia="Times New Roman" w:hAnsi="Times New Roman" w:cs="Times New Roman"/>
          <w:sz w:val="24"/>
          <w:szCs w:val="24"/>
          <w:lang w:eastAsia="fr-FR"/>
        </w:rPr>
        <w:lastRenderedPageBreak/>
        <w:t>A l'issue de cette étape, chaque paramètre sensible est associé à un domaine de variation.</w:t>
      </w:r>
      <w:r w:rsidRPr="00B77F10">
        <w:rPr>
          <w:rFonts w:ascii="Times New Roman" w:eastAsia="Times New Roman" w:hAnsi="Times New Roman" w:cs="Times New Roman"/>
          <w:sz w:val="24"/>
          <w:szCs w:val="24"/>
          <w:lang w:eastAsia="fr-FR"/>
        </w:rPr>
        <w:br/>
        <w:t>Etape 4 : Calcul de la variabilité des indicateurs</w:t>
      </w:r>
      <w:r w:rsidRPr="00B77F10">
        <w:rPr>
          <w:rFonts w:ascii="Times New Roman" w:eastAsia="Times New Roman" w:hAnsi="Times New Roman" w:cs="Times New Roman"/>
          <w:sz w:val="24"/>
          <w:szCs w:val="24"/>
          <w:lang w:eastAsia="fr-FR"/>
        </w:rPr>
        <w:br/>
        <w:t>Sur la base de l'étape 2 et 3, cette étape consiste à utiliser une méthode mathématique appropriée pour déterminer les domaines de variation des indicateurs (valeurs maximales, valeurs moyennes et valeurs minimales) lorsque l'on soumet le modèle ACV aux variations des paramètres sensibles.</w:t>
      </w:r>
      <w:r w:rsidRPr="00B77F10">
        <w:rPr>
          <w:rFonts w:ascii="Times New Roman" w:eastAsia="Times New Roman" w:hAnsi="Times New Roman" w:cs="Times New Roman"/>
          <w:sz w:val="24"/>
          <w:szCs w:val="24"/>
          <w:lang w:eastAsia="fr-FR"/>
        </w:rPr>
        <w:br/>
        <w:t>Le résultat de l'étape 4 est un ensemble d'intervalles de valeurs prises par chacun des indicateurs couverts par l'étude de sensibilité.</w:t>
      </w:r>
      <w:r w:rsidRPr="00B77F10">
        <w:rPr>
          <w:rFonts w:ascii="Times New Roman" w:eastAsia="Times New Roman" w:hAnsi="Times New Roman" w:cs="Times New Roman"/>
          <w:sz w:val="24"/>
          <w:szCs w:val="24"/>
          <w:lang w:eastAsia="fr-FR"/>
        </w:rPr>
        <w:br/>
        <w:t>Le calcul de la variabilité des indicateurs porte au minimum sur les paramètres sensibles relatifs aux éléments mentionnées à l'article 8 du présent arrêté.</w:t>
      </w:r>
      <w:r w:rsidRPr="00B77F10">
        <w:rPr>
          <w:rFonts w:ascii="Times New Roman" w:eastAsia="Times New Roman" w:hAnsi="Times New Roman" w:cs="Times New Roman"/>
          <w:sz w:val="24"/>
          <w:szCs w:val="24"/>
          <w:lang w:eastAsia="fr-FR"/>
        </w:rPr>
        <w:br/>
        <w:t>Les étapes 3 et 4 peuvent être réalisées par itération pour adapter le domaine de variation des paramètres sensibles aux conditions d'homogénéité souhaitées.</w:t>
      </w:r>
      <w:r w:rsidRPr="00B77F10">
        <w:rPr>
          <w:rFonts w:ascii="Times New Roman" w:eastAsia="Times New Roman" w:hAnsi="Times New Roman" w:cs="Times New Roman"/>
          <w:sz w:val="24"/>
          <w:szCs w:val="24"/>
          <w:lang w:eastAsia="fr-FR"/>
        </w:rPr>
        <w:br/>
        <w:t>Rapport de l'étude de sensibilité</w:t>
      </w:r>
      <w:r w:rsidRPr="00B77F10">
        <w:rPr>
          <w:rFonts w:ascii="Times New Roman" w:eastAsia="Times New Roman" w:hAnsi="Times New Roman" w:cs="Times New Roman"/>
          <w:sz w:val="24"/>
          <w:szCs w:val="24"/>
          <w:lang w:eastAsia="fr-FR"/>
        </w:rPr>
        <w:br/>
        <w:t>Le rapport doit contenir les éléments correspondant aux quatre étapes de l'étude de sensibilité et le résultat final de l'étude de sensibilité, et notamment le domaine de validité de la déclaration environnementale collective et les intervalles de variation des indicateurs témoins.</w:t>
      </w:r>
      <w:r w:rsidRPr="00B77F10">
        <w:rPr>
          <w:rFonts w:ascii="Times New Roman" w:eastAsia="Times New Roman" w:hAnsi="Times New Roman" w:cs="Times New Roman"/>
          <w:sz w:val="24"/>
          <w:szCs w:val="24"/>
          <w:lang w:eastAsia="fr-FR"/>
        </w:rPr>
        <w:br/>
        <w:t>3. Etude de sensibilité et valeurs environnementales déclarées</w:t>
      </w:r>
      <w:r w:rsidRPr="00B77F10">
        <w:rPr>
          <w:rFonts w:ascii="Times New Roman" w:eastAsia="Times New Roman" w:hAnsi="Times New Roman" w:cs="Times New Roman"/>
          <w:sz w:val="24"/>
          <w:szCs w:val="24"/>
          <w:lang w:eastAsia="fr-FR"/>
        </w:rPr>
        <w:br/>
        <w:t>Les résultats de l'étude de sensibilité conditionnent les valeurs environnementales déclarées dans la déclaration environnementale collective comme précisé à l'article 8 du présent arrêté.</w:t>
      </w:r>
      <w:r w:rsidRPr="00B77F10">
        <w:rPr>
          <w:rFonts w:ascii="Times New Roman" w:eastAsia="Times New Roman" w:hAnsi="Times New Roman" w:cs="Times New Roman"/>
          <w:sz w:val="24"/>
          <w:szCs w:val="24"/>
          <w:lang w:eastAsia="fr-FR"/>
        </w:rPr>
        <w:br/>
        <w:t>Lorsque la valeur maximale (ou maximale à 95 % de confiance, si une approche statistique est utilisée) de l'intervalle de variation de chaque indicateur d'impacts environnementaux témoins est inférieure ou égale à la valeur moyenne de l'indicateur multiplié par une valeur limite (précisée à l'article 8 du présent arrêté), alors les valeurs des indicateurs d'impacts environnementaux déclarées doivent être calculées avec les valeurs moyennes des paramètres sensibles. Dans le cas contraire, c'est-à-dire si au moins un des indicateurs d'impacts environnementaux témoins présente une valeur maximale supérieure à la valeur moyenne de l'indicateur multiplié par une valeur limite (précisée à l'article 8 du présent arrêté), alors c'est la borne la plus défavorable qui doit être déclarée (valeur maximale que l'indicateur peut atteindre dans le cas où celui-ci traduit une charge et la valeur minimale lorsqu'il traduit un bénéfice). Dans le cas d'indicateurs traduisant une charge, cette borne correspond à la valeur des indicateurs obtenus lorsque les valeurs maximales (ou maximales avec une probabilité de 95 %, si une approche statistique est utilisée) des paramètres sensibles sont employées.</w:t>
      </w:r>
      <w:r w:rsidRPr="00B77F10">
        <w:rPr>
          <w:rFonts w:ascii="Times New Roman" w:eastAsia="Times New Roman" w:hAnsi="Times New Roman" w:cs="Times New Roman"/>
          <w:sz w:val="24"/>
          <w:szCs w:val="24"/>
          <w:lang w:eastAsia="fr-FR"/>
        </w:rPr>
        <w:br/>
        <w:t>4. Identification précise des produits couverts par une déclaration</w:t>
      </w:r>
      <w:r w:rsidRPr="00B77F10">
        <w:rPr>
          <w:rFonts w:ascii="Times New Roman" w:eastAsia="Times New Roman" w:hAnsi="Times New Roman" w:cs="Times New Roman"/>
          <w:sz w:val="24"/>
          <w:szCs w:val="24"/>
          <w:lang w:eastAsia="fr-FR"/>
        </w:rPr>
        <w:br/>
        <w:t>Pour savoir si un produit est susceptible d'être couvert par une déclaration environnementale collective, il convient de savoir si le produit est similaire au produit type couvert et si le déclarant de ce produit est autorisé à utiliser cette déclaration environnementale collective.</w:t>
      </w:r>
      <w:r w:rsidRPr="00B77F10">
        <w:rPr>
          <w:rFonts w:ascii="Times New Roman" w:eastAsia="Times New Roman" w:hAnsi="Times New Roman" w:cs="Times New Roman"/>
          <w:sz w:val="24"/>
          <w:szCs w:val="24"/>
          <w:lang w:eastAsia="fr-FR"/>
        </w:rPr>
        <w:br/>
        <w:t>Identification du produit type</w:t>
      </w:r>
      <w:r w:rsidRPr="00B77F10">
        <w:rPr>
          <w:rFonts w:ascii="Times New Roman" w:eastAsia="Times New Roman" w:hAnsi="Times New Roman" w:cs="Times New Roman"/>
          <w:sz w:val="24"/>
          <w:szCs w:val="24"/>
          <w:lang w:eastAsia="fr-FR"/>
        </w:rPr>
        <w:br/>
        <w:t>Le produit type doit être correctement défini et décrit pour faciliter le rapprochement entre la description d'un produit et celle du produit type. La description du produit type doit contenir a minima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a) Une liste des principaux constituants ou matériaux dominants ;</w:t>
      </w:r>
      <w:r w:rsidRPr="00B77F10">
        <w:rPr>
          <w:rFonts w:ascii="Times New Roman" w:eastAsia="Times New Roman" w:hAnsi="Times New Roman" w:cs="Times New Roman"/>
          <w:sz w:val="24"/>
          <w:szCs w:val="24"/>
          <w:lang w:eastAsia="fr-FR"/>
        </w:rPr>
        <w:br/>
        <w:t>b) Des informations sur les fonctionnalités ou le niveau de performance.</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Cette identification doit permettre de savoir rapidement et sans ambiguïté si un produit particulier peut être couvert par la déclaration environnementale collective.</w:t>
      </w:r>
      <w:r w:rsidRPr="00B77F10">
        <w:rPr>
          <w:rFonts w:ascii="Times New Roman" w:eastAsia="Times New Roman" w:hAnsi="Times New Roman" w:cs="Times New Roman"/>
          <w:sz w:val="24"/>
          <w:szCs w:val="24"/>
          <w:lang w:eastAsia="fr-FR"/>
        </w:rPr>
        <w:br/>
        <w:t>Identification des déclarants pouvant utiliser la déclaration environnementale collective</w:t>
      </w:r>
      <w:r w:rsidRPr="00B77F10">
        <w:rPr>
          <w:rFonts w:ascii="Times New Roman" w:eastAsia="Times New Roman" w:hAnsi="Times New Roman" w:cs="Times New Roman"/>
          <w:sz w:val="24"/>
          <w:szCs w:val="24"/>
          <w:lang w:eastAsia="fr-FR"/>
        </w:rPr>
        <w:br/>
        <w:t>La déclaration environnementale collective étant la propriété et de la responsabilité d'une collectivité, cette collectivité peut décider que seuls certains déclarants puissent utiliser cette déclaration environnementale collective.</w:t>
      </w:r>
      <w:r w:rsidRPr="00B77F10">
        <w:rPr>
          <w:rFonts w:ascii="Times New Roman" w:eastAsia="Times New Roman" w:hAnsi="Times New Roman" w:cs="Times New Roman"/>
          <w:sz w:val="24"/>
          <w:szCs w:val="24"/>
          <w:lang w:eastAsia="fr-FR"/>
        </w:rPr>
        <w:br/>
        <w:t>La liste des déclarants autorisés à utiliser une déclaration environnementale collective doit être fournie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soit sous forme d'une liste nominative exhaustive ;</w:t>
      </w:r>
      <w:r w:rsidRPr="00B77F10">
        <w:rPr>
          <w:rFonts w:ascii="Times New Roman" w:eastAsia="Times New Roman" w:hAnsi="Times New Roman" w:cs="Times New Roman"/>
          <w:sz w:val="24"/>
          <w:szCs w:val="24"/>
          <w:lang w:eastAsia="fr-FR"/>
        </w:rPr>
        <w:br/>
        <w:t>- soit sous forme d'une condition d'appartenance à une collectivité (association, syndicat, signataires de charte de bonnes pratiques…). Dans ce cas, la liste des membres de cette collectivité doit être disponible publiquement.</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5. Contenu du cadre de validité</w:t>
      </w:r>
      <w:r w:rsidRPr="00B77F10">
        <w:rPr>
          <w:rFonts w:ascii="Times New Roman" w:eastAsia="Times New Roman" w:hAnsi="Times New Roman" w:cs="Times New Roman"/>
          <w:sz w:val="24"/>
          <w:szCs w:val="24"/>
          <w:lang w:eastAsia="fr-FR"/>
        </w:rPr>
        <w:br/>
        <w:t>Le cadre de validité contient a minima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l'identification du produit type (obligatoire) ;</w:t>
      </w:r>
      <w:r w:rsidRPr="00B77F10">
        <w:rPr>
          <w:rFonts w:ascii="Times New Roman" w:eastAsia="Times New Roman" w:hAnsi="Times New Roman" w:cs="Times New Roman"/>
          <w:sz w:val="24"/>
          <w:szCs w:val="24"/>
          <w:lang w:eastAsia="fr-FR"/>
        </w:rPr>
        <w:br/>
        <w:t>- les produits couverts par la déclaration environnementale collective ;</w:t>
      </w:r>
      <w:r w:rsidRPr="00B77F10">
        <w:rPr>
          <w:rFonts w:ascii="Times New Roman" w:eastAsia="Times New Roman" w:hAnsi="Times New Roman" w:cs="Times New Roman"/>
          <w:sz w:val="24"/>
          <w:szCs w:val="24"/>
          <w:lang w:eastAsia="fr-FR"/>
        </w:rPr>
        <w:br/>
        <w:t>- l'identification des déclarants pouvant utiliser la déclaration environnementale collective ;</w:t>
      </w:r>
      <w:r w:rsidRPr="00B77F10">
        <w:rPr>
          <w:rFonts w:ascii="Times New Roman" w:eastAsia="Times New Roman" w:hAnsi="Times New Roman" w:cs="Times New Roman"/>
          <w:sz w:val="24"/>
          <w:szCs w:val="24"/>
          <w:lang w:eastAsia="fr-FR"/>
        </w:rPr>
        <w:br/>
        <w:t>- le rapport de l'étude de sensibilité incluant le domaine de validité et justifiant que les valeurs déclarées des indicateurs sont homogènes.</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6. Utilisation du cadre de validité</w:t>
      </w:r>
      <w:r w:rsidRPr="00B77F10">
        <w:rPr>
          <w:rFonts w:ascii="Times New Roman" w:eastAsia="Times New Roman" w:hAnsi="Times New Roman" w:cs="Times New Roman"/>
          <w:sz w:val="24"/>
          <w:szCs w:val="24"/>
          <w:lang w:eastAsia="fr-FR"/>
        </w:rPr>
        <w:br/>
        <w:t>Pour qu'un déclarant puisse utiliser une déclaration environnementale collective pour son produit, il doit justifier :</w:t>
      </w:r>
    </w:p>
    <w:p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 que son produit est conforme au « produit type » couvert par la déclaration environnementale collective ;</w:t>
      </w:r>
      <w:r w:rsidRPr="00B77F10">
        <w:rPr>
          <w:rFonts w:ascii="Times New Roman" w:eastAsia="Times New Roman" w:hAnsi="Times New Roman" w:cs="Times New Roman"/>
          <w:sz w:val="24"/>
          <w:szCs w:val="24"/>
          <w:lang w:eastAsia="fr-FR"/>
        </w:rPr>
        <w:br/>
        <w:t>- qu'il est dans la liste des déclarants autorisés pour cette déclaration environnementale collective ;</w:t>
      </w:r>
      <w:r w:rsidRPr="00B77F10">
        <w:rPr>
          <w:rFonts w:ascii="Times New Roman" w:eastAsia="Times New Roman" w:hAnsi="Times New Roman" w:cs="Times New Roman"/>
          <w:sz w:val="24"/>
          <w:szCs w:val="24"/>
          <w:lang w:eastAsia="fr-FR"/>
        </w:rPr>
        <w:br/>
        <w:t>- qu'il respecte le domaine de validité de cette déclaration environnementale collective.</w:t>
      </w:r>
    </w:p>
    <w:p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Fait le 14 décembre 2021.</w:t>
      </w:r>
    </w:p>
    <w:p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br/>
        <w:t>La ministre déléguée auprès de la ministre de la transition écologique, chargée du logement,</w:t>
      </w:r>
      <w:r w:rsidRPr="00B77F10">
        <w:rPr>
          <w:rFonts w:ascii="Times New Roman" w:eastAsia="Times New Roman" w:hAnsi="Times New Roman" w:cs="Times New Roman"/>
          <w:sz w:val="24"/>
          <w:szCs w:val="24"/>
          <w:lang w:eastAsia="fr-FR"/>
        </w:rPr>
        <w:br/>
        <w:t>Pour la ministre et par délégation :</w:t>
      </w:r>
      <w:r w:rsidRPr="00B77F10">
        <w:rPr>
          <w:rFonts w:ascii="Times New Roman" w:eastAsia="Times New Roman" w:hAnsi="Times New Roman" w:cs="Times New Roman"/>
          <w:sz w:val="24"/>
          <w:szCs w:val="24"/>
          <w:lang w:eastAsia="fr-FR"/>
        </w:rPr>
        <w:br/>
        <w:t>Le directeur de l'habitat, de l'urbanisme et des paysages,</w:t>
      </w:r>
      <w:r w:rsidRPr="00B77F10">
        <w:rPr>
          <w:rFonts w:ascii="Times New Roman" w:eastAsia="Times New Roman" w:hAnsi="Times New Roman" w:cs="Times New Roman"/>
          <w:sz w:val="24"/>
          <w:szCs w:val="24"/>
          <w:lang w:eastAsia="fr-FR"/>
        </w:rPr>
        <w:br/>
        <w:t>F. Adam</w:t>
      </w:r>
    </w:p>
    <w:p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lang w:eastAsia="fr-FR"/>
        </w:rPr>
      </w:pPr>
      <w:r w:rsidRPr="00B77F10">
        <w:rPr>
          <w:rFonts w:ascii="Times New Roman" w:eastAsia="Times New Roman" w:hAnsi="Times New Roman" w:cs="Times New Roman"/>
          <w:sz w:val="24"/>
          <w:szCs w:val="24"/>
          <w:lang w:eastAsia="fr-FR"/>
        </w:rPr>
        <w:lastRenderedPageBreak/>
        <w:br/>
        <w:t>La ministre de la transition écologique,</w:t>
      </w:r>
      <w:r w:rsidRPr="00B77F10">
        <w:rPr>
          <w:rFonts w:ascii="Times New Roman" w:eastAsia="Times New Roman" w:hAnsi="Times New Roman" w:cs="Times New Roman"/>
          <w:sz w:val="24"/>
          <w:szCs w:val="24"/>
          <w:lang w:eastAsia="fr-FR"/>
        </w:rPr>
        <w:br/>
        <w:t>Pour la ministre et par délégation :</w:t>
      </w:r>
      <w:r w:rsidRPr="00B77F10">
        <w:rPr>
          <w:rFonts w:ascii="Times New Roman" w:eastAsia="Times New Roman" w:hAnsi="Times New Roman" w:cs="Times New Roman"/>
          <w:sz w:val="24"/>
          <w:szCs w:val="24"/>
          <w:lang w:eastAsia="fr-FR"/>
        </w:rPr>
        <w:br/>
        <w:t>Le directeur de l'habitat, de l'urbanisme et des paysages,</w:t>
      </w:r>
      <w:r w:rsidRPr="00B77F10">
        <w:rPr>
          <w:rFonts w:ascii="Times New Roman" w:eastAsia="Times New Roman" w:hAnsi="Times New Roman" w:cs="Times New Roman"/>
          <w:sz w:val="24"/>
          <w:szCs w:val="24"/>
          <w:lang w:eastAsia="fr-FR"/>
        </w:rPr>
        <w:br/>
        <w:t>F. Adam</w:t>
      </w:r>
    </w:p>
    <w:p w:rsidR="003F2E4D" w:rsidRDefault="003F2E4D">
      <w:bookmarkStart w:id="0" w:name="_GoBack"/>
      <w:bookmarkEnd w:id="0"/>
    </w:p>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10"/>
    <w:rsid w:val="003F2E4D"/>
    <w:rsid w:val="00B77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7F1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77F1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B77F10"/>
  </w:style>
  <w:style w:type="character" w:customStyle="1" w:styleId="word-break-all">
    <w:name w:val="word-break-all"/>
    <w:basedOn w:val="Policepardfaut"/>
    <w:rsid w:val="00B77F10"/>
  </w:style>
  <w:style w:type="character" w:customStyle="1" w:styleId="complement-titre-code">
    <w:name w:val="complement-titre-code"/>
    <w:basedOn w:val="Policepardfau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7774</Words>
  <Characters>42762</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2021-12-28T08:23:00Z</dcterms:created>
  <dcterms:modified xsi:type="dcterms:W3CDTF">2021-12-28T08:24:00Z</dcterms:modified>
</cp:coreProperties>
</file>