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Projekt statutu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Rozporządzenia szwedzkiego Urzędu ds. Chemikaliów (KIFS 2017:7) w sprawie produktów chemicznych i organizmów biotechnologicznych</w:t>
      </w:r>
    </w:p>
    <w:p w14:paraId="7AFDF2AB" w14:textId="7BEF76B0" w:rsidR="009F020D" w:rsidRDefault="009F020D" w:rsidP="009F020D">
      <w:r>
        <w:t xml:space="preserve">Rozdział 4</w:t>
      </w:r>
      <w:r>
        <w:t xml:space="preserve"> </w:t>
      </w:r>
    </w:p>
    <w:p w14:paraId="794D3BB0" w14:textId="540B037C" w:rsidR="009F020D" w:rsidRDefault="009F020D" w:rsidP="009F020D">
      <w:r>
        <w:t xml:space="preserve">Art. 3 Przepisy art. 7 i 9–14 rozporządzenia (2008:245) nie mają zastosowania do wodorotlenku sodu i wodorotlenku potasu jako substancji lub mieszanin.</w:t>
      </w:r>
      <w:r>
        <w:t xml:space="preserve"> </w:t>
      </w:r>
      <w:r>
        <w:t xml:space="preserve">Przepisy te nie mają również zastosowania do materiałów wybuchowych, olejów opałowych lub paliw silnikowych.</w:t>
      </w:r>
      <w:r>
        <w:t xml:space="preserve">  </w:t>
      </w:r>
    </w:p>
    <w:p w14:paraId="22F7CF4B" w14:textId="77777777" w:rsidR="009F020D" w:rsidRDefault="009F020D" w:rsidP="009F020D">
      <w:r>
        <w:t xml:space="preserve">Art. 3 lit. a) W drodze odstępstwa od art. 3 wymagane jest jednak zezwolenie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w przypadku postępowania w sposób nieprofesjonalny z wodorotlenkiem sodu i wodorotlenkiem potasu jako substancjami lub mieszaninami przeznaczonymi do udrażniania lub oczyszczania odpływów ściekowych, zgodnie z art. 7 ust. 1 rozporządzenia (2008:245).</w:t>
      </w:r>
      <w:r>
        <w:t xml:space="preserve"> </w:t>
      </w:r>
      <w:r>
        <w:t xml:space="preserve">W przypadku wyżej wymienionych produktów zastosowanie mają również przepisy art. 9 ust. 2 rozporządzenia (2008:245).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