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Decretul guvernamental nr. 120/2024 din 10 iunie 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 xml:space="preserve">de modificare a </w:t>
      </w:r>
      <w:hyperlink r:id="rId4" w:history="1">
        <w:r>
          <w:rPr>
            <w:rFonts w:ascii="Times New Roman" w:hAnsi="Times New Roman"/>
            <w:b/>
            <w:sz w:val="32"/>
          </w:rPr>
          <w:t xml:space="preserve">Decretului guvernamental </w:t>
        </w:r>
      </w:hyperlink>
      <w:hyperlink r:id="rId5" w:history="1">
        <w:r>
          <w:rPr>
            <w:rFonts w:ascii="Times New Roman" w:hAnsi="Times New Roman"/>
            <w:b/>
            <w:sz w:val="32"/>
          </w:rPr>
          <w:t xml:space="preserve">nr. 39/2013 </w:t>
        </w:r>
      </w:hyperlink>
      <w:hyperlink r:id="rId6" w:history="1">
        <w:r>
          <w:rPr>
            <w:rFonts w:ascii="Times New Roman" w:hAnsi="Times New Roman"/>
            <w:b/>
            <w:sz w:val="32"/>
          </w:rPr>
          <w:t>din 14 februarie 2013</w:t>
        </w:r>
      </w:hyperlink>
      <w:r>
        <w:rPr>
          <w:rFonts w:ascii="Times New Roman" w:hAnsi="Times New Roman"/>
          <w:b/>
          <w:sz w:val="32"/>
        </w:rPr>
        <w:t xml:space="preserve"> privind producerea, introducerea pe piață și controlul produselor din tutun, privind avertismentele combinate și dispozițiile detaliate privind aplicarea sancțiunilor medicale</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Acționând în temeiul autorizației acordate în temeiul </w:t>
      </w:r>
      <w:hyperlink r:id="rId7" w:history="1">
        <w:r>
          <w:rPr>
            <w:rFonts w:ascii="Times New Roman" w:hAnsi="Times New Roman"/>
            <w:sz w:val="24"/>
          </w:rPr>
          <w:t>articolului 8 alineatul (5) literele (a),</w:t>
        </w:r>
      </w:hyperlink>
      <w:r>
        <w:rPr>
          <w:rFonts w:ascii="Times New Roman" w:hAnsi="Times New Roman"/>
          <w:sz w:val="24"/>
        </w:rPr>
        <w:t xml:space="preserve">, </w:t>
      </w:r>
      <w:hyperlink r:id="rId8" w:history="1">
        <w:r>
          <w:rPr>
            <w:rFonts w:ascii="Times New Roman" w:hAnsi="Times New Roman"/>
            <w:sz w:val="24"/>
          </w:rPr>
          <w:t>(g)</w:t>
        </w:r>
      </w:hyperlink>
      <w:r>
        <w:rPr>
          <w:rFonts w:ascii="Times New Roman" w:hAnsi="Times New Roman"/>
          <w:sz w:val="24"/>
        </w:rPr>
        <w:t xml:space="preserve">, </w:t>
      </w:r>
      <w:hyperlink r:id="rId9" w:history="1">
        <w:r>
          <w:rPr>
            <w:rFonts w:ascii="Times New Roman" w:hAnsi="Times New Roman"/>
            <w:sz w:val="24"/>
          </w:rPr>
          <w:t>(h)</w:t>
        </w:r>
      </w:hyperlink>
      <w:r>
        <w:rPr>
          <w:rFonts w:ascii="Times New Roman" w:hAnsi="Times New Roman"/>
          <w:sz w:val="24"/>
        </w:rPr>
        <w:t xml:space="preserve"> și </w:t>
      </w:r>
      <w:hyperlink r:id="rId10" w:history="1">
        <w:r>
          <w:rPr>
            <w:rFonts w:ascii="Times New Roman" w:hAnsi="Times New Roman"/>
            <w:sz w:val="24"/>
          </w:rPr>
          <w:t xml:space="preserve">(i) din </w:t>
        </w:r>
      </w:hyperlink>
      <w:hyperlink r:id="rId11" w:history="1">
        <w:r>
          <w:rPr>
            <w:rFonts w:ascii="Times New Roman" w:hAnsi="Times New Roman"/>
            <w:sz w:val="24"/>
          </w:rPr>
          <w:t xml:space="preserve">Legea XLII din 1999 </w:t>
        </w:r>
      </w:hyperlink>
      <w:r>
        <w:rPr>
          <w:rFonts w:ascii="Times New Roman" w:hAnsi="Times New Roman"/>
          <w:sz w:val="24"/>
        </w:rPr>
        <w:t xml:space="preserve">privind protecția nefumătorilor și anumite reglementări privind consumul și distribuția produselor din tutun </w:t>
      </w:r>
      <w:hyperlink r:id="rId12" w:history="1">
        <w:r>
          <w:rPr>
            <w:rFonts w:ascii="Times New Roman" w:hAnsi="Times New Roman"/>
            <w:sz w:val="24"/>
          </w:rPr>
          <w:t xml:space="preserve">și acționând în cadrul funcțiilor sale prevăzute la articolul 15 alineatul (1) din Legea fundamentală, </w:t>
        </w:r>
      </w:hyperlink>
      <w:r>
        <w:rPr>
          <w:rFonts w:ascii="Times New Roman" w:hAnsi="Times New Roman"/>
          <w:sz w:val="24"/>
        </w:rPr>
        <w:t>guvernul stabilește următoarele:</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1 </w:t>
      </w:r>
      <w:r>
        <w:rPr>
          <w:rFonts w:ascii="Times New Roman" w:hAnsi="Times New Roman"/>
          <w:sz w:val="24"/>
        </w:rPr>
        <w:t xml:space="preserve"> </w:t>
      </w:r>
      <w:hyperlink r:id="rId13" w:history="1">
        <w:r>
          <w:rPr>
            <w:rFonts w:ascii="Times New Roman" w:hAnsi="Times New Roman"/>
            <w:sz w:val="24"/>
          </w:rPr>
          <w:t>Articolul</w:t>
        </w:r>
      </w:hyperlink>
      <w:r>
        <w:t xml:space="preserve"> </w:t>
      </w:r>
      <w:hyperlink r:id="rId14" w:history="1">
        <w:r>
          <w:rPr>
            <w:rFonts w:ascii="Times New Roman" w:hAnsi="Times New Roman"/>
            <w:sz w:val="24"/>
          </w:rPr>
          <w:t xml:space="preserve">4 </w:t>
        </w:r>
      </w:hyperlink>
      <w:hyperlink r:id="rId15" w:history="1">
        <w:r>
          <w:rPr>
            <w:rFonts w:ascii="Times New Roman" w:hAnsi="Times New Roman"/>
            <w:sz w:val="24"/>
          </w:rPr>
          <w:t xml:space="preserve">din Decretul guvernamental </w:t>
        </w:r>
      </w:hyperlink>
      <w:hyperlink r:id="rId16" w:history="1">
        <w:r>
          <w:rPr>
            <w:rFonts w:ascii="Times New Roman" w:hAnsi="Times New Roman"/>
            <w:sz w:val="24"/>
          </w:rPr>
          <w:t xml:space="preserve">nr. 39/2013 </w:t>
        </w:r>
      </w:hyperlink>
      <w:hyperlink r:id="rId17" w:history="1">
        <w:r>
          <w:rPr>
            <w:rFonts w:ascii="Times New Roman" w:hAnsi="Times New Roman"/>
            <w:sz w:val="24"/>
          </w:rPr>
          <w:t>din 14 februarie 2013</w:t>
        </w:r>
      </w:hyperlink>
      <w:r>
        <w:t xml:space="preserve"> </w:t>
      </w:r>
      <w:r>
        <w:rPr>
          <w:rFonts w:ascii="Times New Roman" w:hAnsi="Times New Roman"/>
          <w:sz w:val="24"/>
        </w:rPr>
        <w:t>privind producerea, introducerea pe piață și controlul produselor din tutun, privind avertismentele combinate și dispozițiile detaliate privind aplicarea sancțiunilor medicale</w:t>
      </w:r>
      <w:r>
        <w:t xml:space="preserve"> </w:t>
      </w:r>
      <w:hyperlink r:id="rId18" w:history="1">
        <w:r>
          <w:rPr>
            <w:rFonts w:ascii="Times New Roman" w:hAnsi="Times New Roman"/>
            <w:sz w:val="24"/>
          </w:rPr>
          <w:t>(denumit în continuare</w:t>
        </w:r>
      </w:hyperlink>
      <w:hyperlink r:id="rId19" w:history="1">
        <w:r>
          <w:rPr>
            <w:rFonts w:ascii="Times New Roman" w:hAnsi="Times New Roman"/>
            <w:sz w:val="24"/>
          </w:rPr>
          <w:t xml:space="preserve"> „decretul”)</w:t>
        </w:r>
      </w:hyperlink>
      <w:r>
        <w:rPr>
          <w:rFonts w:ascii="Times New Roman" w:hAnsi="Times New Roman"/>
          <w:sz w:val="24"/>
        </w:rPr>
        <w:t>se înlocuiește cu următorul text:</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4 </w:t>
      </w:r>
      <w:r>
        <w:rPr>
          <w:rFonts w:ascii="Times New Roman" w:hAnsi="Times New Roman"/>
          <w:sz w:val="24"/>
        </w:rPr>
        <w:t>(1) Produsul din tutun nu conține substanțe străine.</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Produsul din tutun nu conține</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sau alți aditivi care dau impresia că produsul are un impact fiziologic benefic sau că este mai puțin dăunător pentru sănătate;</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cafeină, taurină sau alți aditivi și compuși stimulanți care sunt asociați cu energia și vitalitatea;</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aditivi care decolorează emisiile;</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în cazul produselor din tutun pentru fumat, aditivi care facilitează inhalarea sau absorbția nicotinei;</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aditivi care, în formă nearsă, sunt cancerigeni, mutageni sau toxici pentru reproducere (denumiți în continuare „au proprietăți CMR”).</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Produsul din tutun nu conține aditivii interziși menționați în anexa 4.</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Se interzice introducerea pe piață și distribuirea de produse din tutun care nu respectă cerințele prevăzute la </w:t>
      </w:r>
      <w:hyperlink r:id="rId20" w:history="1">
        <w:r>
          <w:rPr>
            <w:rFonts w:ascii="Times New Roman" w:hAnsi="Times New Roman"/>
            <w:sz w:val="24"/>
          </w:rPr>
          <w:t>alineatele (1)-(3)</w:t>
        </w:r>
      </w:hyperlink>
      <w:r>
        <w:t>.</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În plus față de </w:t>
      </w:r>
      <w:hyperlink r:id="rId21" w:history="1">
        <w:r>
          <w:rPr>
            <w:rFonts w:ascii="Times New Roman" w:hAnsi="Times New Roman"/>
            <w:sz w:val="24"/>
          </w:rPr>
          <w:t>alineatele (1)-(4)</w:t>
        </w:r>
      </w:hyperlink>
      <w:r>
        <w:rPr>
          <w:rFonts w:ascii="Times New Roman" w:hAnsi="Times New Roman"/>
          <w:sz w:val="24"/>
        </w:rPr>
        <w:t>, se interzice, de asemenea, introducerea pe piață și distribuirea de țigări și tutun de rulat care conțin mentol și aditivi derivați de mentol.</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(6) Utilizatorul, comerciantul înregistrat, importatorul sau antrepozitarul autorizat (denumiți în continuare împreună „notificatorul”) trebuie să informeze Centrul Național de Sănătate Publică și Farmacie (denumit în continuare „NNGYK”) cu privire la utilizarea oricărui aditiv nou în producția unui produs din tutun și trebuie să facă acest lucru cu șase luni înainte de data inițială de utilizare preconizată, dar nu mai târziu de 30 de zile înainte de data prevăzută pentru utilizare. Notificarea conține datele prevăzute în anexa 3. NNGYK ține un registru oficial al datelor notificate și le publică pe site-ul său internet. Nu este necesar să se notifice utilizarea părților naturale din tutunul brut.</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Notificarea este însoțită de</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o autorizație de utilizare eliberată de o autoritate a unui stat care este parte la Acordul privind Spațiul Economic European, dacă este disponibilă; și</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un raport emis de un laborator acreditat cu rezultatele încercării.</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În termen de 30 de zile de la notificare, NNGYK examinează dacă aditivul care urmează să fie utilizat aparține aditivilor interziși </w:t>
      </w:r>
      <w:hyperlink r:id="rId22" w:history="1">
        <w:r>
          <w:rPr>
            <w:rFonts w:ascii="Times New Roman" w:hAnsi="Times New Roman"/>
            <w:sz w:val="24"/>
          </w:rPr>
          <w:t xml:space="preserve">în decret, </w:t>
        </w:r>
      </w:hyperlink>
      <w:r>
        <w:rPr>
          <w:rFonts w:ascii="Times New Roman" w:hAnsi="Times New Roman"/>
          <w:sz w:val="24"/>
        </w:rPr>
        <w:t>pe baza notificării. În cazul în care, în cursul examinării, NNGYK constată că utilizarea aditivului (care se intenționează a fi utilizat) nu este interzisă prin lege, aceasta confirmă notificarea și informează notificatorul în consecință. NNGYK informează ministrul responsabil cu protecția consumatorilor cu privire la notificare. În cazul în care NNGYK nu face nicio declarație după o perioadă de 30 de zile, se consideră că aditivul notificat este autorizat pentru utilizare.</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Studiile privind aditivii notificați în conformitate cu </w:t>
      </w:r>
      <w:hyperlink r:id="rId23" w:history="1">
        <w:r>
          <w:rPr>
            <w:rFonts w:ascii="Times New Roman" w:hAnsi="Times New Roman"/>
            <w:sz w:val="24"/>
          </w:rPr>
          <w:t>alineatul (6)</w:t>
        </w:r>
      </w:hyperlink>
      <w:r>
        <w:rPr>
          <w:rFonts w:ascii="Times New Roman" w:hAnsi="Times New Roman"/>
          <w:sz w:val="24"/>
        </w:rPr>
        <w:t xml:space="preserve"> sunt prezentate de notificator la NNGYK în termen de doi ani de la începerea utilizării acestora. În termen de șase luni de la prezentarea documentației, ministerul condus de ministrul sănătății examinează dacă documentația oferă motive pentru includerea aditivului pe lista aditivilor interziși în conformitate cu anexa 4. Această examinare se efectuează pe baza documentației.</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În cazul în care directorul medical consideră necesară includerea aditivului pe lista din anexa 4, acesta inițiază modificarea legislației împreună cu ministrul sănătății, în vederea extinderii listei.</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Se interzice utilizarea altor aditivi decât aditivul notificat și utilizarea unui aditiv pentru tutun în condiții diferite de cele menționate în notificare.</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Țigările puse în liberă circulație trebuie să respecte cerințele de siguranță ale MSZ EN 16156:2011.</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În cazul vânzărilor transfrontaliere la distanță, se consideră că produsele din tutun sunt introduse pe piață în statul membru în care se află consumatorul.</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În sensul prezentului articol, un aditiv pe care producătorul a fost autorizat să îl utilizeze la fabricarea unui produs din tutun înainte de 20 august 2016 pe baza unei autorizații legale sau a unei autorizații specifice nu este considerat aditiv nou și nu face obiectul obligației de notificare prevăzute la </w:t>
      </w:r>
      <w:hyperlink r:id="rId24" w:history="1">
        <w:r>
          <w:rPr>
            <w:rFonts w:ascii="Times New Roman" w:hAnsi="Times New Roman"/>
            <w:sz w:val="24"/>
          </w:rPr>
          <w:t>alineatul (6)</w:t>
        </w:r>
      </w:hyperlink>
      <w:r>
        <w:rPr>
          <w:rFonts w:ascii="Times New Roman" w:hAnsi="Times New Roman"/>
          <w:sz w:val="24"/>
        </w:rPr>
        <w:t>cu condiția să nu fie inclus pe lista aditivilor interziși din anexa 4.”</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2 </w:t>
      </w:r>
      <w:r>
        <w:rPr>
          <w:rFonts w:ascii="Times New Roman" w:hAnsi="Times New Roman"/>
          <w:sz w:val="24"/>
        </w:rPr>
        <w:t xml:space="preserve"> La </w:t>
      </w:r>
      <w:hyperlink r:id="rId25" w:history="1">
        <w:r>
          <w:rPr>
            <w:rFonts w:ascii="Times New Roman" w:hAnsi="Times New Roman"/>
            <w:sz w:val="24"/>
          </w:rPr>
          <w:t xml:space="preserve">articolul 6 alineatul (1) litera (a) </w:t>
        </w:r>
      </w:hyperlink>
      <w:hyperlink r:id="rId26" w:history="1">
        <w:r>
          <w:rPr>
            <w:rFonts w:ascii="Times New Roman" w:hAnsi="Times New Roman"/>
            <w:sz w:val="24"/>
          </w:rPr>
          <w:t>din decret,</w:t>
        </w:r>
      </w:hyperlink>
      <w:r>
        <w:rPr>
          <w:rFonts w:ascii="Times New Roman" w:hAnsi="Times New Roman"/>
          <w:sz w:val="24"/>
        </w:rPr>
        <w:t xml:space="preserve"> se adaugă următoarea literă (ai):</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lastRenderedPageBreak/>
        <w:t>(Se indică tipul de produs din tutun</w:t>
      </w:r>
      <w:r>
        <w:rPr>
          <w:rFonts w:ascii="Times New Roman" w:hAnsi="Times New Roman"/>
          <w:i/>
          <w:sz w:val="24"/>
        </w:rPr>
        <w:br/>
        <w:t>pe pachetul unitar, după cum urmează:)</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«produs din tutun încălzit».”</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3 </w:t>
      </w:r>
      <w:r>
        <w:rPr>
          <w:rFonts w:ascii="Times New Roman" w:hAnsi="Times New Roman"/>
          <w:sz w:val="24"/>
        </w:rPr>
        <w:t xml:space="preserve">(1) La </w:t>
      </w:r>
      <w:hyperlink r:id="rId27" w:history="1">
        <w:r>
          <w:rPr>
            <w:rFonts w:ascii="Times New Roman" w:hAnsi="Times New Roman"/>
            <w:sz w:val="24"/>
          </w:rPr>
          <w:t>articolul</w:t>
        </w:r>
      </w:hyperlink>
      <w:hyperlink r:id="rId28" w:history="1">
        <w:r>
          <w:rPr>
            <w:rFonts w:ascii="Times New Roman" w:hAnsi="Times New Roman"/>
            <w:sz w:val="24"/>
          </w:rPr>
          <w:t>15/A din decret,</w:t>
        </w:r>
      </w:hyperlink>
      <w:hyperlink r:id="rId29" w:history="1">
        <w:r>
          <w:rPr>
            <w:rFonts w:ascii="Times New Roman" w:hAnsi="Times New Roman"/>
            <w:sz w:val="24"/>
          </w:rPr>
          <w:t>litera (a)</w:t>
        </w:r>
      </w:hyperlink>
      <w:r>
        <w:rPr>
          <w:rFonts w:ascii="Times New Roman" w:hAnsi="Times New Roman"/>
          <w:sz w:val="24"/>
        </w:rPr>
        <w:t xml:space="preserve"> se înlocuiește cu următorul text:</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(Pachetul unitar)</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conține 20 de țigări în cazul țigărilor;”</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La </w:t>
      </w:r>
      <w:hyperlink r:id="rId30" w:history="1">
        <w:r>
          <w:rPr>
            <w:rFonts w:ascii="Times New Roman" w:hAnsi="Times New Roman"/>
            <w:sz w:val="24"/>
          </w:rPr>
          <w:t>articolul 15/A din decret,</w:t>
        </w:r>
      </w:hyperlink>
      <w:hyperlink r:id="rId31" w:history="1">
        <w:r>
          <w:rPr>
            <w:rFonts w:ascii="Times New Roman" w:hAnsi="Times New Roman"/>
            <w:sz w:val="24"/>
          </w:rPr>
          <w:t>litera (c)</w:t>
        </w:r>
      </w:hyperlink>
      <w:r>
        <w:rPr>
          <w:rFonts w:ascii="Times New Roman" w:hAnsi="Times New Roman"/>
          <w:sz w:val="24"/>
        </w:rPr>
        <w:t xml:space="preserve"> se înlocuiește cu următorul text:</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(Pachetul unitar)</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în cazul tutunului de fumat, este un plic dreptunghiular sau vertical care conține tutun de fumat de minimum 30 g și maximum 50 g, dar în orice caz cu o greutate (grame) divizibilă la 10 fără rest, cu mențiunea că, în cazul tutunului pentru narghilea, o cutie care conține maximum 50 g de tutun pentru narghilea constituie, de asemenea, un pachet unitar;”</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4 </w:t>
      </w:r>
      <w:r>
        <w:rPr>
          <w:rFonts w:ascii="Times New Roman" w:hAnsi="Times New Roman"/>
          <w:sz w:val="24"/>
        </w:rPr>
        <w:t xml:space="preserve"> La </w:t>
      </w:r>
      <w:hyperlink r:id="rId32" w:history="1">
        <w:r>
          <w:rPr>
            <w:rFonts w:ascii="Times New Roman" w:hAnsi="Times New Roman"/>
            <w:sz w:val="24"/>
          </w:rPr>
          <w:t>articolul 17 din decret,</w:t>
        </w:r>
      </w:hyperlink>
      <w:hyperlink r:id="rId33" w:history="1">
        <w:r>
          <w:rPr>
            <w:rFonts w:ascii="Times New Roman" w:hAnsi="Times New Roman"/>
            <w:sz w:val="24"/>
          </w:rPr>
          <w:t>alineatul (1) litera (a)</w:t>
        </w:r>
      </w:hyperlink>
      <w:r>
        <w:rPr>
          <w:rFonts w:ascii="Times New Roman" w:hAnsi="Times New Roman"/>
          <w:sz w:val="24"/>
        </w:rPr>
        <w:t xml:space="preserve"> se înlocuiește cu următorul text:</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(Respectarea prezentului decret)</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în ceea ce privește notificarea </w:t>
      </w:r>
      <w:hyperlink r:id="rId34" w:history="1">
        <w:r>
          <w:rPr>
            <w:rFonts w:ascii="Times New Roman" w:hAnsi="Times New Roman"/>
            <w:sz w:val="24"/>
          </w:rPr>
          <w:t>menționată la articolul 4</w:t>
        </w:r>
      </w:hyperlink>
      <w:r>
        <w:rPr>
          <w:rFonts w:ascii="Times New Roman" w:hAnsi="Times New Roman"/>
          <w:sz w:val="24"/>
        </w:rPr>
        <w:t xml:space="preserve"> și </w:t>
      </w:r>
      <w:hyperlink r:id="rId35" w:history="1">
        <w:r>
          <w:rPr>
            <w:rFonts w:ascii="Times New Roman" w:hAnsi="Times New Roman"/>
            <w:sz w:val="24"/>
          </w:rPr>
          <w:t>în ceea ce privește titlul 9/B (cu excepția dispozițiilor privind pachetele unitare de produse)</w:t>
        </w:r>
      </w:hyperlink>
      <w:r>
        <w:rPr>
          <w:rFonts w:ascii="Times New Roman" w:hAnsi="Times New Roman"/>
          <w:sz w:val="24"/>
        </w:rPr>
        <w:t>, sunt verificate de medicul șef național,”</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(care va acționa în limitele competenței sale în cazul încălcării prezentului decret.)</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5 </w:t>
      </w:r>
      <w:r>
        <w:rPr>
          <w:rFonts w:ascii="Times New Roman" w:hAnsi="Times New Roman"/>
          <w:sz w:val="24"/>
        </w:rPr>
        <w:t xml:space="preserve"> </w:t>
      </w:r>
      <w:hyperlink r:id="rId36" w:history="1">
        <w:r>
          <w:rPr>
            <w:rFonts w:ascii="Times New Roman" w:hAnsi="Times New Roman"/>
            <w:sz w:val="24"/>
          </w:rPr>
          <w:t xml:space="preserve">Următorul alineat (6) </w:t>
        </w:r>
      </w:hyperlink>
      <w:r>
        <w:rPr>
          <w:rFonts w:ascii="Times New Roman" w:hAnsi="Times New Roman"/>
          <w:sz w:val="24"/>
        </w:rPr>
        <w:t xml:space="preserve">se adaugă la articolul </w:t>
      </w:r>
      <w:hyperlink r:id="rId37" w:history="1">
        <w:r>
          <w:rPr>
            <w:rFonts w:ascii="Times New Roman" w:hAnsi="Times New Roman"/>
            <w:sz w:val="24"/>
          </w:rPr>
          <w:t>18/A din decret</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În cazul în care medicul șef consideră că este necesar pe baza raportului menționat în prezentul articol, acesta inițiază modificarea legislației împreună cu ministrul responsabil cu sănătatea pentru a interzice utilizarea în continuare a aditivilor incluși în lista prioritară.”</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6 </w:t>
      </w:r>
      <w:r>
        <w:rPr>
          <w:rFonts w:ascii="Times New Roman" w:hAnsi="Times New Roman"/>
          <w:sz w:val="24"/>
        </w:rPr>
        <w:t xml:space="preserve"> </w:t>
      </w:r>
      <w:hyperlink r:id="rId38" w:history="1">
        <w:r>
          <w:rPr>
            <w:rFonts w:ascii="Times New Roman" w:hAnsi="Times New Roman"/>
            <w:sz w:val="24"/>
          </w:rPr>
          <w:t xml:space="preserve">Articolul </w:t>
        </w:r>
      </w:hyperlink>
      <w:hyperlink r:id="rId39" w:history="1">
        <w:r>
          <w:rPr>
            <w:rFonts w:ascii="Times New Roman" w:hAnsi="Times New Roman"/>
            <w:sz w:val="24"/>
          </w:rPr>
          <w:t>18/C din decret</w:t>
        </w:r>
      </w:hyperlink>
      <w:r>
        <w:rPr>
          <w:rFonts w:ascii="Times New Roman" w:hAnsi="Times New Roman"/>
          <w:sz w:val="24"/>
        </w:rPr>
        <w:t>se înlocuiește cu următorul text:</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w:t>
      </w:r>
      <w:r>
        <w:rPr>
          <w:rFonts w:ascii="Times New Roman" w:hAnsi="Times New Roman"/>
          <w:b/>
          <w:bCs/>
          <w:sz w:val="24"/>
        </w:rPr>
        <w:t>Articolul 18/C</w:t>
      </w:r>
      <w:r>
        <w:rPr>
          <w:rFonts w:ascii="Times New Roman" w:hAnsi="Times New Roman"/>
          <w:sz w:val="24"/>
        </w:rPr>
        <w:t> (1) Un produs din plante pentru fumat poate fi introdus pe piață și distribuit în următoarele condiții:</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nu trebuie să conțină niciun aditiv menționat în anexa 4;</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nu trebuie să conțină vitamine adăugate sau alți aditivi care dau impresia că produsul are un efect fiziologic benefic sau că este mai puțin nociv pentru sănătate;</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nu poate conține cafeină, taurină adăugată sau alți aditivi și compuși stimulanți care sunt asociați cu energia și vitalitatea,</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nu trebuie să conțină aditivi care să faciliteze inhalarea, și</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(e) aditivi cu proprietăți CMR.”</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Prin derogare de la </w:t>
      </w:r>
      <w:hyperlink r:id="rId40" w:history="1">
        <w:r>
          <w:rPr>
            <w:rFonts w:ascii="Times New Roman" w:hAnsi="Times New Roman"/>
            <w:sz w:val="24"/>
          </w:rPr>
          <w:t xml:space="preserve">alineatul (1), </w:t>
        </w:r>
      </w:hyperlink>
      <w:r>
        <w:rPr>
          <w:rFonts w:ascii="Times New Roman" w:hAnsi="Times New Roman"/>
          <w:sz w:val="24"/>
        </w:rPr>
        <w:t>pentru plantele destinate fumatului care sunt consumate prin încălzire,</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1" w:history="1">
        <w:r>
          <w:rPr>
            <w:rFonts w:ascii="Times New Roman" w:hAnsi="Times New Roman"/>
            <w:sz w:val="24"/>
          </w:rPr>
          <w:t>dispoziția de la alineatul (1) litera (a)</w:t>
        </w:r>
      </w:hyperlink>
      <w:r>
        <w:rPr>
          <w:rFonts w:ascii="Times New Roman" w:hAnsi="Times New Roman"/>
          <w:sz w:val="24"/>
        </w:rPr>
        <w:t xml:space="preserve"> se aplică în cazul în care produsul poate conține ceai;</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substanțele menționate </w:t>
      </w:r>
      <w:hyperlink r:id="rId42" w:history="1">
        <w:r>
          <w:rPr>
            <w:rFonts w:ascii="Times New Roman" w:hAnsi="Times New Roman"/>
            <w:sz w:val="24"/>
          </w:rPr>
          <w:t xml:space="preserve">la alineatul (1) literele (b)-(d) </w:t>
        </w:r>
      </w:hyperlink>
      <w:r>
        <w:rPr>
          <w:rFonts w:ascii="Times New Roman" w:hAnsi="Times New Roman"/>
          <w:sz w:val="24"/>
        </w:rPr>
        <w:t>pot fi utilizate în măsura în care sunt componente esențiale ale plantei, ale ierbii, ale fructului sau ale substanței aromatizante adăugate.</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Producătorul, importatorul și distribuitorul de „produse din plante destinate fumatului” trebuie să facă o notificare dacă doresc să introducă pe piață produse pe bază de plante destinate fumatului. Notificarea se transmite electronic ministrului responsabil cu politica agricolă, ministrului sănătății și directorului medical, cu șase luni înainte de comercializarea planificată. Notificarea este însoțită de o descriere detaliată a produsului pe bază de plante pentru fumat și de informații privind toate ingredientele și cantitățile utilizate la fabricarea produsului, în funcție de marcă și subtip.</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Producătorul sau importatorul unui produs pe bază de plante destinate fumatului informează, de asemenea, organismele menționate la </w:t>
      </w:r>
      <w:hyperlink r:id="rId43" w:history="1">
        <w:r>
          <w:rPr>
            <w:rFonts w:ascii="Times New Roman" w:hAnsi="Times New Roman"/>
            <w:sz w:val="24"/>
          </w:rPr>
          <w:t>alineatul (3)</w:t>
        </w:r>
      </w:hyperlink>
      <w:r>
        <w:rPr>
          <w:rFonts w:ascii="Times New Roman" w:hAnsi="Times New Roman"/>
          <w:sz w:val="24"/>
        </w:rPr>
        <w:t xml:space="preserve"> dacă compoziția unui produs este modificată într-un mod care afectează informațiile furnizate în conformitate cu prezentul articol. Producătorul sau importatorul unui produs pe bază de plante pentru fumat poate avea obligația să efectueze teste suplimentare sau să furnizeze informații suplimentare.</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 examinarea notificărilor privind produsele pe bază de plante destinate fumatului, directorul medical național decide dacă este necesar să se interzică produsul pe baza datelor și informațiilor care au fost furnizate, ținând seama de dispozițiile Legii privind reducerea prevalenței fumatului în rândul tinerilor și vânzarea cu amănuntul a produselor din tutun.” După examinarea notificărilor referitoare la aceste produse din plante pentru fumat, directorul medical eliberează un certificat în termen de 60 zile de la depunerea acestora, în cazul în care produsul nu trebuie interzis. În cazul în care directorul medical nu face o declarație în termen de 60 de zile, produsul notificat poate fi introdus pe piață și poate fi distribuit.</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publică pe site-ul său internet toate informațiile primite în conformitate cu </w:t>
      </w:r>
      <w:hyperlink r:id="rId44" w:history="1">
        <w:r>
          <w:rPr>
            <w:rFonts w:ascii="Times New Roman" w:hAnsi="Times New Roman"/>
            <w:sz w:val="24"/>
          </w:rPr>
          <w:t>alineatele (3)</w:t>
        </w:r>
      </w:hyperlink>
      <w:r>
        <w:rPr>
          <w:rFonts w:ascii="Times New Roman" w:hAnsi="Times New Roman"/>
          <w:sz w:val="24"/>
        </w:rPr>
        <w:t xml:space="preserve"> și </w:t>
      </w:r>
      <w:hyperlink r:id="rId45" w:history="1">
        <w:r>
          <w:rPr>
            <w:rFonts w:ascii="Times New Roman" w:hAnsi="Times New Roman"/>
            <w:sz w:val="24"/>
          </w:rPr>
          <w:t>(4)</w:t>
        </w:r>
      </w:hyperlink>
      <w:r>
        <w:rPr>
          <w:rFonts w:ascii="Times New Roman" w:hAnsi="Times New Roman"/>
          <w:sz w:val="24"/>
        </w:rPr>
        <w:t xml:space="preserve"> cu privire la ingredientele care sunt utilizate la fabricarea produselor pe bază de plante pentru fumat, precum și cu privire la cantitățile acestora sau la orice modificare a acestora. Publicarea acestor date respectă întotdeauna protecția secretelor comerciale pe care operatorul economic le-a marcat.”</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7 </w:t>
      </w:r>
      <w:r>
        <w:rPr>
          <w:rFonts w:ascii="Times New Roman" w:hAnsi="Times New Roman"/>
          <w:sz w:val="24"/>
        </w:rPr>
        <w:t xml:space="preserve">(1) </w:t>
      </w:r>
      <w:hyperlink r:id="rId46" w:history="1">
        <w:r>
          <w:rPr>
            <w:rFonts w:ascii="Times New Roman" w:hAnsi="Times New Roman"/>
            <w:sz w:val="24"/>
          </w:rPr>
          <w:t xml:space="preserve">Următorul </w:t>
        </w:r>
      </w:hyperlink>
      <w:hyperlink r:id="rId47" w:history="1">
        <w:r>
          <w:rPr>
            <w:rFonts w:ascii="Times New Roman" w:hAnsi="Times New Roman"/>
            <w:sz w:val="24"/>
          </w:rPr>
          <w:t xml:space="preserve">alineat (1a) </w:t>
        </w:r>
      </w:hyperlink>
      <w:r>
        <w:rPr>
          <w:rFonts w:ascii="Times New Roman" w:hAnsi="Times New Roman"/>
          <w:sz w:val="24"/>
        </w:rPr>
        <w:t xml:space="preserve">se adaugă la articolul </w:t>
      </w:r>
      <w:hyperlink r:id="rId48" w:history="1">
        <w:r>
          <w:rPr>
            <w:rFonts w:ascii="Times New Roman" w:hAnsi="Times New Roman"/>
            <w:sz w:val="24"/>
          </w:rPr>
          <w:t>19/A din prezentul decret:</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9" w:history="1">
        <w:r>
          <w:rPr>
            <w:rFonts w:ascii="Times New Roman" w:hAnsi="Times New Roman"/>
            <w:sz w:val="24"/>
          </w:rPr>
          <w:t>Prin derogare de la alineatul (1),</w:t>
        </w:r>
      </w:hyperlink>
      <w:r>
        <w:rPr>
          <w:rFonts w:ascii="Times New Roman" w:hAnsi="Times New Roman"/>
          <w:sz w:val="24"/>
        </w:rPr>
        <w:t xml:space="preserve">în cazul înlocuitorilor de tutun care conțin nicotină, notificarea în conformitate cu articolul </w:t>
      </w:r>
      <w:hyperlink r:id="rId50" w:history="1">
        <w:r>
          <w:rPr>
            <w:rFonts w:ascii="Times New Roman" w:hAnsi="Times New Roman"/>
            <w:sz w:val="24"/>
          </w:rPr>
          <w:t>7/D</w:t>
        </w:r>
      </w:hyperlink>
      <w:hyperlink r:id="rId51" w:history="1">
        <w:r>
          <w:rPr>
            <w:rFonts w:ascii="Times New Roman" w:hAnsi="Times New Roman"/>
            <w:sz w:val="24"/>
          </w:rPr>
          <w:t>(1)</w:t>
        </w:r>
      </w:hyperlink>
      <w:r>
        <w:rPr>
          <w:rFonts w:ascii="Times New Roman" w:hAnsi="Times New Roman"/>
          <w:sz w:val="24"/>
        </w:rPr>
        <w:t xml:space="preserve"> din Legea XLII din 1999 se trimite directorului medical prin mijloace electronice, în conformitate cu Legea privind normele generale ale administrației electronice și ale serviciilor de încredere.”</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2" w:history="1">
        <w:r>
          <w:rPr>
            <w:rFonts w:ascii="Times New Roman" w:hAnsi="Times New Roman"/>
            <w:sz w:val="24"/>
          </w:rPr>
          <w:t>Următorul alineat (2a)</w:t>
        </w:r>
      </w:hyperlink>
      <w:r>
        <w:rPr>
          <w:rFonts w:ascii="Times New Roman" w:hAnsi="Times New Roman"/>
          <w:sz w:val="24"/>
        </w:rPr>
        <w:t>se adaugă la articolul</w:t>
      </w:r>
      <w:hyperlink r:id="rId53" w:history="1">
        <w:r>
          <w:rPr>
            <w:rFonts w:ascii="Times New Roman" w:hAnsi="Times New Roman"/>
            <w:sz w:val="24"/>
          </w:rPr>
          <w:t>19/A din prezentul decret:</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„(2a) Prin derogare de la </w:t>
      </w:r>
      <w:hyperlink r:id="rId54" w:history="1">
        <w:r>
          <w:rPr>
            <w:rFonts w:ascii="Times New Roman" w:hAnsi="Times New Roman"/>
            <w:sz w:val="24"/>
          </w:rPr>
          <w:t>alineatul (2)</w:t>
        </w:r>
      </w:hyperlink>
      <w:r>
        <w:t xml:space="preserve">, </w:t>
      </w:r>
      <w:r>
        <w:rPr>
          <w:rFonts w:ascii="Times New Roman" w:hAnsi="Times New Roman"/>
          <w:sz w:val="24"/>
        </w:rPr>
        <w:t xml:space="preserve">în cazul înlocuitorilor de tutun care conțin nicotină, conținutul notificării face obiectul cerințelor prevăzute la articolul </w:t>
      </w:r>
      <w:hyperlink r:id="rId55" w:history="1">
        <w:r>
          <w:rPr>
            <w:rFonts w:ascii="Times New Roman" w:hAnsi="Times New Roman"/>
            <w:sz w:val="24"/>
          </w:rPr>
          <w:t>19/F</w:t>
        </w:r>
      </w:hyperlink>
      <w:hyperlink r:id="rId56" w:history="1">
        <w:r>
          <w:rPr>
            <w:rFonts w:ascii="Times New Roman" w:hAnsi="Times New Roman"/>
            <w:sz w:val="24"/>
          </w:rPr>
          <w:t>alineatele (3)</w:t>
        </w:r>
      </w:hyperlink>
      <w:r>
        <w:rPr>
          <w:rFonts w:ascii="Times New Roman" w:hAnsi="Times New Roman"/>
          <w:sz w:val="24"/>
        </w:rPr>
        <w:t xml:space="preserve"> și </w:t>
      </w:r>
      <w:hyperlink r:id="rId57" w:history="1">
        <w:r>
          <w:rPr>
            <w:rFonts w:ascii="Times New Roman" w:hAnsi="Times New Roman"/>
            <w:sz w:val="24"/>
          </w:rPr>
          <w:t>(4)</w:t>
        </w:r>
      </w:hyperlink>
      <w:r>
        <w:rPr>
          <w:rFonts w:ascii="Times New Roman" w:hAnsi="Times New Roman"/>
          <w:sz w:val="24"/>
        </w:rPr>
        <w:t>[...]”</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8 </w:t>
      </w:r>
      <w:r>
        <w:rPr>
          <w:rFonts w:ascii="Times New Roman" w:hAnsi="Times New Roman"/>
          <w:sz w:val="24"/>
        </w:rPr>
        <w:t xml:space="preserve"> La </w:t>
      </w:r>
      <w:hyperlink r:id="rId58" w:history="1">
        <w:r>
          <w:rPr>
            <w:rFonts w:ascii="Times New Roman" w:hAnsi="Times New Roman"/>
            <w:sz w:val="24"/>
          </w:rPr>
          <w:t>articolul 19/B din decret,</w:t>
        </w:r>
      </w:hyperlink>
      <w:hyperlink r:id="rId59" w:history="1">
        <w:r>
          <w:rPr>
            <w:rFonts w:ascii="Times New Roman" w:hAnsi="Times New Roman"/>
            <w:sz w:val="24"/>
          </w:rPr>
          <w:t xml:space="preserve">alineatul (1) litera (b) </w:t>
        </w:r>
      </w:hyperlink>
      <w:r>
        <w:rPr>
          <w:rFonts w:ascii="Times New Roman" w:hAnsi="Times New Roman"/>
          <w:sz w:val="24"/>
        </w:rPr>
        <w:t>se înlocuiește cu următorul text:</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(Țigările electronice și flacoanele de reumplere pot fi introduse pe piață și distribuite în următoarele condiții:)</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 lichidele care conțin nicotină sau lichidele care conțin nicotină sub orice formă, utilizate la țigările electronice sau în flacoanele de reumplere, pot fi introduse pe piață sub formă de:</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flacoane de reumplere cu o capacitate de maximum 10 ml;</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țigări electronice de unică folosință sau cartușe sau recipiente de unică folosință cu o capacitate care nu depășește 2 ml, toate articolele de la aceste subpuncte fiind special concepute în acest scop.”</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9 </w:t>
      </w:r>
      <w:r>
        <w:rPr>
          <w:rFonts w:ascii="Times New Roman" w:hAnsi="Times New Roman"/>
          <w:sz w:val="24"/>
        </w:rPr>
        <w:t xml:space="preserve">(1) La </w:t>
      </w:r>
      <w:hyperlink r:id="rId60" w:history="1">
        <w:r>
          <w:rPr>
            <w:rFonts w:ascii="Times New Roman" w:hAnsi="Times New Roman"/>
            <w:sz w:val="24"/>
          </w:rPr>
          <w:t>articolul</w:t>
        </w:r>
      </w:hyperlink>
      <w:hyperlink r:id="rId61" w:history="1">
        <w:r>
          <w:rPr>
            <w:rFonts w:ascii="Times New Roman" w:hAnsi="Times New Roman"/>
            <w:sz w:val="24"/>
          </w:rPr>
          <w:t>19/C din decret,</w:t>
        </w:r>
      </w:hyperlink>
      <w:hyperlink r:id="rId62" w:history="1">
        <w:r>
          <w:rPr>
            <w:rFonts w:ascii="Times New Roman" w:hAnsi="Times New Roman"/>
            <w:sz w:val="24"/>
          </w:rPr>
          <w:t xml:space="preserve">alineatul (1) </w:t>
        </w:r>
      </w:hyperlink>
      <w:r>
        <w:rPr>
          <w:rFonts w:ascii="Times New Roman" w:hAnsi="Times New Roman"/>
          <w:sz w:val="24"/>
        </w:rPr>
        <w:t>se înlocuiește cu următorul text:</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Dispozitivele electronice care imită flacoane de reumplere pentru fumat și fără nicotină pot fi introduse pe piață și distribuite în următoarele condiții:</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lichidul pe care îl conțin nu trebuie să conțină nicotină (denumit în continuare, în sensul prezentului articol „lichid fără nicotină”);</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lichidul fără nicotină nu trebuie să conțină substanțe aromatizante;</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lichidul fără nicotină nu trebuie să conțină</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niciun aditiv specificat în anexa 4;</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vitamine sau alți aditivi care dau impresia că produsul are un impact fiziologic benefic sau că este mai puțin dăunător pentru sănătate;</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cafeină, taurină sau alți aditivi și compuși stimulanți care sunt asociați cu energia și vitalitatea;</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aditivi care decolorează emisiile;</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aditivi care facilitează inhalarea și</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aditivi cu proprietăți CMR; și</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ingrediente cu impurități în procent mai mare de 0,1 %;</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lichidul fără nicotină poate conține numai ingrediente care nu sunt nocive pentru sănătatea umană – nici în reacție la căldură și nici fără aceasta;</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produsul este prevăzut cu un sigiliu de securitate împotriva accesului copiilor; și</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produsul este protejat împotriva ruperii și a scurgerilor și este echipat cu un mecanism care garantează o reumplere fără scurgeri.”</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La </w:t>
      </w:r>
      <w:hyperlink r:id="rId63" w:history="1">
        <w:r>
          <w:rPr>
            <w:rFonts w:ascii="Times New Roman" w:hAnsi="Times New Roman"/>
            <w:sz w:val="24"/>
          </w:rPr>
          <w:t xml:space="preserve">articolul 19/C din decret, </w:t>
        </w:r>
      </w:hyperlink>
      <w:hyperlink r:id="rId64" w:history="1">
        <w:r>
          <w:rPr>
            <w:rFonts w:ascii="Times New Roman" w:hAnsi="Times New Roman"/>
            <w:sz w:val="24"/>
          </w:rPr>
          <w:t>se adaugă următorul alineat (6)</w:t>
        </w:r>
      </w:hyperlink>
      <w:r>
        <w:rPr>
          <w:rFonts w:ascii="Times New Roman" w:hAnsi="Times New Roman"/>
          <w:sz w:val="24"/>
        </w:rPr>
        <w: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Următorul avertisment de sănătate se afișează pe cele mai mari două suprafețe ale pachetelor unitare și ale pachetelor multiple de flacoane de reumplere fără nicotină, ocupând cel puțin 30 % din fiecare suprafață, în conformitate cu cerințele prevăzute la </w:t>
      </w:r>
      <w:hyperlink r:id="rId65" w:history="1">
        <w:r>
          <w:rPr>
            <w:rFonts w:ascii="Times New Roman" w:hAnsi="Times New Roman"/>
            <w:sz w:val="24"/>
          </w:rPr>
          <w:t>articolul 19/B alineatul (6)</w:t>
        </w:r>
      </w:hyperlink>
      <w:r>
        <w:rPr>
          <w:rFonts w:ascii="Times New Roman" w:hAnsi="Times New Roman"/>
          <w:sz w:val="24"/>
        </w:rPr>
        <w:t>: Acest produs este un flacon de reumplere fără nicotină. Consumul de către copii este interzis.”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10 </w:t>
      </w:r>
      <w:r>
        <w:rPr>
          <w:rFonts w:ascii="Times New Roman" w:hAnsi="Times New Roman"/>
          <w:sz w:val="24"/>
        </w:rPr>
        <w:t xml:space="preserve"> Următorul </w:t>
      </w:r>
      <w:hyperlink r:id="rId66" w:history="1">
        <w:r>
          <w:rPr>
            <w:rFonts w:ascii="Times New Roman" w:hAnsi="Times New Roman"/>
            <w:sz w:val="24"/>
          </w:rPr>
          <w:t>titlu 9/B</w:t>
        </w:r>
      </w:hyperlink>
      <w:r>
        <w:rPr>
          <w:rFonts w:ascii="Times New Roman" w:hAnsi="Times New Roman"/>
          <w:sz w:val="24"/>
        </w:rPr>
        <w:t xml:space="preserve"> se adaugă la decret:</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„Titlul 9/B Norme privind înlocuitorii de tutun care conțin nicotină</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19/F</w:t>
      </w:r>
      <w:r>
        <w:rPr>
          <w:rFonts w:ascii="Times New Roman" w:hAnsi="Times New Roman"/>
          <w:sz w:val="24"/>
        </w:rPr>
        <w:t xml:space="preserve"> (1) Înlocuitorii de tutun care conțin nicotină trebuie să aibă un conținut maxim de nicotină de 17 mg pe unitate de consum.</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Pachetul unitar al unui înlocuitor de tutun care conține nicotină trebuie să conțină maximum 20 de produse.</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Producătorii, importatorii și distribuitorii de înlocuitori de fumat care conțin nicotină transmit o notificare medicului șef național în format electronic, cu șase luni înainte de introducerea planificată pe piață, care conține următoarele date</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numele și datele de contact ale producătorului, importatorului și distribuitorului;</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o listă a tuturor ingredientelor produsului, precum și a substanțelor eliberate, împreună cu cantitățile acestora, în funcție de marcă și tip;</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date toxicologice privind ingredientele produsului;</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 declarație conform căreia procesul de fabricație asigură conformitatea cu cerințele legislației; și</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o declarație conform căreia producătorul, importatorul sau distribuitorul își asumă întreaga responsabilitate pentru calitatea și siguranța produsului atunci când este introdus pe piață și utilizat în condiții normale sau previzibile în mod rezonabil.</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Se transmite o nouă notificare în cazul oricărei modificări a produsului care afectează datele menționate la </w:t>
      </w:r>
      <w:hyperlink r:id="rId67" w:history="1">
        <w:r>
          <w:rPr>
            <w:rFonts w:ascii="Times New Roman" w:hAnsi="Times New Roman"/>
            <w:sz w:val="24"/>
          </w:rPr>
          <w:t>alineatul (3)</w:t>
        </w:r>
      </w:hyperlink>
      <w:r>
        <w:rPr>
          <w:rFonts w:ascii="Times New Roman" w:hAnsi="Times New Roman"/>
          <w:sz w:val="24"/>
        </w:rPr>
        <w:t>.</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Articolul 19/G</w:t>
      </w:r>
      <w:r>
        <w:rPr>
          <w:rFonts w:ascii="Times New Roman" w:hAnsi="Times New Roman"/>
          <w:sz w:val="24"/>
        </w:rPr>
        <w:t> (1) Un înlocuitor de tutun care conține nicotină poate fi introdus pe piață și distribuit, dacă produsul nu conține</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vitamine sau alți aditivi care dau impresia că produsul are un impact fiziologic benefic sau că este mai puțin dăunător pentru sănătate;</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cafeină, taurină sau alți aditivi și compuși stimulanți asociați cu nivelurile de energie și vitalitate;</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aditivi cu proprietăți CMR;</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(d) ingrediente cu impurități în procent mai mare de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Pachetele unitare ale produsului sunt însoțite de un prospect care conține:</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instrucțiuni de utilizare și depozitare a produsului și avertizarea că utilizarea produsului este interzisă persoanelor minore;</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informații privind contraindicațiile;</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avertizările relevante pentru anumite grupuri de risc;</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informații privind posibilele efecte adverse;</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informații privind proprietățile de dependență și toxicitatea; și</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datele de contact ale producătorului, distribuitorului sau importatorului, precum și cele ale persoanei de contact.</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Pachetele unitare și ambalajele multiple ale produsului trebuie să poarte, în plus față de cele prevăzute în alte acte legislative, următoarele indicații:</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toate ingredientele produsului enumerate în ordine descrescătoare în funcție de greutate;</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conținutul de nicotină pe unitate de consum a produsului;</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numărul lotului; și</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următorul avertisment într-un mod clar vizibil, lizibil și indelebil: „Produsul nu trebuie păstrat la îndemâna copiilor.”</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Avertismentele menționate la </w:t>
      </w:r>
      <w:hyperlink r:id="rId68" w:history="1">
        <w:r>
          <w:rPr>
            <w:rFonts w:ascii="Times New Roman" w:hAnsi="Times New Roman"/>
            <w:sz w:val="24"/>
          </w:rPr>
          <w:t>alineatul (3)</w:t>
        </w:r>
      </w:hyperlink>
      <w:r>
        <w:rPr>
          <w:rFonts w:ascii="Times New Roman" w:hAnsi="Times New Roman"/>
          <w:sz w:val="24"/>
        </w:rPr>
        <w:t xml:space="preserve"> se imprimă cu caractere Helvetica aldine cu negru pe fond alb. Inscripția trebuie să fie scrisă cu litere mici, cu excepția inițialelor textului, și în cazul în care utilizarea literei majuscule este impusă de o regulă gramaticală.</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Etichetarea pachetelor unitare și a ambalajelor multiple ale produsului și produsul în sine nu trebuie să conțină niciun element sau soluție care: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face reclamă produsului în ceea ce privește caracteristicile, efectele asupra sănătății sau pericolele și substanțele eliberate într-un mod care ar crea o impresie eronată sau încurajează consumul produsului în acest mod;</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sugerează că produsul este mai puțin nociv decât alte produse;</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sugerează că un produs are caracteristici vitalizante, energizante, vindecătoare, de reîntinerire, naturale, organice sau alte beneficii pentru sănătate sau stil de viață;</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se referă la o aromă, un miros, o savoare, o aromatizare sau un alt aditiv sau la absența acestora, astfel încât să inducă în eroare consumatorul;</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amintește de un produs alimentar sau cosmetic;</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(f) sugerează că unele produse sunt mai biodegradabile sau au alte beneficii pentru mediu.</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Pachetele unitare și pachetele multiple nu trebuie să sugereze un avantaj economic prin utilizarea cupoanelor care oferă reduceri sau distribuiri gratuite sau „cumpără unul, obține două” promoții sau alte oferte similare.</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Următorul avertisment de sănătate se aplică pe cele mai mari două suprafețe ale pachetelor unitare și ale ambalajelor multiple ale produsului, care ocupă cel puțin 30 % din fiecare suprafață: „Acest produs conține nicotină care este dăunătoare pentru sănătatea dumneavoastră și duce la dependență.” Avertismentele de sănătate se imprimă pe pachetele unitare și pe ambalajele multiple astfel încât să nu poată fi șterse, inclusiv să nu fie ascunse parțial sau complet sau obstrucționate de niciun sigiliu, etichetă de preț, element de securitate, material de ambalaj, pungă, cutie sau alt dispozitiv atunci când produsul este introdus pe piață.</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Avertismentul de sănătate menționat la </w:t>
      </w:r>
      <w:hyperlink r:id="rId69" w:history="1">
        <w:r>
          <w:rPr>
            <w:rFonts w:ascii="Times New Roman" w:hAnsi="Times New Roman"/>
            <w:sz w:val="24"/>
          </w:rPr>
          <w:t>alineatul (7)</w:t>
        </w:r>
      </w:hyperlink>
      <w:r>
        <w:rPr>
          <w:rFonts w:ascii="Times New Roman" w:hAnsi="Times New Roman"/>
          <w:sz w:val="24"/>
        </w:rPr>
        <w:t xml:space="preserve"> se tipărește cu caractere Helvetica aldine cu negru pe fond alb. Inscripția trebuie să fie scrisă cu litere mici, cu excepția inițialelor textului, și în cazul în care utilizarea literei majuscule este impusă de o regulă gramaticală. Avertismentul de sănătate este plasat central pe marginea superioară a pachetului, în zona rezervată tipăririi.</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Pachetul unitar al produsului trebuie să fie echipat cu un sigiliu de securitate împotriva accesului copiilor.</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În urma examinării notificărilor privind înlocuitorii de tutun care conțin nicotină, medicul șef național emite un certificat în termen de 60 de zile de la depunerea acestor notificări, dacă produsul nu trebuie interzis. În cazul în care medicul șef național nu se pronunță în termen de 60 de zile, produsul notificat poate fi introdus pe piață și poate fi distribuit”.</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11 </w:t>
      </w:r>
      <w:r>
        <w:rPr>
          <w:rFonts w:ascii="Times New Roman" w:hAnsi="Times New Roman"/>
          <w:sz w:val="24"/>
        </w:rPr>
        <w:t xml:space="preserve"> Următorul</w:t>
      </w:r>
      <w:hyperlink r:id="rId70" w:history="1">
        <w:r>
          <w:rPr>
            <w:rFonts w:ascii="Times New Roman" w:hAnsi="Times New Roman"/>
            <w:sz w:val="24"/>
          </w:rPr>
          <w:t xml:space="preserve"> articol </w:t>
        </w:r>
        <w:hyperlink r:id="rId71" w:history="1"/>
        <w:r>
          <w:rPr>
            <w:rFonts w:ascii="Times New Roman" w:hAnsi="Times New Roman"/>
            <w:sz w:val="24"/>
          </w:rPr>
          <w:t xml:space="preserve"> 21/E</w:t>
        </w:r>
      </w:hyperlink>
      <w:r>
        <w:rPr>
          <w:rFonts w:ascii="Times New Roman" w:hAnsi="Times New Roman"/>
          <w:sz w:val="24"/>
        </w:rPr>
        <w:t>se introduce în decret: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21/E </w:t>
      </w:r>
      <w:r>
        <w:rPr>
          <w:rFonts w:ascii="Times New Roman" w:hAnsi="Times New Roman"/>
          <w:sz w:val="24"/>
        </w:rPr>
        <w:t xml:space="preserve">(1) Produsele pe bază de plante destinate fumatului care se aflau deja pe piață atunci când </w:t>
      </w:r>
      <w:hyperlink r:id="rId72" w:history="1">
        <w:r>
          <w:rPr>
            <w:rFonts w:ascii="Times New Roman" w:hAnsi="Times New Roman"/>
            <w:sz w:val="24"/>
          </w:rPr>
          <w:t>Decretul guvernamental nr. 120/2024 din 10 iunie 2024 (denumit în continuare</w:t>
        </w:r>
      </w:hyperlink>
      <w:hyperlink r:id="rId73" w:history="1">
        <w:r>
          <w:rPr>
            <w:rFonts w:ascii="Times New Roman" w:hAnsi="Times New Roman"/>
            <w:sz w:val="24"/>
          </w:rPr>
          <w:t xml:space="preserve"> „Decretul de modificare 5) </w:t>
        </w:r>
      </w:hyperlink>
      <w:r>
        <w:rPr>
          <w:rFonts w:ascii="Times New Roman" w:hAnsi="Times New Roman"/>
          <w:sz w:val="24"/>
        </w:rPr>
        <w:t xml:space="preserve">a intrat în vigoare modificând </w:t>
      </w:r>
      <w:hyperlink r:id="rId74" w:history="1">
        <w:r>
          <w:rPr>
            <w:rFonts w:ascii="Times New Roman" w:hAnsi="Times New Roman"/>
            <w:sz w:val="24"/>
          </w:rPr>
          <w:t>Decretul guvernamental nr. 39/2013 din 14 februarie 2013</w:t>
        </w:r>
      </w:hyperlink>
      <w:r>
        <w:rPr>
          <w:rFonts w:ascii="Times New Roman" w:hAnsi="Times New Roman"/>
          <w:sz w:val="24"/>
        </w:rPr>
        <w:t xml:space="preserve"> privind producerea, introducerea pe piață și controlul produselor din tutun, avertismentele combinate și dispozițiile detaliate privind aplicarea sancțiunilor sanitare sau a produselor din plante destinate fumatului care au fost notificate anterior ministrului responsabil cu politica agricolă</w:t>
      </w:r>
      <w:r>
        <w:t xml:space="preserve">, </w:t>
      </w:r>
      <w:r>
        <w:rPr>
          <w:rFonts w:ascii="Times New Roman" w:hAnsi="Times New Roman"/>
          <w:sz w:val="24"/>
        </w:rPr>
        <w:t xml:space="preserve">sunt notificate directorului medical național în modul și conținutul datelor prevăzute la </w:t>
      </w:r>
      <w:hyperlink r:id="rId75" w:history="1">
        <w:r>
          <w:rPr>
            <w:rFonts w:ascii="Times New Roman" w:hAnsi="Times New Roman"/>
            <w:sz w:val="24"/>
          </w:rPr>
          <w:t xml:space="preserve">articolul 18/C </w:t>
        </w:r>
      </w:hyperlink>
      <w:hyperlink r:id="rId76" w:history="1">
        <w:r>
          <w:rPr>
            <w:rFonts w:ascii="Times New Roman" w:hAnsi="Times New Roman"/>
            <w:sz w:val="24"/>
          </w:rPr>
          <w:t>din prezentul decret</w:t>
        </w:r>
      </w:hyperlink>
      <w:r>
        <w:rPr>
          <w:rFonts w:ascii="Times New Roman" w:hAnsi="Times New Roman"/>
          <w:sz w:val="24"/>
        </w:rPr>
        <w:t xml:space="preserve">conform celor stabilite în </w:t>
      </w:r>
      <w:hyperlink r:id="rId77" w:history="1">
        <w:r>
          <w:rPr>
            <w:rFonts w:ascii="Times New Roman" w:hAnsi="Times New Roman"/>
            <w:sz w:val="24"/>
          </w:rPr>
          <w:t>Decretul de modificare 5</w:t>
        </w:r>
      </w:hyperlink>
      <w:r>
        <w:t xml:space="preserve">, </w:t>
      </w:r>
      <w:r>
        <w:rPr>
          <w:rFonts w:ascii="Times New Roman" w:hAnsi="Times New Roman"/>
          <w:sz w:val="24"/>
        </w:rPr>
        <w:t xml:space="preserve">până la 31 decembrie 2024. Atunci când îndeplinește obligația de notificare în temeiul prezentului alineat, termenul de șase luni specificat la </w:t>
      </w:r>
      <w:hyperlink r:id="rId78" w:history="1">
        <w:r>
          <w:rPr>
            <w:rFonts w:ascii="Times New Roman" w:hAnsi="Times New Roman"/>
            <w:sz w:val="24"/>
          </w:rPr>
          <w:t>articolul 18/C (3)</w:t>
        </w:r>
      </w:hyperlink>
      <w:r>
        <w:rPr>
          <w:rFonts w:ascii="Times New Roman" w:hAnsi="Times New Roman"/>
          <w:sz w:val="24"/>
        </w:rPr>
        <w:t xml:space="preserve"> nu se aplică.</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Odată cu </w:t>
      </w:r>
      <w:hyperlink r:id="rId79" w:history="1">
        <w:r>
          <w:rPr>
            <w:rFonts w:ascii="Times New Roman" w:hAnsi="Times New Roman"/>
            <w:sz w:val="24"/>
          </w:rPr>
          <w:t>excepția prevăzută la alineatul (3)</w:t>
        </w:r>
      </w:hyperlink>
      <w:r>
        <w:t>,</w:t>
      </w:r>
      <w:r>
        <w:rPr>
          <w:rFonts w:ascii="Times New Roman" w:hAnsi="Times New Roman"/>
          <w:sz w:val="24"/>
        </w:rPr>
        <w:t xml:space="preserve"> produsele care nu respectă dispozițiile </w:t>
      </w:r>
      <w:hyperlink r:id="rId80" w:history="1">
        <w:r>
          <w:rPr>
            <w:rFonts w:ascii="Times New Roman" w:hAnsi="Times New Roman"/>
            <w:sz w:val="24"/>
          </w:rPr>
          <w:t>Decretului de modificare 5</w:t>
        </w:r>
      </w:hyperlink>
      <w:r>
        <w:rPr>
          <w:rFonts w:ascii="Times New Roman" w:hAnsi="Times New Roman"/>
          <w:sz w:val="24"/>
        </w:rPr>
        <w:t xml:space="preserve"> dar respectă dispozițiile </w:t>
      </w:r>
      <w:hyperlink r:id="rId81" w:history="1">
        <w:r>
          <w:rPr>
            <w:rFonts w:ascii="Times New Roman" w:hAnsi="Times New Roman"/>
            <w:sz w:val="24"/>
          </w:rPr>
          <w:t>prezentului decret</w:t>
        </w:r>
      </w:hyperlink>
      <w:r>
        <w:rPr>
          <w:rFonts w:ascii="Times New Roman" w:hAnsi="Times New Roman"/>
          <w:sz w:val="24"/>
        </w:rPr>
        <w:t xml:space="preserve"> în vigoare înainte de intrarea în vigoare a </w:t>
      </w:r>
      <w:hyperlink r:id="rId82" w:history="1">
        <w:r>
          <w:rPr>
            <w:rFonts w:ascii="Times New Roman" w:hAnsi="Times New Roman"/>
            <w:sz w:val="24"/>
          </w:rPr>
          <w:t>Decretului de modificare 5</w:t>
        </w:r>
      </w:hyperlink>
      <w:r>
        <w:rPr>
          <w:rFonts w:ascii="Times New Roman" w:hAnsi="Times New Roman"/>
          <w:sz w:val="24"/>
        </w:rPr>
        <w:t xml:space="preserve">precum și cu cerințele altor acte legislative aplicabile și reglementate, pot fi predate comercianților cu amănuntul de produse din tutun în vederea introducerii pe piață, pentru o perioadă de maximum un an de la data intrării în vigoare a </w:t>
      </w:r>
      <w:hyperlink r:id="rId83" w:history="1">
        <w:r>
          <w:rPr>
            <w:rFonts w:ascii="Times New Roman" w:hAnsi="Times New Roman"/>
            <w:sz w:val="24"/>
          </w:rPr>
          <w:t>prezentul decret</w:t>
        </w:r>
      </w:hyperlink>
      <w:r>
        <w:t>.</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(3) Prin derogare de la </w:t>
      </w:r>
      <w:hyperlink r:id="rId84" w:history="1">
        <w:r>
          <w:rPr>
            <w:rFonts w:ascii="Times New Roman" w:hAnsi="Times New Roman"/>
            <w:sz w:val="24"/>
          </w:rPr>
          <w:t>alineatul (2)</w:t>
        </w:r>
      </w:hyperlink>
      <w:r>
        <w:t xml:space="preserve">, </w:t>
      </w:r>
      <w:r>
        <w:rPr>
          <w:rFonts w:ascii="Times New Roman" w:hAnsi="Times New Roman"/>
          <w:sz w:val="24"/>
        </w:rPr>
        <w:t xml:space="preserve">înlocuitorii de tutun care conțin nicotină și care nu respectă dispozițiile </w:t>
      </w:r>
      <w:hyperlink r:id="rId85" w:history="1">
        <w:r>
          <w:rPr>
            <w:rFonts w:ascii="Times New Roman" w:hAnsi="Times New Roman"/>
            <w:sz w:val="24"/>
          </w:rPr>
          <w:t>articolului 19/F</w:t>
        </w:r>
      </w:hyperlink>
      <w:hyperlink r:id="rId86" w:history="1">
        <w:r>
          <w:rPr>
            <w:rFonts w:ascii="Times New Roman" w:hAnsi="Times New Roman"/>
            <w:sz w:val="24"/>
          </w:rPr>
          <w:t>alienatele (1)</w:t>
        </w:r>
      </w:hyperlink>
      <w:r>
        <w:rPr>
          <w:rFonts w:ascii="Times New Roman" w:hAnsi="Times New Roman"/>
          <w:sz w:val="24"/>
        </w:rPr>
        <w:t xml:space="preserve"> și </w:t>
      </w:r>
      <w:hyperlink r:id="rId87" w:history="1">
        <w:r>
          <w:rPr>
            <w:rFonts w:ascii="Times New Roman" w:hAnsi="Times New Roman"/>
            <w:sz w:val="24"/>
          </w:rPr>
          <w:t>(2)</w:t>
        </w:r>
      </w:hyperlink>
      <w:r>
        <w:rPr>
          <w:rFonts w:ascii="Times New Roman" w:hAnsi="Times New Roman"/>
          <w:sz w:val="24"/>
        </w:rPr>
        <w:t xml:space="preserve"> din </w:t>
      </w:r>
      <w:hyperlink r:id="rId88" w:history="1">
        <w:r>
          <w:rPr>
            <w:rFonts w:ascii="Times New Roman" w:hAnsi="Times New Roman"/>
            <w:sz w:val="24"/>
          </w:rPr>
          <w:t>prezentul decret</w:t>
        </w:r>
      </w:hyperlink>
      <w:r>
        <w:rPr>
          <w:rFonts w:ascii="Times New Roman" w:hAnsi="Times New Roman"/>
          <w:sz w:val="24"/>
        </w:rPr>
        <w:t xml:space="preserve">conform celor stabilite în </w:t>
      </w:r>
      <w:hyperlink r:id="rId89" w:history="1">
        <w:r>
          <w:rPr>
            <w:rFonts w:ascii="Times New Roman" w:hAnsi="Times New Roman"/>
            <w:sz w:val="24"/>
          </w:rPr>
          <w:t>Decretul de modificare 5,</w:t>
        </w:r>
      </w:hyperlink>
      <w:r>
        <w:rPr>
          <w:rFonts w:ascii="Times New Roman" w:hAnsi="Times New Roman"/>
          <w:sz w:val="24"/>
        </w:rPr>
        <w:t xml:space="preserve"> nici cu dispozițiile prevăzute la </w:t>
      </w:r>
      <w:hyperlink r:id="rId90" w:history="1">
        <w:r>
          <w:rPr>
            <w:rFonts w:ascii="Times New Roman" w:hAnsi="Times New Roman"/>
            <w:sz w:val="24"/>
          </w:rPr>
          <w:t>articolul 19/G alineatul (10),</w:t>
        </w:r>
      </w:hyperlink>
      <w:r>
        <w:rPr>
          <w:rFonts w:ascii="Times New Roman" w:hAnsi="Times New Roman"/>
          <w:sz w:val="24"/>
        </w:rPr>
        <w:t xml:space="preserve"> dar respectă dispozițiile </w:t>
      </w:r>
      <w:hyperlink r:id="rId91" w:history="1">
        <w:r>
          <w:rPr>
            <w:rFonts w:ascii="Times New Roman" w:hAnsi="Times New Roman"/>
            <w:sz w:val="24"/>
          </w:rPr>
          <w:t>prezentul decret</w:t>
        </w:r>
      </w:hyperlink>
      <w:r>
        <w:rPr>
          <w:rFonts w:ascii="Times New Roman" w:hAnsi="Times New Roman"/>
          <w:sz w:val="24"/>
        </w:rPr>
        <w:t xml:space="preserve"> în vigoare înainte de intrarea în vigoare a </w:t>
      </w:r>
      <w:hyperlink r:id="rId92" w:history="1">
        <w:r>
          <w:rPr>
            <w:rFonts w:ascii="Times New Roman" w:hAnsi="Times New Roman"/>
            <w:sz w:val="24"/>
          </w:rPr>
          <w:t>Decretului de modificare 5</w:t>
        </w:r>
      </w:hyperlink>
      <w:r>
        <w:t xml:space="preserve">, </w:t>
      </w:r>
      <w:r>
        <w:rPr>
          <w:rFonts w:ascii="Times New Roman" w:hAnsi="Times New Roman"/>
          <w:sz w:val="24"/>
        </w:rPr>
        <w:t xml:space="preserve">precum și cu cerințele altor acte legislative aplicabile și reglementate, pot fi predate comercianților cu amănuntul de produse din tutun în vederea introducerii pe piață, pentru o perioadă care să nu depășească trei luni de la data intrării în vigoare a </w:t>
      </w:r>
      <w:hyperlink r:id="rId93" w:history="1">
        <w:r>
          <w:rPr>
            <w:rFonts w:ascii="Times New Roman" w:hAnsi="Times New Roman"/>
            <w:sz w:val="24"/>
          </w:rPr>
          <w:t>prezentului decret</w:t>
        </w:r>
      </w:hyperlink>
      <w:r>
        <w:t>.</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Produsele care nu sunt conforme cu dispozițiile </w:t>
      </w:r>
      <w:hyperlink r:id="rId94" w:history="1">
        <w:r>
          <w:rPr>
            <w:rFonts w:ascii="Times New Roman" w:hAnsi="Times New Roman"/>
            <w:sz w:val="24"/>
          </w:rPr>
          <w:t>prezentului decret</w:t>
        </w:r>
      </w:hyperlink>
      <w:r>
        <w:t xml:space="preserve">, </w:t>
      </w:r>
      <w:r>
        <w:rPr>
          <w:rFonts w:ascii="Times New Roman" w:hAnsi="Times New Roman"/>
          <w:sz w:val="24"/>
        </w:rPr>
        <w:t xml:space="preserve">conform celor stabilite în </w:t>
      </w:r>
      <w:hyperlink r:id="rId95" w:history="1">
        <w:r>
          <w:rPr>
            <w:rFonts w:ascii="Times New Roman" w:hAnsi="Times New Roman"/>
            <w:sz w:val="24"/>
          </w:rPr>
          <w:t>Decretul de modificare 5</w:t>
        </w:r>
      </w:hyperlink>
      <w:r>
        <w:t xml:space="preserve">, </w:t>
      </w:r>
      <w:r>
        <w:rPr>
          <w:rFonts w:ascii="Times New Roman" w:hAnsi="Times New Roman"/>
          <w:sz w:val="24"/>
        </w:rPr>
        <w:t xml:space="preserve">dar respectă dispozițiile </w:t>
      </w:r>
      <w:hyperlink r:id="rId96" w:history="1">
        <w:r>
          <w:rPr>
            <w:rFonts w:ascii="Times New Roman" w:hAnsi="Times New Roman"/>
            <w:sz w:val="24"/>
          </w:rPr>
          <w:t>prezentului decret</w:t>
        </w:r>
      </w:hyperlink>
      <w:r>
        <w:rPr>
          <w:rFonts w:ascii="Times New Roman" w:hAnsi="Times New Roman"/>
          <w:sz w:val="24"/>
        </w:rPr>
        <w:t xml:space="preserve"> în vigoare înainte de intrarea în vigoare a </w:t>
      </w:r>
      <w:hyperlink r:id="rId97" w:history="1">
        <w:r>
          <w:rPr>
            <w:rFonts w:ascii="Times New Roman" w:hAnsi="Times New Roman"/>
            <w:sz w:val="24"/>
          </w:rPr>
          <w:t>Decretului de modificare 5</w:t>
        </w:r>
      </w:hyperlink>
      <w:r>
        <w:t xml:space="preserve">, </w:t>
      </w:r>
      <w:r>
        <w:rPr>
          <w:rFonts w:ascii="Times New Roman" w:hAnsi="Times New Roman"/>
          <w:sz w:val="24"/>
        </w:rPr>
        <w:t xml:space="preserve">precum și cu cerințele altor acte legislative aplicabile și care sunt deținute în stoc de către comercianții cu amănuntul de produse din tutun până la termenul stabilit la </w:t>
      </w:r>
      <w:hyperlink r:id="rId98" w:history="1">
        <w:r>
          <w:rPr>
            <w:rFonts w:ascii="Times New Roman" w:hAnsi="Times New Roman"/>
            <w:sz w:val="24"/>
          </w:rPr>
          <w:t>alineatele (2)</w:t>
        </w:r>
      </w:hyperlink>
      <w:r>
        <w:rPr>
          <w:rFonts w:ascii="Times New Roman" w:hAnsi="Times New Roman"/>
          <w:sz w:val="24"/>
        </w:rPr>
        <w:t xml:space="preserve"> și </w:t>
      </w:r>
      <w:hyperlink r:id="rId99" w:history="1">
        <w:r>
          <w:rPr>
            <w:rFonts w:ascii="Times New Roman" w:hAnsi="Times New Roman"/>
            <w:sz w:val="24"/>
          </w:rPr>
          <w:t>(3)</w:t>
        </w:r>
      </w:hyperlink>
      <w:r>
        <w:t xml:space="preserve">, </w:t>
      </w:r>
      <w:r>
        <w:rPr>
          <w:rFonts w:ascii="Times New Roman" w:hAnsi="Times New Roman"/>
          <w:sz w:val="24"/>
        </w:rPr>
        <w:t>pot fi introduse pe piață de către comercianții cu amănuntul de produse din tutun pentru o perioadă nelimitată de timp.”</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12 </w:t>
      </w:r>
      <w:r>
        <w:rPr>
          <w:rFonts w:ascii="Times New Roman" w:hAnsi="Times New Roman"/>
          <w:sz w:val="24"/>
        </w:rPr>
        <w:t xml:space="preserve"> </w:t>
      </w:r>
      <w:hyperlink r:id="rId100" w:history="1">
        <w:r>
          <w:rPr>
            <w:rFonts w:ascii="Times New Roman" w:hAnsi="Times New Roman"/>
            <w:sz w:val="24"/>
          </w:rPr>
          <w:t>Anexa 4 la decret</w:t>
        </w:r>
      </w:hyperlink>
      <w:r>
        <w:rPr>
          <w:rFonts w:ascii="Times New Roman" w:hAnsi="Times New Roman"/>
          <w:sz w:val="24"/>
        </w:rPr>
        <w:t>se înlocuiește cu anexa 1.</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13 </w:t>
      </w:r>
      <w:r>
        <w:rPr>
          <w:rFonts w:ascii="Times New Roman" w:hAnsi="Times New Roman"/>
          <w:sz w:val="24"/>
        </w:rPr>
        <w:t xml:space="preserve"> În </w:t>
      </w:r>
      <w:hyperlink r:id="rId101" w:history="1">
        <w:r>
          <w:rPr>
            <w:rFonts w:ascii="Times New Roman" w:hAnsi="Times New Roman"/>
            <w:sz w:val="24"/>
          </w:rPr>
          <w:t>decret,</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102" w:history="1">
        <w:r>
          <w:rPr>
            <w:rFonts w:ascii="Times New Roman" w:hAnsi="Times New Roman"/>
            <w:sz w:val="24"/>
          </w:rPr>
          <w:t>la articolul 1</w:t>
        </w:r>
        <w:hyperlink r:id="rId103" w:history="1">
          <w:r>
            <w:rPr>
              <w:rFonts w:ascii="Times New Roman" w:hAnsi="Times New Roman"/>
              <w:sz w:val="24"/>
            </w:rPr>
            <w:t>alineatul (1),</w:t>
          </w:r>
        </w:hyperlink>
      </w:hyperlink>
      <w:r>
        <w:rPr>
          <w:rFonts w:ascii="Times New Roman" w:hAnsi="Times New Roman"/>
          <w:sz w:val="24"/>
        </w:rPr>
        <w:t>cuvintele „lichide de reumplere și dispozitive electronice care imită fumatul” se înlocuiesc cu cuvintele „flacoane de reumplere, dispozitive electronice care imită fumatul, flacoane de reumplere fără nicotină și produse din plante destinate fumatului, precum și înlocuitori de tutun care conțin nicotină”,</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4" w:history="1">
        <w:r>
          <w:rPr>
            <w:rFonts w:ascii="Times New Roman" w:hAnsi="Times New Roman"/>
            <w:sz w:val="24"/>
          </w:rPr>
          <w:t>la articolul 4/A</w:t>
        </w:r>
      </w:hyperlink>
      <w:hyperlink r:id="rId105" w:history="1">
        <w:r>
          <w:rPr>
            <w:rFonts w:ascii="Times New Roman" w:hAnsi="Times New Roman"/>
            <w:sz w:val="24"/>
          </w:rPr>
          <w:t>alineatul (1),</w:t>
        </w:r>
      </w:hyperlink>
      <w:r>
        <w:rPr>
          <w:rFonts w:ascii="Times New Roman" w:hAnsi="Times New Roman"/>
          <w:sz w:val="24"/>
        </w:rPr>
        <w:t>teza „proprietățile sale cancerigene, mutagene sau toxice pentru reproducere (denumite în continuare „proprietăți CMR)” se înlocuiește cu „proprietăți CMR”;</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6" w:history="1">
        <w:r>
          <w:rPr>
            <w:rFonts w:ascii="Times New Roman" w:hAnsi="Times New Roman"/>
            <w:sz w:val="24"/>
          </w:rPr>
          <w:t>la articolul 19/B</w:t>
        </w:r>
      </w:hyperlink>
      <w:hyperlink r:id="rId107" w:history="1">
        <w:r>
          <w:rPr>
            <w:rFonts w:ascii="Times New Roman" w:hAnsi="Times New Roman"/>
            <w:sz w:val="24"/>
          </w:rPr>
          <w:t>alineatul (1) litera (i),</w:t>
        </w:r>
      </w:hyperlink>
      <w:r>
        <w:rPr>
          <w:rFonts w:ascii="Times New Roman" w:hAnsi="Times New Roman"/>
          <w:sz w:val="24"/>
        </w:rPr>
        <w:t>cuvintele „sigiliu de protecție a copiilor” se înlocuiesc cu „sigiliu de securitate împotriva accesului copiilor”;</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(d) </w:t>
      </w:r>
      <w:hyperlink r:id="rId108" w:history="1">
        <w:r>
          <w:rPr>
            <w:rFonts w:ascii="Times New Roman" w:hAnsi="Times New Roman"/>
            <w:sz w:val="24"/>
          </w:rPr>
          <w:t>la articolul 19/D</w:t>
        </w:r>
      </w:hyperlink>
      <w:hyperlink r:id="rId109" w:history="1">
        <w:r>
          <w:rPr>
            <w:rFonts w:ascii="Times New Roman" w:hAnsi="Times New Roman"/>
            <w:sz w:val="24"/>
          </w:rPr>
          <w:t>alineatul (1),</w:t>
        </w:r>
      </w:hyperlink>
      <w:r>
        <w:rPr>
          <w:rFonts w:ascii="Times New Roman" w:hAnsi="Times New Roman"/>
          <w:sz w:val="24"/>
        </w:rPr>
        <w:t>cuvintele „producători de flacoane” se înlocuiesc cu cuvintele „producători de flacoane, cartușe fără nicotină și flacoane de reumplere fără nicotină”.</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14 </w:t>
      </w:r>
      <w:r>
        <w:rPr>
          <w:rFonts w:ascii="Times New Roman" w:hAnsi="Times New Roman"/>
          <w:sz w:val="24"/>
        </w:rPr>
        <w:t xml:space="preserve"> Prezentul decret intră în vigoare la 15 zile de la data publicării sale.</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Articolul 15 </w:t>
      </w:r>
      <w:r>
        <w:rPr>
          <w:rFonts w:ascii="Times New Roman" w:hAnsi="Times New Roman"/>
          <w:sz w:val="24"/>
        </w:rPr>
        <w:t xml:space="preserve"> Proiectul prezentului decret a fost notificat în prealabil în conformitate cu articolele 5-7 din Directiva (UE) 2015/1535 a Parlamentului European și a Consiliului din 9 septembrie 2015 referitoare la procedura de furnizare de informații în domeniul reglementărilor tehnice și al normelor privind serviciile societății informaționale.</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Prim-ministru</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Anexa 1 la Decretul guvernamental nr. 120/2024 din 10 iunie 2024 </w:t>
      </w:r>
    </w:p>
    <w:p w14:paraId="512ADCDC" w14:textId="77777777" w:rsidR="0019414B" w:rsidRDefault="0019414B" w:rsidP="0019414B">
      <w:pPr>
        <w:spacing w:after="0" w:line="240" w:lineRule="auto"/>
        <w:rPr>
          <w:rFonts w:ascii="Times New Roman" w:eastAsia="Times New Roman" w:hAnsi="Times New Roman" w:cs="Times New Roman"/>
          <w:noProof w:val="0"/>
          <w:sz w:val="24"/>
          <w:szCs w:val="24"/>
        </w:rPr>
      </w:pPr>
      <w:r>
        <w:t>„</w:t>
      </w:r>
      <w:r>
        <w:rPr>
          <w:rFonts w:ascii="Times New Roman" w:hAnsi="Times New Roman"/>
          <w:sz w:val="24"/>
        </w:rPr>
        <w:t xml:space="preserve">Anexa 4 la </w:t>
      </w:r>
      <w:hyperlink r:id="rId110" w:history="1">
        <w:r>
          <w:rPr>
            <w:rFonts w:ascii="Times New Roman" w:hAnsi="Times New Roman"/>
            <w:sz w:val="24"/>
          </w:rPr>
          <w:t>Decretul guvernamental</w:t>
        </w:r>
      </w:hyperlink>
      <w:hyperlink r:id="rId111" w:history="1">
        <w:r>
          <w:rPr>
            <w:rFonts w:ascii="Times New Roman" w:hAnsi="Times New Roman"/>
            <w:sz w:val="24"/>
          </w:rPr>
          <w:t>nr. 39/2013</w:t>
        </w:r>
      </w:hyperlink>
      <w:hyperlink r:id="rId112" w:history="1">
        <w:r>
          <w:rPr>
            <w:rFonts w:ascii="Times New Roman" w:hAnsi="Times New Roman"/>
            <w:sz w:val="24"/>
          </w:rPr>
          <w:t>din 14 februarie 2013</w:t>
        </w:r>
      </w:hyperlink>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Aditivi interzişi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9"/>
        <w:gridCol w:w="4677"/>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numărul de serie</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Compusul</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2-metil-3-(para-izopropil-fenil)propionaldehidă</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Agar-agar</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Oxid de aluminiu</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Acetat de amoniu</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Citrat de amoniu</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Formiat de amoniu</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Bicarbonat de amoniu</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 de amoniu hidrogenat</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Hidroxid de amoniu</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Carbamat de amoniu</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Clorură de amoniu</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Lactat de amoniu</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 de amoniu</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 de amoniu</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Sulfamat de amoniu</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Tartrat de amoniu</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Albastru de antrachinonă</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Albastru de bază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 succinic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Dehidro-menthofurolactonă</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Adipat de di-(2-etilhexil)</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Fosfat de diamoniu hidrogenat</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Carbonat de diamoniu</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Malat de diamoniu</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Succinat de diamoniu</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Ftalat de dibutil</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Colofoniu modificat fenol-formaldehidă</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Galactoză</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Acid formic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Carbamidă (Urea)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Roșu carmin</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Krizein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Boabe de Tonka fără cumarină</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Lactoză</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Maltoză</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Manoză</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Violet de metil</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Miere</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Fosfat monoamoniu</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Silicat de sodiu</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Solvent roşu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Pectine</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Polietilenglicol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Fosfat de 5-riboflavină</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Octaacetat de zaharoză</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Zaharină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Albastru de Sudan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Ceai</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Teobromină</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Canabidiol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4B077F"/>
    <w:rsid w:val="00567B9A"/>
    <w:rsid w:val="007151FB"/>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12" Type="http://schemas.openxmlformats.org/officeDocument/2006/relationships/hyperlink" Target="https://njt.hu/jogszabaly/2013-39-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13-39-20-22" TargetMode="External"/><Relationship Id="rId79" Type="http://schemas.openxmlformats.org/officeDocument/2006/relationships/hyperlink" Target="https://njt.hu/jogszabaly/2013-39-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24-120-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13-39-20-22" TargetMode="External"/><Relationship Id="rId113" Type="http://schemas.openxmlformats.org/officeDocument/2006/relationships/fontTable" Target="fontTable.xml"/><Relationship Id="rId80" Type="http://schemas.openxmlformats.org/officeDocument/2006/relationships/hyperlink" Target="https://njt.hu/jogszabaly/2024-120-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13-39-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14" Type="http://schemas.openxmlformats.org/officeDocument/2006/relationships/theme" Target="theme/theme1.xm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24-120-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13-39-20-22" TargetMode="External"/><Relationship Id="rId94" Type="http://schemas.openxmlformats.org/officeDocument/2006/relationships/hyperlink" Target="https://njt.hu/jogszabaly/2013-39-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24-120-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hyperlink" Target="https://njt.hu/jogszabaly/2013-39-20-22" TargetMode="External"/><Relationship Id="rId61" Type="http://schemas.openxmlformats.org/officeDocument/2006/relationships/hyperlink" Target="https://njt.hu/jogszabaly/2013-39-20-22" TargetMode="External"/><Relationship Id="rId82" Type="http://schemas.openxmlformats.org/officeDocument/2006/relationships/hyperlink" Target="https://njt.hu/jogszabaly/2024-120-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24-120-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hyperlink" Target="https://njt.hu/jogszabaly/2013-39-20-2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4572</Words>
  <Characters>26246</Characters>
  <Application>Microsoft Office Word</Application>
  <DocSecurity>0</DocSecurity>
  <Lines>535</Lines>
  <Paragraphs>358</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2024-07-19T13:23:00Z</dcterms:created>
  <dcterms:modified xsi:type="dcterms:W3CDTF">2024-07-19T13:23:00Z</dcterms:modified>
</cp:coreProperties>
</file>