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Rendeletek, felhatalmazáson alapuló rendeletek, körlevelek</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ÁLTALÁNOS SZÖVEGEK</w:t>
      </w:r>
    </w:p>
    <w:p w14:paraId="2B53F8E3" w14:textId="77777777" w:rsidR="009827E1" w:rsidRPr="009827E1" w:rsidRDefault="009827E1" w:rsidP="00FF49BD">
      <w:pPr>
        <w:pStyle w:val="BodyText"/>
        <w:spacing w:before="205"/>
        <w:ind w:left="0" w:right="-138"/>
        <w:rPr>
          <w:sz w:val="28"/>
        </w:rPr>
      </w:pPr>
    </w:p>
    <w:p w14:paraId="4F7FD9C1" w14:textId="5621D143" w:rsidR="009827E1" w:rsidRPr="00FF49BD" w:rsidRDefault="00203D80" w:rsidP="00FF49BD">
      <w:pPr>
        <w:ind w:right="-138"/>
        <w:jc w:val="center"/>
        <w:rPr>
          <w:b/>
          <w:szCs w:val="24"/>
        </w:rPr>
      </w:pPr>
      <w:r>
        <w:rPr>
          <w:b/>
          <w:color w:val="393B96"/>
        </w:rPr>
        <w:t>A MEZŐGAZDASÁGÉRT ÉS ÉLELMISZER-ÖNRENDELKEZÉSÉRT FELELŐS MINISZTÉRIUM</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2024. február 26-i 2024-144. sz. rendelet a növényi fehérjéket tartalmazó élelmiszerek megjelölésére alkalmazott egyes megnevezések használatáról</w:t>
      </w:r>
    </w:p>
    <w:p w14:paraId="1DD09DDF" w14:textId="77777777" w:rsidR="009827E1" w:rsidRPr="009827E1" w:rsidRDefault="009827E1" w:rsidP="00FF49BD">
      <w:pPr>
        <w:spacing w:before="149"/>
        <w:ind w:right="-138"/>
        <w:jc w:val="center"/>
        <w:rPr>
          <w:i/>
          <w:sz w:val="16"/>
        </w:rPr>
      </w:pPr>
      <w:r>
        <w:rPr>
          <w:color w:val="1F52A5"/>
          <w:sz w:val="16"/>
        </w:rPr>
        <w:t xml:space="preserve">NOR: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Érintettek: </w:t>
      </w:r>
      <w:r>
        <w:rPr>
          <w:i/>
          <w:sz w:val="21"/>
        </w:rPr>
        <w:t>az agrár-élelmiszeripari és a házon kívüli étkeztetési ágazat gazdasági szereplői; élelmiszer-forgalmazók; fogyasztók.</w:t>
      </w:r>
    </w:p>
    <w:p w14:paraId="58157B03" w14:textId="77777777" w:rsidR="009827E1" w:rsidRPr="009827E1" w:rsidRDefault="009827E1" w:rsidP="00FF49BD">
      <w:pPr>
        <w:spacing w:before="37" w:line="213" w:lineRule="auto"/>
        <w:ind w:left="112" w:right="-138" w:firstLine="215"/>
        <w:jc w:val="both"/>
        <w:rPr>
          <w:i/>
          <w:sz w:val="21"/>
        </w:rPr>
      </w:pPr>
      <w:r>
        <w:rPr>
          <w:b/>
          <w:i/>
          <w:sz w:val="21"/>
        </w:rPr>
        <w:t>Tárgy:</w:t>
      </w:r>
      <w:r>
        <w:rPr>
          <w:i/>
          <w:sz w:val="21"/>
        </w:rPr>
        <w:t xml:space="preserve"> az állati eredetű termékek és az azokból származó élelmiszerek megjelölésére alkalmazott megnevezésének használatára vonatkozó szabályok megállapítása a növényi fehérjét tartalmazó élelmiszerek leírása, forgalmazása vagy népszerűsítése céljából.</w:t>
      </w:r>
    </w:p>
    <w:p w14:paraId="4B1D181A" w14:textId="77777777" w:rsidR="009827E1" w:rsidRPr="009827E1" w:rsidRDefault="009827E1" w:rsidP="00FF49BD">
      <w:pPr>
        <w:spacing w:before="17"/>
        <w:ind w:left="327" w:right="-138"/>
        <w:jc w:val="both"/>
        <w:rPr>
          <w:i/>
          <w:sz w:val="21"/>
        </w:rPr>
      </w:pPr>
      <w:r>
        <w:rPr>
          <w:b/>
          <w:i/>
          <w:sz w:val="21"/>
        </w:rPr>
        <w:t>Hatálybalépés:</w:t>
      </w:r>
      <w:r>
        <w:rPr>
          <w:i/>
          <w:sz w:val="21"/>
        </w:rPr>
        <w:t xml:space="preserve"> a szöveg a kihirdetését követő három hónap elteltével lép hatályba.</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Értesítés: </w:t>
      </w:r>
      <w:r>
        <w:rPr>
          <w:i/>
          <w:sz w:val="21"/>
        </w:rPr>
        <w:t>a szöveg Franciaország területére vonatkozó szabályokat állapít meg a hagyományosan az állati eredetű élelmiszerek megjelölésére alkalmazott megnevezések használatára vonatkozóan a növényi fehérje alapú élelmiszerek leírása, forgalmazása vagy népszerűsítése céljából. A szöveg a növényi fehérjéket tartalmazó élelmiszerekre vonatkozik. Megállapítja a növényi fehérjéket tartalmazó élelmiszerek megnevezésére nem használható kifejezések jegyzékét (1. melléklet) és az esetlegesen növényi fehérjéket tartalmazó állati eredetű élelmiszerek megnevezésére használható kifejezések jegyzékét, valamint a növényi fehérjék maximális részarányát, amelyet azok az élelmiszerek tartalmazhatnak, amelyekre ezeket a kifejezéseket használják (2. melléklet). A szöveg kölcsönös elismerési záradékot ír elő, amely kizárja a hatálya alól az Európai Unió valamely másik tagállamában vagy valamely harmadik országban jogszerűen gyártott vagy forgalmazott termékeket. Ezen túlmenően a szöveg szankciókat ír elő a rendelkezéseinek megsértése esetére, a kihirdetésétől számított három hónapos határidőt állapít meg a hatálybalépésére vonatkozóan, hogy a gazdasági szereplőknek legyen idejük címkézésük kiigazítására, valamint a készletek kimerüléséig, de legkésőbb a rendelet kihirdetésétől számított egy évig lehetőséget biztosít a rendelet hatálybalépése előtt gyártott vagy felcímkézett élelmiszerek forgalmazására.</w:t>
      </w:r>
    </w:p>
    <w:p w14:paraId="499297A1" w14:textId="2CD6C433" w:rsidR="009827E1" w:rsidRPr="009827E1" w:rsidRDefault="009827E1" w:rsidP="00FF49BD">
      <w:pPr>
        <w:spacing w:before="43" w:line="213" w:lineRule="auto"/>
        <w:ind w:left="112" w:right="-138" w:firstLine="215"/>
        <w:jc w:val="both"/>
        <w:rPr>
          <w:i/>
          <w:sz w:val="21"/>
        </w:rPr>
      </w:pPr>
      <w:r>
        <w:rPr>
          <w:b/>
          <w:i/>
          <w:sz w:val="21"/>
        </w:rPr>
        <w:t xml:space="preserve">Hivatkozások: </w:t>
      </w:r>
      <w:r>
        <w:rPr>
          <w:i/>
          <w:sz w:val="21"/>
        </w:rPr>
        <w:t>a rendeletet a fogyasztóvédelmi törvénykönyv L. 412-10. cikkének a mezőgazdasági és élelmiszeripari termékekre vonatkozó információk átláthatóságáról szóló, 2020. június 10-i</w:t>
      </w:r>
      <w:r>
        <w:rPr>
          <w:i/>
          <w:sz w:val="10"/>
        </w:rPr>
        <w:t xml:space="preserve"> </w:t>
      </w:r>
      <w:r>
        <w:rPr>
          <w:i/>
          <w:sz w:val="21"/>
        </w:rPr>
        <w:t>2020-699. sz. törvény 5. cikkéből következő szövegváltozatban történő alkalmazása céljából adták ki. A szöveg megtekinthető a Légifrance honlapon (https://www.legifrance. gouv.fr).</w:t>
      </w:r>
    </w:p>
    <w:p w14:paraId="17CFE37E" w14:textId="77777777" w:rsidR="009827E1" w:rsidRPr="009827E1" w:rsidRDefault="009827E1" w:rsidP="00FF49BD">
      <w:pPr>
        <w:pStyle w:val="BodyText"/>
        <w:spacing w:before="91"/>
        <w:ind w:left="327" w:right="-138"/>
        <w:jc w:val="both"/>
      </w:pPr>
      <w:r>
        <w:t>A miniszterelnök</w:t>
      </w:r>
    </w:p>
    <w:p w14:paraId="1D5710BF" w14:textId="77777777" w:rsidR="009827E1" w:rsidRPr="009827E1" w:rsidRDefault="009827E1" w:rsidP="00FF49BD">
      <w:pPr>
        <w:pStyle w:val="BodyText"/>
        <w:spacing w:before="46"/>
        <w:ind w:left="327" w:right="-138"/>
        <w:jc w:val="both"/>
      </w:pPr>
      <w:r>
        <w:t>a gazdasági, pénzügy- és az ipari és digitális szuverenitásért felelős miniszter jelentése alapján,</w:t>
      </w:r>
    </w:p>
    <w:p w14:paraId="302A3D2A" w14:textId="525FDCA2" w:rsidR="009827E1" w:rsidRPr="009827E1" w:rsidRDefault="009827E1" w:rsidP="00FF49BD">
      <w:pPr>
        <w:pStyle w:val="BodyText"/>
        <w:spacing w:before="69" w:line="213" w:lineRule="auto"/>
        <w:ind w:right="-138" w:firstLine="215"/>
        <w:jc w:val="both"/>
      </w:pPr>
      <w:r>
        <w:t>tekintettel a fogyasztók élelmiszerekkel kapcsolatos tájékoztatásáról, az 1924/2006/EK és az 1925/2006/EK európai parlamenti és tanácsi rendelet módosításáról és a 87/250/EGK bizottsági irányelv, a 90/496/EGK tanácsi irányelv, az 1999/10/EK bizottsági irányelv, a 2000/13/EK európai parlamenti és tanácsi irányelv, a 2002/67/EK és a 2008/5/EK bizottsági irányelv és a 608/2004/EK bizottsági rendelet hatályon kívül helyezéséről szóló, 2011. október 25-i 1169/2011/EU európai parlamenti és tanácsi rendeletre és különösen annak 38. cikkére,</w:t>
      </w:r>
    </w:p>
    <w:p w14:paraId="5F793C90" w14:textId="44A80F1E" w:rsidR="009827E1" w:rsidRPr="009827E1" w:rsidRDefault="009827E1" w:rsidP="00FF49BD">
      <w:pPr>
        <w:pStyle w:val="BodyText"/>
        <w:spacing w:before="40" w:line="213" w:lineRule="auto"/>
        <w:ind w:right="-138" w:firstLine="215"/>
        <w:jc w:val="both"/>
      </w:pPr>
      <w:r>
        <w:t>tekintettel a műszaki szabályokkal és az információs társadalom szolgáltatásaira vonatkozó szabályokkal kapcsolatos információszolgáltatási eljárás megállapításáról szóló, 2015. szeptember 9-i (EU) 2015/1535 európai parlamenti és tanácsi irányelvre,</w:t>
      </w:r>
    </w:p>
    <w:p w14:paraId="49154504" w14:textId="77777777" w:rsidR="009827E1" w:rsidRPr="009827E1" w:rsidRDefault="009827E1" w:rsidP="00FF49BD">
      <w:pPr>
        <w:pStyle w:val="BodyText"/>
        <w:spacing w:before="16"/>
        <w:ind w:left="327" w:right="-138"/>
        <w:jc w:val="both"/>
      </w:pPr>
      <w:r>
        <w:t>tekintettel a fogyasztóvédelmi törvénykönyvre és különösen annak L. 412-10. cikkére,</w:t>
      </w:r>
    </w:p>
    <w:p w14:paraId="50058916" w14:textId="2DAFB8CD" w:rsidR="009827E1" w:rsidRPr="009827E1" w:rsidRDefault="009827E1" w:rsidP="00FF49BD">
      <w:pPr>
        <w:pStyle w:val="BodyText"/>
        <w:spacing w:before="33" w:line="213" w:lineRule="auto"/>
        <w:ind w:right="-138" w:firstLine="215"/>
        <w:jc w:val="both"/>
      </w:pPr>
      <w:r>
        <w:t>tekintettel az Európai Bizottságnak címzett 2023. augusztus 23-i 2023/510/F sz. értesítésre és a Bizottság 2023. november 22-én kelt válaszára,</w:t>
      </w:r>
    </w:p>
    <w:p w14:paraId="7F68FAA3" w14:textId="77777777" w:rsidR="009827E1" w:rsidRPr="009827E1" w:rsidRDefault="009827E1" w:rsidP="00FF49BD">
      <w:pPr>
        <w:pStyle w:val="BodyText"/>
        <w:spacing w:before="162"/>
        <w:ind w:left="1189" w:right="-138"/>
      </w:pPr>
      <w:r>
        <w:t>a következőket rendeli el:</w:t>
      </w:r>
    </w:p>
    <w:p w14:paraId="796443C3" w14:textId="77777777" w:rsidR="009827E1" w:rsidRPr="009827E1" w:rsidRDefault="009827E1" w:rsidP="00FF49BD">
      <w:pPr>
        <w:pStyle w:val="BodyText"/>
        <w:spacing w:before="87" w:line="213" w:lineRule="auto"/>
        <w:ind w:right="-138" w:firstLine="204"/>
      </w:pPr>
      <w:r>
        <w:rPr>
          <w:b/>
          <w:sz w:val="20"/>
        </w:rPr>
        <w:t xml:space="preserve">1. cikk – </w:t>
      </w:r>
      <w:r>
        <w:t>E rendelet rendelkezéseit a növényi fehérjéket tartalmazó élelmiszerekre kell alkalmazni.</w:t>
      </w:r>
    </w:p>
    <w:p w14:paraId="1688761F" w14:textId="77777777" w:rsidR="009827E1" w:rsidRPr="009827E1" w:rsidRDefault="009827E1" w:rsidP="00FF49BD">
      <w:pPr>
        <w:pStyle w:val="BodyText"/>
        <w:spacing w:before="89"/>
        <w:ind w:left="327" w:right="-138"/>
      </w:pPr>
      <w:r>
        <w:lastRenderedPageBreak/>
        <w:t>E rendelettel összefüggésben a következő fogalommeghatározásokat kell alkalmazni:</w:t>
      </w:r>
    </w:p>
    <w:p w14:paraId="0C28347E" w14:textId="52759B21" w:rsidR="009827E1" w:rsidRPr="00AF623F" w:rsidRDefault="009827E1" w:rsidP="00FF49BD">
      <w:pPr>
        <w:pStyle w:val="BodyText"/>
        <w:spacing w:before="69" w:line="213" w:lineRule="auto"/>
        <w:ind w:right="-138" w:firstLine="215"/>
      </w:pPr>
      <w:r>
        <w:t>1. „növényi fehérjék”: az állatvilágba tartozó szervezeteken kívüli szervezetekből származó vagy általuk biztosított fehérjék;</w:t>
      </w:r>
    </w:p>
    <w:p w14:paraId="3F1F9B0C" w14:textId="20D52559" w:rsidR="00396C43" w:rsidRPr="00AF623F" w:rsidRDefault="009827E1" w:rsidP="00AF623F">
      <w:pPr>
        <w:pStyle w:val="BodyText"/>
        <w:spacing w:before="69" w:line="213" w:lineRule="auto"/>
        <w:ind w:right="-138" w:firstLine="215"/>
      </w:pPr>
      <w:r>
        <w:t>2. „állati eredetű élelmiszer”: állati eredetű termékek és az azokból származó élelmiszerek;</w:t>
      </w:r>
    </w:p>
    <w:p w14:paraId="2A5E9082" w14:textId="34E66B06" w:rsidR="009827E1" w:rsidRPr="00AF623F" w:rsidRDefault="009827E1" w:rsidP="00FF49BD">
      <w:pPr>
        <w:pStyle w:val="BodyText"/>
        <w:spacing w:before="0" w:line="213" w:lineRule="auto"/>
        <w:ind w:right="-138" w:firstLine="215"/>
        <w:jc w:val="both"/>
      </w:pPr>
      <w:r>
        <w:t>3. „előírt név”: egy élelmiszernek a rá alkalmazandó jogszabályi vagy szabályozási rendelkezésekben előírt neve;</w:t>
      </w:r>
    </w:p>
    <w:p w14:paraId="08DA9123" w14:textId="30054FC7" w:rsidR="009827E1" w:rsidRPr="00AF623F" w:rsidRDefault="009827E1" w:rsidP="00FF49BD">
      <w:pPr>
        <w:pStyle w:val="BodyText"/>
        <w:spacing w:before="56" w:line="213" w:lineRule="auto"/>
        <w:ind w:right="-138" w:firstLine="215"/>
        <w:jc w:val="both"/>
      </w:pPr>
      <w:r>
        <w:t>4. „feldolgozás”: az eredeti terméket lényegesen megváltoztató bármely tevékenység, beleértve a melegítést, füstölést, pácolást, érlelést, szárítást, marinírozást, kivonást, extrudálást vagy e folyamatok valamely kombinációját;</w:t>
      </w:r>
    </w:p>
    <w:p w14:paraId="43FEB140" w14:textId="0DA7A2EE" w:rsidR="009827E1" w:rsidRPr="00AF623F" w:rsidRDefault="009827E1" w:rsidP="00FF49BD">
      <w:pPr>
        <w:pStyle w:val="BodyText"/>
        <w:spacing w:before="57" w:line="213" w:lineRule="auto"/>
        <w:ind w:right="-138" w:firstLine="215"/>
        <w:jc w:val="both"/>
      </w:pPr>
      <w:r>
        <w:t>5. „feldolgozott termékek”: a feldolgozatlan termékek feldolgozásából származó élelmiszerek. Ezek a termékek tartalmazhatnak olyan anyagokat, amelyek az előállításukhoz szükségesek, vagy különleges tulajdonságokat adnak nekik;</w:t>
      </w:r>
    </w:p>
    <w:p w14:paraId="1CE2AD4F" w14:textId="4FD01B24" w:rsidR="009827E1" w:rsidRPr="00AF623F" w:rsidRDefault="009827E1" w:rsidP="00FF49BD">
      <w:pPr>
        <w:pStyle w:val="BodyText"/>
        <w:spacing w:before="56" w:line="213" w:lineRule="auto"/>
        <w:ind w:right="-138" w:firstLine="215"/>
        <w:jc w:val="both"/>
      </w:pPr>
      <w:r>
        <w:t>6. „összetevő”: minden anyag vagy termék, beleértve az aromákat, az élelmiszer-adalékanyagokat és élelmiszerenzimeket is, vagy egy összetett összetevő bármely összetevőjét is, amelyet élelmiszer előállításánál vagy elkészítésénél használnak fel, és a késztermékben még jelen van, akár módosult formában is; a szermaradványok nem minősülnek összetevőnek.</w:t>
      </w:r>
    </w:p>
    <w:p w14:paraId="3F1F66FF" w14:textId="77777777" w:rsidR="009827E1" w:rsidRPr="009827E1" w:rsidRDefault="009827E1" w:rsidP="00FF49BD">
      <w:pPr>
        <w:pStyle w:val="BodyText"/>
        <w:spacing w:before="142" w:line="213" w:lineRule="auto"/>
        <w:ind w:right="-138" w:firstLine="204"/>
        <w:jc w:val="both"/>
      </w:pPr>
      <w:r>
        <w:rPr>
          <w:b/>
          <w:sz w:val="20"/>
        </w:rPr>
        <w:t xml:space="preserve">2. cikk – </w:t>
      </w:r>
      <w:r>
        <w:t>A 3. és 4. cikk rendelkezéseire is figyelemmel, tilos a növényi fehérjéket tartalmazó feldolgozott termék leírása, forgalmazása vagy promóciója céljából a következőket használni:</w:t>
      </w:r>
    </w:p>
    <w:p w14:paraId="32BF206D" w14:textId="2C4A0094" w:rsidR="009827E1" w:rsidRPr="009827E1" w:rsidRDefault="009827E1" w:rsidP="00FF49BD">
      <w:pPr>
        <w:pStyle w:val="BodyText"/>
        <w:spacing w:before="111" w:line="213" w:lineRule="auto"/>
        <w:ind w:right="-138" w:firstLine="215"/>
        <w:jc w:val="both"/>
      </w:pPr>
      <w:r>
        <w:t>1. olyan címkézés, amelyhez az érintett élelmiszer összetételét meghatározó szabályok nem írják elő a növényi fehérje hozzáadását;</w:t>
      </w:r>
    </w:p>
    <w:p w14:paraId="694BBCA1" w14:textId="6B49F726" w:rsidR="009827E1" w:rsidRPr="009827E1" w:rsidRDefault="009827E1" w:rsidP="00FF49BD">
      <w:pPr>
        <w:pStyle w:val="BodyText"/>
        <w:spacing w:before="57" w:line="213" w:lineRule="auto"/>
        <w:ind w:right="-138" w:firstLine="215"/>
        <w:jc w:val="both"/>
      </w:pPr>
      <w:r>
        <w:t>2. az állatfajok és állatfajok csoportjainak nevére, illetve az állatok morfológiájára vagy anatómiájára utaló név;</w:t>
      </w:r>
    </w:p>
    <w:p w14:paraId="19904DD3" w14:textId="21156C1B" w:rsidR="009827E1" w:rsidRPr="009827E1" w:rsidRDefault="009827E1" w:rsidP="00FF49BD">
      <w:pPr>
        <w:pStyle w:val="BodyText"/>
        <w:spacing w:before="35"/>
        <w:ind w:left="327" w:right="-138"/>
        <w:jc w:val="both"/>
      </w:pPr>
      <w:r>
        <w:t>3. az I. mellékletben felsorolt kifejezéseket tartalmazó név.</w:t>
      </w:r>
    </w:p>
    <w:p w14:paraId="50064941" w14:textId="77777777" w:rsidR="009827E1" w:rsidRPr="009827E1" w:rsidRDefault="009827E1" w:rsidP="00FF49BD">
      <w:pPr>
        <w:pStyle w:val="BodyText"/>
        <w:spacing w:before="112"/>
        <w:ind w:left="316" w:right="-138"/>
        <w:jc w:val="both"/>
      </w:pPr>
      <w:r>
        <w:rPr>
          <w:b/>
          <w:sz w:val="20"/>
        </w:rPr>
        <w:t xml:space="preserve">3. cikk – </w:t>
      </w:r>
      <w:r>
        <w:t>Az állati eredetű élelmiszer neve használható:</w:t>
      </w:r>
    </w:p>
    <w:p w14:paraId="1C3525E5" w14:textId="3891CAB9" w:rsidR="009827E1" w:rsidRPr="009827E1" w:rsidRDefault="009827E1" w:rsidP="00FF49BD">
      <w:pPr>
        <w:pStyle w:val="BodyText"/>
        <w:spacing w:before="105" w:line="213" w:lineRule="auto"/>
        <w:ind w:right="-138" w:firstLine="215"/>
        <w:jc w:val="both"/>
      </w:pPr>
      <w:r>
        <w:t>1. olyan állati eredetű élelmiszerek esetében, amelyek meghatározott arányban tartalmaznak növényi fehérjéket, amennyiben azok jelenlétét jogszabály írja elő, vagy amelyek szerepelnek az e rendelet II. mellékletében meghatározott jegyzékben;</w:t>
      </w:r>
    </w:p>
    <w:p w14:paraId="3DFB8F85" w14:textId="20810A37" w:rsidR="009827E1" w:rsidRPr="009827E1" w:rsidRDefault="009827E1" w:rsidP="00FF49BD">
      <w:pPr>
        <w:pStyle w:val="BodyText"/>
        <w:spacing w:before="58" w:line="213" w:lineRule="auto"/>
        <w:ind w:right="-138" w:firstLine="215"/>
        <w:jc w:val="both"/>
      </w:pPr>
      <w:r>
        <w:t>2. az élelmiszerekben használt ízesítőanyagok vagy ízesítő tulajdonságokkal rendelkező élelmiszer-összetevők megjelölésére.</w:t>
      </w:r>
    </w:p>
    <w:p w14:paraId="76BDA62C" w14:textId="77777777" w:rsidR="009827E1" w:rsidRPr="009827E1" w:rsidRDefault="009827E1" w:rsidP="00FF49BD">
      <w:pPr>
        <w:pStyle w:val="BodyText"/>
        <w:spacing w:before="139" w:line="213" w:lineRule="auto"/>
        <w:ind w:right="-138" w:firstLine="204"/>
        <w:jc w:val="both"/>
      </w:pPr>
      <w:r>
        <w:rPr>
          <w:b/>
          <w:sz w:val="20"/>
        </w:rPr>
        <w:t xml:space="preserve">4. cikk – </w:t>
      </w:r>
      <w:r>
        <w:t>A 2. cikkben említett nevek használhatók az állati eredetű élelmiszerek és olyan más típusú élelmiszerek kombinációinak leíró nevében, amelyek nem helyettesítik az állati eredetű élelmiszereket, hanem az ilyen kombinációkkal összefüggésben adják hozzá őket azokhoz.</w:t>
      </w:r>
    </w:p>
    <w:p w14:paraId="649CE36A" w14:textId="77777777" w:rsidR="009827E1" w:rsidRPr="009827E1" w:rsidRDefault="009827E1" w:rsidP="00FF49BD">
      <w:pPr>
        <w:pStyle w:val="BodyText"/>
        <w:spacing w:before="140" w:line="213" w:lineRule="auto"/>
        <w:ind w:right="-138" w:firstLine="204"/>
        <w:jc w:val="both"/>
      </w:pPr>
      <w:r>
        <w:rPr>
          <w:b/>
          <w:sz w:val="20"/>
        </w:rPr>
        <w:t xml:space="preserve">5. cikk – </w:t>
      </w:r>
      <w:r>
        <w:t>Az Európai Unió valamely másik tagállamában vagy harmadik országban jogszerűen gyártott vagy forgalmazott termékekre nem vonatkoznak e rendelet követelményei.</w:t>
      </w:r>
    </w:p>
    <w:p w14:paraId="71CD360B" w14:textId="77777777" w:rsidR="009827E1" w:rsidRPr="009827E1" w:rsidRDefault="009827E1" w:rsidP="00FF49BD">
      <w:pPr>
        <w:pStyle w:val="BodyText"/>
        <w:spacing w:before="139" w:line="213" w:lineRule="auto"/>
        <w:ind w:right="-138" w:firstLine="204"/>
        <w:jc w:val="both"/>
      </w:pPr>
      <w:r>
        <w:rPr>
          <w:b/>
          <w:sz w:val="20"/>
        </w:rPr>
        <w:t xml:space="preserve">6. cikk – </w:t>
      </w:r>
      <w:r>
        <w:t>Tilos az e rendeletben meghatározott szabályoknak meg nem felelő élelmiszerek eladás vagy ingyenes szétosztás céljából történő tárolása, eladásra történő felkínálása, eladása vagy ingyenes szétosztása.</w:t>
      </w:r>
    </w:p>
    <w:p w14:paraId="689F2A59" w14:textId="77777777" w:rsidR="009827E1" w:rsidRPr="009827E1" w:rsidRDefault="009827E1" w:rsidP="00FF49BD">
      <w:pPr>
        <w:pStyle w:val="BodyText"/>
        <w:spacing w:before="141" w:line="213" w:lineRule="auto"/>
        <w:ind w:right="-138" w:firstLine="204"/>
        <w:jc w:val="both"/>
      </w:pPr>
      <w:r>
        <w:rPr>
          <w:b/>
          <w:sz w:val="20"/>
        </w:rPr>
        <w:t xml:space="preserve">7. cikk – </w:t>
      </w:r>
      <w:r>
        <w:t>Az e rendelet 6. cikkében foglalt rendelkezések be nem tartása természetes személy esetében 1500 EUR-ig, jogi személy esetében pedig 7500 EUR-ig terjedő közigazgatási bírságot eredményezhet.</w:t>
      </w:r>
    </w:p>
    <w:p w14:paraId="3D2876F8" w14:textId="77777777" w:rsidR="009827E1" w:rsidRPr="009827E1" w:rsidRDefault="009827E1" w:rsidP="00FF49BD">
      <w:pPr>
        <w:pStyle w:val="BodyText"/>
        <w:spacing w:before="56" w:line="213" w:lineRule="auto"/>
        <w:ind w:right="-138" w:firstLine="215"/>
        <w:jc w:val="both"/>
      </w:pPr>
      <w:r>
        <w:t>E bírságot a fogyasztóvédelmi törvénykönyv V. könyve II. címének II. fejezetével összhangban kell kiszabni.</w:t>
      </w:r>
    </w:p>
    <w:p w14:paraId="5468CB61" w14:textId="77777777" w:rsidR="009827E1" w:rsidRPr="009827E1" w:rsidRDefault="009827E1" w:rsidP="00FF49BD">
      <w:pPr>
        <w:pStyle w:val="BodyText"/>
        <w:spacing w:before="139" w:line="213" w:lineRule="auto"/>
        <w:ind w:right="-138" w:firstLine="204"/>
        <w:jc w:val="both"/>
      </w:pPr>
      <w:r>
        <w:rPr>
          <w:b/>
          <w:sz w:val="20"/>
        </w:rPr>
        <w:t xml:space="preserve">8. cikk – </w:t>
      </w:r>
      <w:r>
        <w:t>E rendelet rendelkezései a kihirdetését követő harmadik hónap első napján lépnek hatályba.</w:t>
      </w:r>
    </w:p>
    <w:p w14:paraId="534F266C" w14:textId="77777777" w:rsidR="009827E1" w:rsidRPr="009827E1" w:rsidRDefault="009827E1" w:rsidP="00FF49BD">
      <w:pPr>
        <w:pStyle w:val="BodyText"/>
        <w:spacing w:before="57" w:line="213" w:lineRule="auto"/>
        <w:ind w:right="-138" w:firstLine="215"/>
        <w:jc w:val="both"/>
      </w:pPr>
      <w:r>
        <w:t>Az e rendelet kihirdetését követő harmadik hónap első napja előtt gyártott vagy címkézett élelmiszerek, amelyek megfelelnek az említett napon hatályos előírásoknak, a készletek kimerüléséig, de legkésőbb e rendelet kihirdetésétől számított egy évig forgalmazhatók.</w:t>
      </w:r>
    </w:p>
    <w:p w14:paraId="1E81E370" w14:textId="1055FC83" w:rsidR="009827E1" w:rsidRPr="009827E1" w:rsidRDefault="009827E1" w:rsidP="00FF49BD">
      <w:pPr>
        <w:pStyle w:val="BodyText"/>
        <w:spacing w:before="139" w:line="213" w:lineRule="auto"/>
        <w:ind w:right="-138" w:firstLine="204"/>
        <w:jc w:val="both"/>
      </w:pPr>
      <w:r>
        <w:rPr>
          <w:b/>
          <w:sz w:val="20"/>
        </w:rPr>
        <w:t xml:space="preserve">9. cikk – </w:t>
      </w:r>
      <w:r>
        <w:t>A növényi fehérjéket tartalmazó élelmiszerek megjelölésére alkalmazott egyes megnevezések használatáról szóló, 2022. június 29-i 2022-947. sz. rendelet hatályát veszti.</w:t>
      </w:r>
    </w:p>
    <w:p w14:paraId="77FF103B" w14:textId="77777777" w:rsidR="009827E1" w:rsidRPr="009827E1" w:rsidRDefault="009827E1" w:rsidP="00FF49BD">
      <w:pPr>
        <w:pStyle w:val="BodyText"/>
        <w:spacing w:before="140" w:line="213" w:lineRule="auto"/>
        <w:ind w:right="-138" w:firstLine="204"/>
        <w:jc w:val="both"/>
      </w:pPr>
      <w:r>
        <w:rPr>
          <w:b/>
          <w:sz w:val="20"/>
        </w:rPr>
        <w:t xml:space="preserve">10. cikk – </w:t>
      </w:r>
      <w:r>
        <w:t>E rendeletet közzé kell tenni a Francia Köztársaság Hivatalos Közlönyében; végrehajtásáért – hatáskörének megfelelően – a gazdasági, pénzügy- és az ipari és digitális szuverenitásért felelős miniszter, valamint a mezőgazdasági és élelmiszer-önrendelkezésért felelős miniszter felel.</w:t>
      </w:r>
    </w:p>
    <w:p w14:paraId="0F1EB1C1" w14:textId="77777777" w:rsidR="009827E1" w:rsidRPr="009827E1" w:rsidRDefault="009827E1" w:rsidP="00FF49BD">
      <w:pPr>
        <w:pStyle w:val="BodyText"/>
        <w:spacing w:before="118"/>
        <w:ind w:left="327" w:right="-138"/>
        <w:jc w:val="both"/>
      </w:pPr>
      <w:r>
        <w:t>Kelt 2024. február 26-án.</w:t>
      </w:r>
    </w:p>
    <w:p w14:paraId="2795F894" w14:textId="77777777" w:rsidR="009827E1" w:rsidRPr="009827E1" w:rsidRDefault="009827E1" w:rsidP="00FF49BD">
      <w:pPr>
        <w:pStyle w:val="BodyText"/>
        <w:spacing w:before="2"/>
        <w:ind w:left="0" w:right="-138"/>
        <w:jc w:val="right"/>
      </w:pPr>
      <w:r>
        <w:rPr>
          <w:smallCaps/>
        </w:rPr>
        <w:t>Gabriel Attal</w:t>
      </w:r>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A miniszterelnök nevében:</w:t>
      </w:r>
    </w:p>
    <w:p w14:paraId="0272B1D5" w14:textId="49A176C2" w:rsidR="009827E1" w:rsidRPr="009827E1" w:rsidRDefault="009827E1" w:rsidP="00FF49BD">
      <w:pPr>
        <w:spacing w:before="94" w:line="228" w:lineRule="exact"/>
        <w:ind w:left="72" w:right="6710"/>
        <w:jc w:val="center"/>
        <w:rPr>
          <w:i/>
          <w:sz w:val="21"/>
        </w:rPr>
      </w:pPr>
      <w:r>
        <w:rPr>
          <w:i/>
          <w:sz w:val="21"/>
        </w:rPr>
        <w:t>A mezőgazdaságért és élelmiszer-önrendelkezésért felelős miniszter,</w:t>
      </w:r>
    </w:p>
    <w:p w14:paraId="051CEBDC" w14:textId="77777777" w:rsidR="009827E1" w:rsidRPr="009827E1" w:rsidRDefault="009827E1" w:rsidP="00FF49BD">
      <w:pPr>
        <w:pStyle w:val="BodyText"/>
        <w:spacing w:before="2"/>
        <w:ind w:left="72" w:right="6710"/>
        <w:jc w:val="center"/>
      </w:pPr>
      <w:r>
        <w:rPr>
          <w:smallCaps/>
        </w:rPr>
        <w:t>Marc Fesneau</w:t>
      </w:r>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lastRenderedPageBreak/>
        <w:t>A gazdaság és pénzügyekért, valamint ipari és digitális szuverenitásért felelős miniszter,</w:t>
      </w:r>
    </w:p>
    <w:p w14:paraId="045DC5F1" w14:textId="4DD5B156" w:rsidR="009827E1" w:rsidRPr="009827E1" w:rsidRDefault="009827E1" w:rsidP="00FF49BD">
      <w:pPr>
        <w:ind w:left="7230" w:right="-138"/>
        <w:rPr>
          <w:smallCaps/>
        </w:rPr>
      </w:pPr>
      <w:r>
        <w:rPr>
          <w:smallCaps/>
        </w:rPr>
        <w:t>Bruno Le Maire</w:t>
      </w:r>
      <w:r>
        <w:rPr>
          <w:smallCaps/>
        </w:rPr>
        <w:br w:type="page"/>
      </w:r>
    </w:p>
    <w:p w14:paraId="4C46A894" w14:textId="77777777" w:rsidR="009827E1" w:rsidRPr="009827E1" w:rsidRDefault="009827E1" w:rsidP="00FF49BD">
      <w:pPr>
        <w:ind w:right="-138"/>
        <w:jc w:val="center"/>
        <w:rPr>
          <w:sz w:val="21"/>
          <w:szCs w:val="21"/>
        </w:rPr>
      </w:pPr>
      <w:r>
        <w:rPr>
          <w:sz w:val="21"/>
        </w:rPr>
        <w:lastRenderedPageBreak/>
        <w:t>I. MELLÉKLET</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A növényi fehérjéket tartalmazó élelmiszerek megnevezésére nem használható kifejezések</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Bélszín;</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Hátszín;</w:t>
      </w:r>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Fartő;</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Rostélyos;</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Darabolt marhahús;</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Keresztfartő;</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Zsíros dagadó;</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Sovány dagadó;</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Marhaszelet;</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Tarja;</w:t>
      </w:r>
    </w:p>
    <w:p w14:paraId="33A907FB" w14:textId="77777777" w:rsidR="009827E1" w:rsidRPr="009827E1" w:rsidRDefault="009827E1" w:rsidP="00FF49BD">
      <w:pPr>
        <w:numPr>
          <w:ilvl w:val="0"/>
          <w:numId w:val="1"/>
        </w:numPr>
        <w:tabs>
          <w:tab w:val="left" w:pos="541"/>
        </w:tabs>
        <w:spacing w:before="8"/>
        <w:ind w:left="541" w:right="-138" w:hanging="214"/>
        <w:rPr>
          <w:sz w:val="21"/>
        </w:rPr>
      </w:pPr>
      <w:r>
        <w:rPr>
          <w:sz w:val="21"/>
        </w:rPr>
        <w:t>Tarja steak;</w:t>
      </w:r>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Dagadó;</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Steak;</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Csont nélküli hússzelet;</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Hasaalja;</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Grillezett hús;</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Karaj;</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Oldalas;</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Sonka;</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Hentesáru;</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Húskészítmény</w:t>
      </w:r>
    </w:p>
    <w:p w14:paraId="5BA0E258" w14:textId="77777777" w:rsidR="009827E1" w:rsidRPr="009827E1" w:rsidRDefault="009827E1" w:rsidP="00FF49BD">
      <w:pPr>
        <w:pStyle w:val="BodyText"/>
        <w:spacing w:before="231"/>
        <w:ind w:left="0" w:right="-138"/>
        <w:jc w:val="center"/>
      </w:pPr>
      <w:r>
        <w:t>II. MELLÉKLET</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Olyan állati eredetű élelmiszerek megnevezésére engedélyezett kifejezések, amelyek növényi fehérjéket is tartalmazhatnak, valamint a növényi fehérjék maximális részaránya azokban az élelmiszerekben, amelyekre vonatkozóan ezek a kifejezések használhatók</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Kifejezés vagy név</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Maximális növényifehérje-tartalom (szárazanyagban kifejezve)</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w:t>
            </w:r>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Andouillette</w:t>
            </w:r>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Szalonna</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Ballotine</w:t>
            </w:r>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Fehér (baromfi*)</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3,00 %</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Boudin</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Cervelas</w:t>
            </w:r>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2,00 %</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Kolbászhús</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Baromfi kolbászhús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Chipolata</w:t>
            </w:r>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Baromfi chorizo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1,5 %</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Konfitált/konfitált máj (baromfi kivételével)</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Coppa</w:t>
            </w:r>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Cordon bleu</w:t>
            </w:r>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3,50 %</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Sózott marhahús</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Főtt sertésoldalas</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Crépinette</w:t>
            </w:r>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Baromfi crépinette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Főtt sertéslapocka</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Főtt lapocka</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Közepesen sózott lapocka</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Szárított lapocka</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(Baromfi) szelet</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Bécsi (baromfifaj) szelet</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Főtt bélszín</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Főtt vesepecsenye</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Szárított vesepecsenye</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Füstölt vesepecsenye</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Fuseau</w:t>
            </w:r>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Galantine</w:t>
            </w:r>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Gigolette</w:t>
            </w:r>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Gigot</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Főtt sonka</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Nyers sonka</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Szárított sonka</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Reimsi sonka</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Burgundi sonka</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Márványos sonka</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Baromfisonka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Csülök</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Főtt lábszár</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Knack</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Baromfi knack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Zsíros szalonna</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Sonkaszalonna (lard de jambon)</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Hagyományos szalonna (lard paysan)</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Lardons</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Baromfi lardons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Longaniza</w:t>
            </w:r>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Lonzo</w:t>
            </w:r>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Merguès/Merguez</w:t>
            </w:r>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Darabolt baromfi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Mortadella</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4,00 %</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Lapocka</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Sonka felső része (noix de jambon)</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Nuggets (+baromfifaj)</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Palette (sertéslapocka)</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Közepesen sózott palette</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Palette à la diable</w:t>
            </w:r>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Pancetta</w:t>
            </w:r>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Pastrami</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Pâté</w:t>
            </w:r>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Paupiette:</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 faj)-ból készült (baromfi kivételével)</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 faj)-ból készült kiváló minőségű</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hagyományos</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baromfi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6,00 %</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Sózott sertéshús</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Közepesen sózott oldalas</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Főtt hasaalja</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Füstölt hasaalja</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Szárított hasaalja</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Rillettes</w:t>
            </w:r>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Rosette</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Főtt húsból készült sült hús</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Sózott sült hús</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Szalámi</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Kolbász</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Főzőkolbász</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Sült kolbász</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Grillezett kolbász</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Elzászi füstölt kolbász</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Lorraine-i kolbász</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Toulouse-i kolbász</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Szárított kolbász</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Koktélkolbász</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Főtt kolbász</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Elzászi kolbász (Alsace sausage)</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Elzászi kolbász (Alsatian sausage)</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Lyoni kolbász</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Bécsi kolbász</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Frankfurti kolbász</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Strasbourgi kolbász</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Baromfikolbász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w:t>
            </w:r>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Főtt saucisson</w:t>
            </w:r>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Sült saucisson</w:t>
            </w:r>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Grillezett saucisson</w:t>
            </w:r>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Szárított saucisson</w:t>
            </w:r>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Lyoni saucisson</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Brioche saucisson</w:t>
            </w:r>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Főtt baromfi saucisson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Szárított baromfi saucisson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Hagyományos terrine (terrine de campagne)</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Bretagne-i terrine</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Ardenneki terrine</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Májas terrine</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Sonkás terrine</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Terrine du Jura</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Terrine grand-mère</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X terrine (X egy fajta neve)</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X terrine (X egy fajta neve)</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(Baromfi) tournedos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Ventrèche</w:t>
            </w:r>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Pácolt (+ faj) hús</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Pácolt (+ faj) belsőségek neve</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Bécsi baromfi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Folyékony egész tojás/szárított egész tojás</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Folyékony tojássárgája/szárított tojássárgája</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Folyékony tojásfehérje/szárított tojásfehérje</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0,10 %</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Omlett</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bl>
    <w:p w14:paraId="0F8E542A" w14:textId="77777777" w:rsidR="00FB1DEC" w:rsidRDefault="009827E1" w:rsidP="00FB1DEC">
      <w:pPr>
        <w:pStyle w:val="BodyText"/>
        <w:spacing w:before="59" w:line="247" w:lineRule="auto"/>
        <w:ind w:left="327" w:right="473"/>
      </w:pPr>
      <w:r>
        <w:t>(*) Kizárólag a termékben található fűszerekből és aromákból származó növényifehérje-tartalom.</w:t>
      </w:r>
    </w:p>
    <w:p w14:paraId="2CD4B5A4" w14:textId="6F078BE2" w:rsidR="009827E1" w:rsidRPr="009827E1" w:rsidRDefault="009827E1" w:rsidP="00FB1DEC">
      <w:pPr>
        <w:pStyle w:val="BodyText"/>
        <w:spacing w:before="0" w:line="247" w:lineRule="auto"/>
        <w:ind w:left="329" w:right="473"/>
      </w:pPr>
      <w:r>
        <w:t>(**) Ennek 1 %-a csak a termékben található fűszerekből és aromákból származhat.</w:t>
      </w:r>
    </w:p>
    <w:p w14:paraId="7749292B" w14:textId="77777777" w:rsidR="009827E1" w:rsidRPr="009827E1" w:rsidRDefault="009827E1" w:rsidP="00FB1DEC">
      <w:pPr>
        <w:pStyle w:val="BodyText"/>
        <w:spacing w:before="1"/>
        <w:ind w:left="327" w:right="473"/>
      </w:pPr>
      <w:r>
        <w:t>(***) Ennek 1,5 %-a csak a termékben található fűszerekből és aromákból származhat.</w:t>
      </w:r>
    </w:p>
    <w:p w14:paraId="4CBD5998" w14:textId="77777777" w:rsidR="009827E1" w:rsidRPr="009827E1" w:rsidRDefault="009827E1" w:rsidP="00FB1DEC">
      <w:pPr>
        <w:pStyle w:val="BodyText"/>
        <w:spacing w:before="30" w:line="213" w:lineRule="auto"/>
        <w:ind w:right="473" w:firstLine="215"/>
      </w:pPr>
      <w:r>
        <w:t>**** „baromfi”: baromfi és valamennyi baromfifaj (pulyka, csirke, kacsa, gyöngytyúk, fürj, galamb).</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A konzervdobozban lévő termékek esetében további 2 % növényi fehérje hozzáadása megengedett.</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A konzervdobozban lévő termékek esetében legfeljebb összesen 7 % növényi fehérje hozzáadása megengedett (kivéve a fűszerekből és aromákból származó fehérjéket).</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7E73" w14:textId="77777777" w:rsidR="00CB4FF1" w:rsidRDefault="00CB4FF1" w:rsidP="009827E1">
      <w:r>
        <w:separator/>
      </w:r>
    </w:p>
  </w:endnote>
  <w:endnote w:type="continuationSeparator" w:id="0">
    <w:p w14:paraId="7F0EE389" w14:textId="77777777" w:rsidR="00CB4FF1" w:rsidRDefault="00CB4FF1"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019B" w14:textId="77777777" w:rsidR="00CB4FF1" w:rsidRDefault="00CB4FF1" w:rsidP="009827E1">
      <w:r>
        <w:separator/>
      </w:r>
    </w:p>
  </w:footnote>
  <w:footnote w:type="continuationSeparator" w:id="0">
    <w:p w14:paraId="129F10F1" w14:textId="77777777" w:rsidR="00CB4FF1" w:rsidRDefault="00CB4FF1"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2024. február 27.</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 xml:space="preserve"> A FRANCIA KÖZTÁRSASÁG HIVATALOS KÖZLÖNYE</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15. szöveg a 89-ből</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203D80"/>
    <w:rsid w:val="00396C43"/>
    <w:rsid w:val="009827E1"/>
    <w:rsid w:val="009D0DC6"/>
    <w:rsid w:val="00A71994"/>
    <w:rsid w:val="00AF623F"/>
    <w:rsid w:val="00B203B6"/>
    <w:rsid w:val="00CB4FF1"/>
    <w:rsid w:val="00D85D4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hu-HU"/>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1620</Words>
  <Characters>10906</Characters>
  <Application>Microsoft Office Word</Application>
  <DocSecurity>0</DocSecurity>
  <Lines>381</Lines>
  <Paragraphs>322</Paragraphs>
  <ScaleCrop>false</ScaleCrop>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2</cp:revision>
  <dcterms:created xsi:type="dcterms:W3CDTF">2024-05-08T06:36:00Z</dcterms:created>
  <dcterms:modified xsi:type="dcterms:W3CDTF">2024-05-08T06:36:00Z</dcterms:modified>
</cp:coreProperties>
</file>