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B1F" w14:textId="77777777" w:rsidR="00D21EA2" w:rsidRPr="003A3CEF" w:rsidRDefault="00D21EA2">
      <w:pPr>
        <w:pStyle w:val="BodyText"/>
        <w:spacing w:before="61"/>
        <w:ind w:left="0"/>
        <w:rPr>
          <w:sz w:val="28"/>
        </w:rPr>
      </w:pPr>
    </w:p>
    <w:p w14:paraId="495570D7" w14:textId="77777777" w:rsidR="00D21EA2" w:rsidRPr="003A3CEF" w:rsidRDefault="0061280B">
      <w:pPr>
        <w:spacing w:before="1"/>
        <w:ind w:left="1691" w:right="1686"/>
        <w:jc w:val="center"/>
        <w:rPr>
          <w:b/>
          <w:sz w:val="28"/>
        </w:rPr>
      </w:pPr>
      <w:r>
        <w:rPr>
          <w:b/>
          <w:sz w:val="28"/>
        </w:rPr>
        <w:t>Federala Miljöbyrån</w:t>
      </w:r>
    </w:p>
    <w:p w14:paraId="6DD6B401" w14:textId="77777777" w:rsidR="00D21EA2" w:rsidRPr="003A3CEF" w:rsidRDefault="00D21EA2">
      <w:pPr>
        <w:pStyle w:val="BodyText"/>
        <w:spacing w:before="107"/>
        <w:ind w:left="0"/>
        <w:rPr>
          <w:b/>
          <w:sz w:val="28"/>
        </w:rPr>
      </w:pPr>
    </w:p>
    <w:p w14:paraId="6F078E37" w14:textId="4BD687E2" w:rsidR="00D21EA2" w:rsidRPr="003A3CEF" w:rsidRDefault="0061280B" w:rsidP="00C752E8">
      <w:pPr>
        <w:spacing w:before="1" w:line="225" w:lineRule="exact"/>
        <w:ind w:left="1691" w:right="1687"/>
        <w:jc w:val="center"/>
        <w:rPr>
          <w:b/>
          <w:bCs/>
          <w:sz w:val="20"/>
        </w:rPr>
      </w:pPr>
      <w:r>
        <w:rPr>
          <w:b/>
          <w:sz w:val="20"/>
        </w:rPr>
        <w:t>Fjärde ändringen</w:t>
      </w:r>
      <w:r>
        <w:rPr>
          <w:b/>
          <w:sz w:val="20"/>
        </w:rPr>
        <w:br/>
        <w:t>av det omarbetade tillkännagivandet</w:t>
      </w:r>
      <w:r>
        <w:rPr>
          <w:b/>
          <w:sz w:val="20"/>
        </w:rPr>
        <w:br/>
        <w:t>om bedömningsgrunden</w:t>
      </w:r>
      <w:r>
        <w:rPr>
          <w:b/>
          <w:sz w:val="20"/>
        </w:rPr>
        <w:br/>
        <w:t>för metalliska material i kontakt med</w:t>
      </w:r>
      <w:r>
        <w:rPr>
          <w:b/>
          <w:sz w:val="20"/>
        </w:rPr>
        <w:br/>
        <w:t>dricksvatten</w:t>
      </w:r>
    </w:p>
    <w:p w14:paraId="0FE7CF9E" w14:textId="3A56FB14" w:rsidR="00D21EA2" w:rsidRPr="003A3CEF" w:rsidRDefault="0061280B">
      <w:pPr>
        <w:spacing w:line="221" w:lineRule="exact"/>
        <w:ind w:left="1691" w:right="1685"/>
        <w:jc w:val="center"/>
        <w:rPr>
          <w:b/>
          <w:bCs/>
          <w:sz w:val="20"/>
        </w:rPr>
      </w:pPr>
      <w:r>
        <w:rPr>
          <w:b/>
          <w:sz w:val="20"/>
        </w:rPr>
        <w:t>(Bedömningsgrund för metaller)</w:t>
      </w:r>
      <w:r w:rsidR="00C752E8" w:rsidRPr="003A3CEF">
        <w:rPr>
          <w:rStyle w:val="FootnoteReference"/>
          <w:b/>
          <w:bCs/>
          <w:sz w:val="20"/>
        </w:rPr>
        <w:footnoteReference w:id="1"/>
      </w:r>
      <w:r>
        <w:rPr>
          <w:b/>
          <w:sz w:val="20"/>
        </w:rPr>
        <w:t>”</w:t>
      </w:r>
      <w:r>
        <w:rPr>
          <w:b/>
          <w:sz w:val="20"/>
          <w:vertAlign w:val="superscript"/>
        </w:rPr>
        <w:t xml:space="preserve"> </w:t>
      </w:r>
      <w:r w:rsidR="00C752E8" w:rsidRPr="003A3CEF">
        <w:rPr>
          <w:rStyle w:val="FootnoteReference"/>
          <w:b/>
          <w:bCs/>
          <w:sz w:val="20"/>
        </w:rPr>
        <w:footnoteReference w:id="2"/>
      </w:r>
    </w:p>
    <w:p w14:paraId="4B1488C9" w14:textId="77777777" w:rsidR="00D21EA2" w:rsidRPr="003A3CEF" w:rsidRDefault="0061280B">
      <w:pPr>
        <w:pStyle w:val="BodyText"/>
        <w:spacing w:before="221"/>
        <w:ind w:left="1691" w:right="1686"/>
        <w:jc w:val="center"/>
      </w:pPr>
      <w:r>
        <w:t>Utfärdad den 10 juni 2024</w:t>
      </w:r>
    </w:p>
    <w:p w14:paraId="6DD05D2F" w14:textId="77777777" w:rsidR="00D21EA2" w:rsidRPr="003A3CEF" w:rsidRDefault="00D21EA2">
      <w:pPr>
        <w:pStyle w:val="BodyText"/>
        <w:spacing w:before="17"/>
        <w:ind w:left="0"/>
      </w:pPr>
    </w:p>
    <w:p w14:paraId="6D93CFEE" w14:textId="77777777" w:rsidR="00D21EA2" w:rsidRPr="003A3CEF" w:rsidRDefault="0061280B">
      <w:pPr>
        <w:pStyle w:val="BodyText"/>
        <w:spacing w:before="0"/>
        <w:ind w:left="1691" w:right="1687"/>
        <w:jc w:val="center"/>
      </w:pPr>
      <w:r>
        <w:t>I.</w:t>
      </w:r>
    </w:p>
    <w:p w14:paraId="5A9CC10A" w14:textId="77777777" w:rsidR="00D21EA2" w:rsidRPr="003A3CEF" w:rsidRDefault="0061280B">
      <w:pPr>
        <w:pStyle w:val="BodyText"/>
        <w:ind w:left="4433"/>
      </w:pPr>
      <w:r>
        <w:t>Ändringar</w:t>
      </w:r>
    </w:p>
    <w:p w14:paraId="4AA685E8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75"/>
        <w:ind w:hanging="216"/>
        <w:jc w:val="left"/>
        <w:rPr>
          <w:sz w:val="18"/>
        </w:rPr>
      </w:pPr>
      <w:r>
        <w:rPr>
          <w:sz w:val="18"/>
        </w:rPr>
        <w:t>I punkt 1 ska första stycket ersättas med följande stycke:</w:t>
      </w:r>
    </w:p>
    <w:p w14:paraId="55EF1C5A" w14:textId="7C931817" w:rsidR="00D21EA2" w:rsidRPr="003A3CEF" w:rsidRDefault="0061280B" w:rsidP="003A3CEF">
      <w:pPr>
        <w:pStyle w:val="BodyText"/>
        <w:spacing w:line="252" w:lineRule="auto"/>
      </w:pPr>
      <w:r>
        <w:t>Ämnen och material, som används för renovering eller underhåll av anläggningar för produktion, behandling eller distribution av dricksvatten och som har kontakt med dricksvatten, får inte, enligt 1</w:t>
      </w:r>
      <w:r>
        <w:t>4 § i dricksvattenförordningen (</w:t>
      </w:r>
      <w:proofErr w:type="spellStart"/>
      <w:r>
        <w:t>TrinkwV</w:t>
      </w:r>
      <w:proofErr w:type="spellEnd"/>
      <w:r>
        <w:t>),</w:t>
      </w:r>
    </w:p>
    <w:p w14:paraId="511F9DCF" w14:textId="77777777" w:rsidR="00D21EA2" w:rsidRPr="003A3CEF" w:rsidRDefault="0061280B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09"/>
        <w:rPr>
          <w:sz w:val="18"/>
        </w:rPr>
      </w:pPr>
      <w:r>
        <w:rPr>
          <w:sz w:val="18"/>
        </w:rPr>
        <w:t>direkt eller indirekt minska det avsedda skyddet av människors hälsa,</w:t>
      </w:r>
    </w:p>
    <w:p w14:paraId="44F5E45E" w14:textId="77777777" w:rsidR="00D21EA2" w:rsidRPr="003A3CEF" w:rsidRDefault="0061280B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19"/>
        <w:rPr>
          <w:sz w:val="18"/>
        </w:rPr>
      </w:pPr>
      <w:r>
        <w:rPr>
          <w:sz w:val="18"/>
        </w:rPr>
        <w:t>försämra vattnets färg, lukt eller smak,</w:t>
      </w:r>
    </w:p>
    <w:p w14:paraId="2846BFA5" w14:textId="77777777" w:rsidR="00D21EA2" w:rsidRPr="003A3CEF" w:rsidRDefault="0061280B">
      <w:pPr>
        <w:pStyle w:val="ListParagraph"/>
        <w:numPr>
          <w:ilvl w:val="1"/>
          <w:numId w:val="4"/>
        </w:numPr>
        <w:tabs>
          <w:tab w:val="left" w:pos="675"/>
        </w:tabs>
        <w:spacing w:before="76"/>
        <w:ind w:left="675" w:hanging="209"/>
        <w:rPr>
          <w:sz w:val="18"/>
        </w:rPr>
      </w:pPr>
      <w:r>
        <w:rPr>
          <w:sz w:val="18"/>
        </w:rPr>
        <w:t xml:space="preserve">främja utbredning av mikroorganismer, eller </w:t>
      </w:r>
    </w:p>
    <w:p w14:paraId="3D32DA15" w14:textId="77777777" w:rsidR="00D21EA2" w:rsidRPr="003A3CEF" w:rsidRDefault="0061280B">
      <w:pPr>
        <w:pStyle w:val="ListParagraph"/>
        <w:numPr>
          <w:ilvl w:val="1"/>
          <w:numId w:val="4"/>
        </w:numPr>
        <w:tabs>
          <w:tab w:val="left" w:pos="676"/>
        </w:tabs>
        <w:spacing w:before="75" w:line="249" w:lineRule="auto"/>
        <w:ind w:right="106" w:hanging="220"/>
        <w:rPr>
          <w:sz w:val="18"/>
        </w:rPr>
      </w:pPr>
      <w:r>
        <w:rPr>
          <w:sz w:val="18"/>
        </w:rPr>
        <w:t>släppa ut ämnen i vattnet i större mängder än vad som är o</w:t>
      </w:r>
      <w:r>
        <w:rPr>
          <w:sz w:val="18"/>
        </w:rPr>
        <w:t>undvikligt, om de uppfyller allmänt vedertagna teknikregler.</w:t>
      </w:r>
    </w:p>
    <w:p w14:paraId="62E539DC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I punkt 1 ska andra stycket ersättas med följande stycke:</w:t>
      </w:r>
    </w:p>
    <w:p w14:paraId="0EE98BC9" w14:textId="77777777" w:rsidR="00D21EA2" w:rsidRPr="003A3CEF" w:rsidRDefault="0061280B">
      <w:pPr>
        <w:pStyle w:val="BodyText"/>
        <w:spacing w:before="76" w:line="249" w:lineRule="auto"/>
      </w:pPr>
      <w:r>
        <w:t>I denna bedömningsgrund enligt 15 § första stycket av dricksvattenförordningen anges de ovan nämnda allmänna hygienkraven för metalliska material som anges i tillämpningsområdet.</w:t>
      </w:r>
    </w:p>
    <w:p w14:paraId="30A44FD9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I punkt 1 ska första meningen i tredje stycket ersättas med följande mening:</w:t>
      </w:r>
    </w:p>
    <w:p w14:paraId="2A9809A8" w14:textId="77777777" w:rsidR="00D21EA2" w:rsidRPr="003A3CEF" w:rsidRDefault="0061280B">
      <w:pPr>
        <w:pStyle w:val="BodyText"/>
        <w:spacing w:line="249" w:lineRule="auto"/>
      </w:pPr>
      <w:r>
        <w:t>Bedömningsgrunden innehåller som bilaga en slutlig positivlista (15 § tredje stycket tredje meningen i dricksvattenförordningen) över metalliska material.</w:t>
      </w:r>
    </w:p>
    <w:p w14:paraId="25B732FF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I punkt 1 ska första meningen i fjärde stycket ersättas med följande mening:</w:t>
      </w:r>
    </w:p>
    <w:p w14:paraId="002C26A0" w14:textId="5F4C4828" w:rsidR="00D21EA2" w:rsidRPr="003A3CEF" w:rsidRDefault="0061280B">
      <w:pPr>
        <w:pStyle w:val="BodyText"/>
        <w:spacing w:before="76" w:line="252" w:lineRule="auto"/>
      </w:pPr>
      <w:r>
        <w:t>Tillverkare av produkter</w:t>
      </w:r>
      <w:r>
        <w:t xml:space="preserve"> i kontakt med dricksvatten ska deklarera om deras produkter uppfyller kraven i bedömningsprinciperna enligt 15 § i dricksvattenförordningen.</w:t>
      </w:r>
    </w:p>
    <w:p w14:paraId="38D26E44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3"/>
        <w:ind w:hanging="216"/>
        <w:jc w:val="left"/>
        <w:rPr>
          <w:sz w:val="18"/>
        </w:rPr>
      </w:pPr>
      <w:r>
        <w:rPr>
          <w:sz w:val="18"/>
        </w:rPr>
        <w:t>I punkt 1 ska första meningen i sjätte stycket ersättas med följande mening:</w:t>
      </w:r>
    </w:p>
    <w:p w14:paraId="7BDCEBA3" w14:textId="77777777" w:rsidR="00D21EA2" w:rsidRPr="003A3CEF" w:rsidRDefault="0061280B">
      <w:pPr>
        <w:pStyle w:val="BodyText"/>
        <w:spacing w:line="252" w:lineRule="auto"/>
        <w:ind w:right="124"/>
      </w:pPr>
      <w:r>
        <w:t>Enligt 15 § andra stycket andra menin</w:t>
      </w:r>
      <w:r>
        <w:t>gen i dricksvattenförordningen ska bedömningsgrunden gälla i två år efter offentliggörandet (dvs. från och med den 10 april 2017).</w:t>
      </w:r>
    </w:p>
    <w:p w14:paraId="6548B8A2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5"/>
        <w:ind w:hanging="216"/>
        <w:jc w:val="left"/>
        <w:rPr>
          <w:sz w:val="18"/>
        </w:rPr>
      </w:pPr>
      <w:r>
        <w:rPr>
          <w:sz w:val="18"/>
        </w:rPr>
        <w:t>I punkt 1 ska fjärde meningen i sjätte stycket ersättas med följande mening:</w:t>
      </w:r>
    </w:p>
    <w:p w14:paraId="31E018C3" w14:textId="1CCA6340" w:rsidR="00D21EA2" w:rsidRPr="003A3CEF" w:rsidRDefault="0061280B">
      <w:pPr>
        <w:pStyle w:val="BodyText"/>
        <w:spacing w:before="74" w:line="249" w:lineRule="auto"/>
        <w:ind w:right="106"/>
        <w:jc w:val="both"/>
      </w:pPr>
      <w:r>
        <w:t>Från och med detta datum ska vattenförsörjningsb</w:t>
      </w:r>
      <w:r>
        <w:t>olagen, i enlighet med 13 § andra stycket i dricksvattenförordningen, se till att endast metalliska material som finns upptagna på positivlistan över metalliska material som är lämpliga för dricksvattenhygien används för konstruktion eller underhåll av dri</w:t>
      </w:r>
      <w:r>
        <w:t>cksvatten, med beaktande av de begränsningar (produktgrupper eller användning med visst dricksvatten) som ingår i denna bedömningsgrund.</w:t>
      </w:r>
    </w:p>
    <w:p w14:paraId="7D22B89E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71"/>
        <w:ind w:hanging="216"/>
        <w:jc w:val="both"/>
        <w:rPr>
          <w:sz w:val="18"/>
        </w:rPr>
      </w:pPr>
      <w:r>
        <w:rPr>
          <w:sz w:val="18"/>
        </w:rPr>
        <w:t>I punkt 1 ska åttonde stycket ersättas med följande stycke:</w:t>
      </w:r>
    </w:p>
    <w:p w14:paraId="3811860D" w14:textId="77777777" w:rsidR="00D21EA2" w:rsidRPr="003A3CEF" w:rsidRDefault="0061280B">
      <w:pPr>
        <w:pStyle w:val="BodyText"/>
        <w:spacing w:line="249" w:lineRule="auto"/>
        <w:ind w:right="106"/>
        <w:jc w:val="both"/>
      </w:pPr>
      <w:r>
        <w:t>Enligt det reviderade dricksvattendirektivet (direktiv (EU)</w:t>
      </w:r>
      <w:r>
        <w:t xml:space="preserve"> 2020/2184) kommer enhetliga hygienkrav i Europa för produkter i kontakt med dricksvatten att införas i framtiden. Dessa bestämmelser kommer att ersätta den nuvarande bedömningsgrunden.</w:t>
      </w:r>
    </w:p>
    <w:p w14:paraId="135075EB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8"/>
        <w:ind w:hanging="216"/>
        <w:jc w:val="both"/>
        <w:rPr>
          <w:sz w:val="18"/>
        </w:rPr>
      </w:pPr>
      <w:r>
        <w:rPr>
          <w:sz w:val="18"/>
        </w:rPr>
        <w:t>I punkt 3.2.1 ska den näst sista meningen ersättas med följande mening:</w:t>
      </w:r>
    </w:p>
    <w:p w14:paraId="10C88001" w14:textId="77777777" w:rsidR="00D21EA2" w:rsidRPr="003A3CEF" w:rsidRDefault="0061280B">
      <w:pPr>
        <w:pStyle w:val="BodyText"/>
        <w:spacing w:line="252" w:lineRule="auto"/>
        <w:ind w:right="106"/>
        <w:jc w:val="both"/>
      </w:pPr>
      <w:r>
        <w:t>Lämpligt utvärderade beläggningar förtecknas i positivlistan över metalliska material som lämpar sig för dricksvattenhygien (se bilaga 3 Beläggningar).</w:t>
      </w:r>
    </w:p>
    <w:p w14:paraId="76E372B6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216"/>
        <w:jc w:val="both"/>
        <w:rPr>
          <w:sz w:val="18"/>
        </w:rPr>
      </w:pPr>
      <w:r>
        <w:rPr>
          <w:sz w:val="18"/>
        </w:rPr>
        <w:t>I punkt 5.1 ska första meningen i första stycket ersättas med följande mening:</w:t>
      </w:r>
    </w:p>
    <w:p w14:paraId="0EB4B3D8" w14:textId="77777777" w:rsidR="00D21EA2" w:rsidRPr="003A3CEF" w:rsidRDefault="0061280B">
      <w:pPr>
        <w:pStyle w:val="BodyText"/>
        <w:spacing w:line="252" w:lineRule="auto"/>
        <w:ind w:right="106"/>
        <w:jc w:val="both"/>
      </w:pPr>
      <w:r>
        <w:lastRenderedPageBreak/>
        <w:t>UBA utvärderar på begäran metalliska material (15 § femte stycket i dricksvattenförordningen) från en tillverkare eller sammanslutning (”sökanden”).</w:t>
      </w:r>
    </w:p>
    <w:p w14:paraId="45642588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Begreppet ”installation av d</w:t>
      </w:r>
      <w:r>
        <w:rPr>
          <w:sz w:val="18"/>
        </w:rPr>
        <w:t>ricksvatten” ska ersättas med ”dricksvatteninstallation” i hela dokumentet.</w:t>
      </w:r>
    </w:p>
    <w:p w14:paraId="016FC2DD" w14:textId="52B8DD9F" w:rsidR="00D21EA2" w:rsidRPr="003A3CEF" w:rsidRDefault="0061280B" w:rsidP="007B018D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Begreppet ”företagare och annan innehavare” ska ersättas med ”driftbolag” i hela dokumentet.</w:t>
      </w:r>
    </w:p>
    <w:p w14:paraId="37933A14" w14:textId="1B4E4E2B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7" w:hanging="319"/>
        <w:jc w:val="both"/>
        <w:rPr>
          <w:sz w:val="18"/>
        </w:rPr>
      </w:pPr>
      <w:r>
        <w:rPr>
          <w:sz w:val="18"/>
        </w:rPr>
        <w:t>I bilagan ”Positivlista över metalliska material som är lämpliga för användning i drick</w:t>
      </w:r>
      <w:r>
        <w:rPr>
          <w:sz w:val="18"/>
        </w:rPr>
        <w:t>svattensystem” ska följande ändringar görs i de befintliga listposterna:</w:t>
      </w:r>
    </w:p>
    <w:p w14:paraId="2627E809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 xml:space="preserve">2.1.3.4 CW506L-DW (CuZn33) Strykning av tillägget ”-DW” </w:t>
      </w:r>
    </w:p>
    <w:p w14:paraId="63FD6D3F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rPr>
          <w:sz w:val="18"/>
        </w:rPr>
      </w:pPr>
      <w:r>
        <w:rPr>
          <w:sz w:val="18"/>
        </w:rPr>
        <w:t xml:space="preserve">2.1.3.5 CW507L-DW (CuZn36): oundvikligt, medföljande element </w:t>
      </w:r>
      <w:proofErr w:type="spellStart"/>
      <w:r>
        <w:rPr>
          <w:sz w:val="18"/>
        </w:rPr>
        <w:t>Pb</w:t>
      </w:r>
      <w:proofErr w:type="spellEnd"/>
      <w:r>
        <w:rPr>
          <w:sz w:val="18"/>
        </w:rPr>
        <w:t>: Tillägg till *-tecknet</w:t>
      </w:r>
    </w:p>
    <w:p w14:paraId="0C54EAC6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2.1.3.7 CW509L-DW (CuZn40) Bästa leger</w:t>
      </w:r>
      <w:r>
        <w:rPr>
          <w:sz w:val="18"/>
        </w:rPr>
        <w:t>ingsandel Cu:  Ändring av den nedre gränsen från 59,5 % (m/m) till 59,0 % (m/m)</w:t>
      </w:r>
    </w:p>
    <w:p w14:paraId="30BF5C16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2.2.3.1 CuZn42Al: Tillägg till standardbeteckningen ”CC773S”</w:t>
      </w:r>
    </w:p>
    <w:p w14:paraId="383C8DA3" w14:textId="3A3B23C3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before="83" w:line="249" w:lineRule="auto"/>
        <w:ind w:right="106"/>
        <w:rPr>
          <w:sz w:val="18"/>
        </w:rPr>
      </w:pPr>
      <w:r>
        <w:rPr>
          <w:sz w:val="18"/>
        </w:rPr>
        <w:t xml:space="preserve">2.5.3.1 </w:t>
      </w:r>
      <w:r>
        <w:rPr>
          <w:sz w:val="18"/>
        </w:rPr>
        <w:t>CW511L (CuZn38As) Tillägg till den förklarande anmärkningen till *-tecknet:  ”* ytterligare begränsningar av sammansättningen (se nedan) jämfört med den europeiska standardiserade sammansättningen av CW511L”, tillägg till *-tecknet på beteckningen CW511L o</w:t>
      </w:r>
      <w:r>
        <w:rPr>
          <w:sz w:val="18"/>
        </w:rPr>
        <w:t>ch komplettering med tillägget ”-DW” till standardbeteckningen</w:t>
      </w:r>
    </w:p>
    <w:p w14:paraId="0612714C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before="75"/>
        <w:ind w:hanging="170"/>
        <w:rPr>
          <w:sz w:val="18"/>
        </w:rPr>
      </w:pPr>
      <w:r>
        <w:rPr>
          <w:sz w:val="18"/>
        </w:rPr>
        <w:t>2.7.3.1 CC771S: Tillägg av ”-C” i det kemiska namnet ”CuZn36AlAsSb-C”</w:t>
      </w:r>
    </w:p>
    <w:p w14:paraId="0C91243D" w14:textId="09D7D5E5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2.9.3.1 (ny numrering!) CW617N (CuZn40Pb</w:t>
      </w:r>
      <w:proofErr w:type="gramStart"/>
      <w:r>
        <w:rPr>
          <w:sz w:val="18"/>
        </w:rPr>
        <w:t>2)/</w:t>
      </w:r>
      <w:proofErr w:type="gramEnd"/>
      <w:r>
        <w:rPr>
          <w:sz w:val="18"/>
        </w:rPr>
        <w:t>CW612N (CuZn39Pb2) och 2.9.3.2 CW614N (CuZn39Pb3)/CW603N (CuZn36Pb3): Kompletter</w:t>
      </w:r>
      <w:r>
        <w:rPr>
          <w:sz w:val="18"/>
        </w:rPr>
        <w:t>ing med tillägget ”-DW” till standardnamnen och oundvikliga, medföljande element Si: Tillägg till *-tecknet</w:t>
      </w:r>
    </w:p>
    <w:p w14:paraId="3727F168" w14:textId="383574CE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before="75" w:line="249" w:lineRule="auto"/>
        <w:ind w:right="106"/>
        <w:rPr>
          <w:sz w:val="18"/>
        </w:rPr>
      </w:pPr>
      <w:r>
        <w:rPr>
          <w:sz w:val="18"/>
        </w:rPr>
        <w:t>2.11.3.2 (ny numrering!) CW626N och 2.11.3.3 CW625N: Komplettering med tillägget ”-DW” till standardbeteckningarna</w:t>
      </w:r>
    </w:p>
    <w:p w14:paraId="1264F3EF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 xml:space="preserve">2.12.3.1 (ny numrering!) CC772S: </w:t>
      </w:r>
      <w:r>
        <w:rPr>
          <w:sz w:val="18"/>
        </w:rPr>
        <w:t>Tillägg av ”-C” i det kemiska namnet: ”CuZn36Pb1.5AsSbAl-C”.</w:t>
      </w:r>
    </w:p>
    <w:p w14:paraId="73594D65" w14:textId="67193422" w:rsidR="00D21EA2" w:rsidRPr="003A3CEF" w:rsidRDefault="0061280B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8"/>
        <w:ind w:hanging="170"/>
      </w:pPr>
      <w:r>
        <w:rPr>
          <w:sz w:val="18"/>
        </w:rPr>
        <w:t>2.13.3.1 (ny numrering!) CW725R (CuZn33Pb1AlSiAs) Legeringsbeståndsdel As:  Tillägg av *-tecken och komplettering med tillägget ”-DW” till standardbeteckningen</w:t>
      </w:r>
    </w:p>
    <w:p w14:paraId="10E8EEB5" w14:textId="64942B27" w:rsidR="00D21EA2" w:rsidRPr="00693F62" w:rsidRDefault="0061280B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10"/>
        <w:ind w:hanging="170"/>
        <w:rPr>
          <w:sz w:val="18"/>
          <w:szCs w:val="18"/>
        </w:rPr>
      </w:pPr>
      <w:r>
        <w:rPr>
          <w:sz w:val="18"/>
        </w:rPr>
        <w:t>2.14.3.1 (ny numrering!) CC499K* (C</w:t>
      </w:r>
      <w:r>
        <w:rPr>
          <w:sz w:val="18"/>
        </w:rPr>
        <w:t xml:space="preserve">uSn5Zn5Pb2-C) Legeringsbeståndsdelar </w:t>
      </w:r>
      <w:proofErr w:type="spellStart"/>
      <w:r>
        <w:rPr>
          <w:sz w:val="18"/>
        </w:rPr>
        <w:t>Pb</w:t>
      </w:r>
      <w:proofErr w:type="spellEnd"/>
      <w:r>
        <w:rPr>
          <w:sz w:val="18"/>
        </w:rPr>
        <w:t xml:space="preserve"> och Ni:  Strykning av *-tecknet</w:t>
      </w:r>
    </w:p>
    <w:p w14:paraId="531A470E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2.16.3.1 (ny numrering!) CW724R: Komplettering med tillägget ”-DW” till standardbeteckningen</w:t>
      </w:r>
    </w:p>
    <w:p w14:paraId="3224D1DB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2.16.3.2 (ny numrering!) CC768S: Tillägg av ”-C” i det kemiska namnet ”CuZn21Si3P-C”.</w:t>
      </w:r>
    </w:p>
    <w:p w14:paraId="3EE2ABDF" w14:textId="3FAF457D" w:rsidR="00D21EA2" w:rsidRPr="003A3CEF" w:rsidRDefault="0061280B" w:rsidP="001D7495">
      <w:pPr>
        <w:pStyle w:val="ListParagraph"/>
        <w:numPr>
          <w:ilvl w:val="0"/>
          <w:numId w:val="3"/>
        </w:numPr>
        <w:tabs>
          <w:tab w:val="left" w:pos="635"/>
        </w:tabs>
        <w:spacing w:before="3" w:line="249" w:lineRule="auto"/>
        <w:ind w:right="105"/>
      </w:pPr>
      <w:r>
        <w:rPr>
          <w:sz w:val="18"/>
        </w:rPr>
        <w:t>2.19.</w:t>
      </w:r>
      <w:r>
        <w:rPr>
          <w:sz w:val="18"/>
        </w:rPr>
        <w:t xml:space="preserve">3.1 (ny numrering!): CW453K (CuSn8) Tillägg till den förklarande anmärkningen till *-tecknet:  ”* ytterligare begränsningar av sammansättningen (se nedan) jämfört med den europeiska standardiserade sammansättningen av CW453K.”, tillägg till *-tecknet till </w:t>
      </w:r>
      <w:r>
        <w:rPr>
          <w:sz w:val="18"/>
        </w:rPr>
        <w:t>beteckningen CW453K och legeringsbeståndsdelen P: Tillägg till *-tecknet</w:t>
      </w:r>
    </w:p>
    <w:p w14:paraId="18E86F2B" w14:textId="77777777" w:rsidR="00D21EA2" w:rsidRPr="003A3CEF" w:rsidRDefault="0061280B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 xml:space="preserve">2.20.3.1 (ny numrering!) CuSn10-C: Legeringsbeståndsdelar </w:t>
      </w:r>
      <w:proofErr w:type="spellStart"/>
      <w:r>
        <w:rPr>
          <w:sz w:val="18"/>
        </w:rPr>
        <w:t>Pb</w:t>
      </w:r>
      <w:proofErr w:type="spellEnd"/>
      <w:r>
        <w:rPr>
          <w:sz w:val="18"/>
        </w:rPr>
        <w:t xml:space="preserve"> och P: Tillägg till *-tecknet</w:t>
      </w:r>
    </w:p>
    <w:p w14:paraId="27FD8057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6" w:hanging="319"/>
        <w:jc w:val="both"/>
        <w:rPr>
          <w:sz w:val="18"/>
        </w:rPr>
      </w:pPr>
      <w:r>
        <w:rPr>
          <w:sz w:val="18"/>
        </w:rPr>
        <w:t>I bilagan Positivlista över metalliska material som är lämpliga för dricksvattenhygien ska kategori 2.8 ”koppar-zink-tenn-fosforlegeringar”, omfattande materialet ”CW727R-DW (CuZn35Sn1P)”, läggas till i punkt 2:</w:t>
      </w:r>
    </w:p>
    <w:p w14:paraId="43315A87" w14:textId="77777777" w:rsidR="00D21EA2" w:rsidRPr="003A3CEF" w:rsidRDefault="0061280B">
      <w:pPr>
        <w:pStyle w:val="ListParagraph"/>
        <w:numPr>
          <w:ilvl w:val="1"/>
          <w:numId w:val="2"/>
        </w:numPr>
        <w:tabs>
          <w:tab w:val="left" w:pos="871"/>
        </w:tabs>
        <w:spacing w:before="74"/>
        <w:ind w:left="871" w:hanging="436"/>
        <w:rPr>
          <w:sz w:val="18"/>
        </w:rPr>
      </w:pPr>
      <w:r>
        <w:rPr>
          <w:sz w:val="18"/>
        </w:rPr>
        <w:t>Koppar-zink-tenn-fosforlegeringar</w:t>
      </w:r>
    </w:p>
    <w:p w14:paraId="5E4220D1" w14:textId="77777777" w:rsidR="001D7495" w:rsidRPr="001D7495" w:rsidRDefault="0061280B" w:rsidP="001D7495">
      <w:pPr>
        <w:pStyle w:val="ListParagraph"/>
        <w:numPr>
          <w:ilvl w:val="2"/>
          <w:numId w:val="2"/>
        </w:numPr>
        <w:tabs>
          <w:tab w:val="left" w:pos="1025"/>
        </w:tabs>
        <w:spacing w:before="83" w:line="336" w:lineRule="auto"/>
        <w:ind w:right="79" w:firstLine="0"/>
        <w:rPr>
          <w:sz w:val="18"/>
        </w:rPr>
      </w:pPr>
      <w:r>
        <w:rPr>
          <w:sz w:val="18"/>
        </w:rPr>
        <w:t>Legeringsb</w:t>
      </w:r>
      <w:r>
        <w:rPr>
          <w:sz w:val="18"/>
        </w:rPr>
        <w:t>eståndsdelar</w:t>
      </w:r>
    </w:p>
    <w:p w14:paraId="576ACD79" w14:textId="04983551" w:rsidR="00D21EA2" w:rsidRPr="003A3CEF" w:rsidRDefault="0061280B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Legeringsbeståndsdelar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28072301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37599265" w14:textId="77777777" w:rsidR="00D21EA2" w:rsidRPr="003A3CEF" w:rsidRDefault="0061280B">
            <w:pPr>
              <w:pStyle w:val="TableParagraph"/>
              <w:spacing w:before="0" w:line="181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0251F4B4" w14:textId="77777777" w:rsidR="00D21EA2" w:rsidRPr="003A3CEF" w:rsidRDefault="0061280B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Zn</w:t>
            </w:r>
            <w:proofErr w:type="spellEnd"/>
          </w:p>
        </w:tc>
        <w:tc>
          <w:tcPr>
            <w:tcW w:w="1621" w:type="dxa"/>
          </w:tcPr>
          <w:p w14:paraId="1D253FDC" w14:textId="77777777" w:rsidR="00D21EA2" w:rsidRPr="003A3CEF" w:rsidRDefault="0061280B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Sn</w:t>
            </w:r>
            <w:proofErr w:type="spellEnd"/>
          </w:p>
        </w:tc>
        <w:tc>
          <w:tcPr>
            <w:tcW w:w="1627" w:type="dxa"/>
            <w:tcBorders>
              <w:right w:val="nil"/>
            </w:tcBorders>
          </w:tcPr>
          <w:p w14:paraId="390FA3AE" w14:textId="77777777" w:rsidR="00D21EA2" w:rsidRPr="003A3CEF" w:rsidRDefault="0061280B">
            <w:pPr>
              <w:pStyle w:val="TableParagraph"/>
              <w:spacing w:before="0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02B0385B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4D69A35" w14:textId="77777777" w:rsidR="00D21EA2" w:rsidRPr="003A3CEF" w:rsidRDefault="0061280B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≥ 63,0 %</w:t>
            </w:r>
          </w:p>
        </w:tc>
        <w:tc>
          <w:tcPr>
            <w:tcW w:w="1621" w:type="dxa"/>
          </w:tcPr>
          <w:p w14:paraId="27E6A99D" w14:textId="77777777" w:rsidR="00D21EA2" w:rsidRPr="003A3CEF" w:rsidRDefault="0061280B">
            <w:pPr>
              <w:pStyle w:val="TableParagraph"/>
              <w:spacing w:before="69"/>
              <w:ind w:left="37"/>
              <w:rPr>
                <w:sz w:val="18"/>
              </w:rPr>
            </w:pPr>
            <w:r>
              <w:rPr>
                <w:sz w:val="18"/>
              </w:rPr>
              <w:t>Rest</w:t>
            </w:r>
          </w:p>
        </w:tc>
        <w:tc>
          <w:tcPr>
            <w:tcW w:w="1621" w:type="dxa"/>
          </w:tcPr>
          <w:p w14:paraId="5705B504" w14:textId="77777777" w:rsidR="00D21EA2" w:rsidRPr="003A3CEF" w:rsidRDefault="0061280B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0,5 % - 1,0 %</w:t>
            </w:r>
          </w:p>
        </w:tc>
        <w:tc>
          <w:tcPr>
            <w:tcW w:w="1627" w:type="dxa"/>
            <w:tcBorders>
              <w:right w:val="nil"/>
            </w:tcBorders>
          </w:tcPr>
          <w:p w14:paraId="10FE3126" w14:textId="77777777" w:rsidR="00D21EA2" w:rsidRPr="003A3CEF" w:rsidRDefault="0061280B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0,05 % - 0,2 %</w:t>
            </w:r>
          </w:p>
        </w:tc>
      </w:tr>
    </w:tbl>
    <w:p w14:paraId="3D6E9B5A" w14:textId="77777777" w:rsidR="00D21EA2" w:rsidRPr="003A3CEF" w:rsidRDefault="0061280B">
      <w:pPr>
        <w:pStyle w:val="BodyText"/>
        <w:spacing w:before="115"/>
      </w:pPr>
      <w:r>
        <w:t>Oundvikliga spårämnen (% (m/m)):</w:t>
      </w:r>
    </w:p>
    <w:p w14:paraId="574AB08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60E2E989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6763EE6E" w14:textId="77777777" w:rsidR="00D21EA2" w:rsidRPr="003A3CEF" w:rsidRDefault="0061280B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7FBEF0A9" w14:textId="77777777" w:rsidR="00D21EA2" w:rsidRPr="003A3CEF" w:rsidRDefault="0061280B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5B238984" w14:textId="77777777" w:rsidR="00D21EA2" w:rsidRPr="003A3CEF" w:rsidRDefault="0061280B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7D5F6C2F" w14:textId="77777777" w:rsidR="00D21EA2" w:rsidRPr="003A3CEF" w:rsidRDefault="0061280B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Pb</w:t>
            </w:r>
            <w:proofErr w:type="spellEnd"/>
          </w:p>
        </w:tc>
        <w:tc>
          <w:tcPr>
            <w:tcW w:w="1643" w:type="dxa"/>
            <w:tcBorders>
              <w:right w:val="nil"/>
            </w:tcBorders>
          </w:tcPr>
          <w:p w14:paraId="50C6421B" w14:textId="77777777" w:rsidR="00D21EA2" w:rsidRPr="003A3CEF" w:rsidRDefault="0061280B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6AEF240C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7C2623E7" w14:textId="77777777" w:rsidR="00D21EA2" w:rsidRPr="003A3CEF" w:rsidRDefault="0061280B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5E3C4DC7" w14:textId="77777777" w:rsidR="00D21EA2" w:rsidRPr="003A3CEF" w:rsidRDefault="0061280B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A80A4AF" w14:textId="77777777" w:rsidR="00D21EA2" w:rsidRPr="003A3CEF" w:rsidRDefault="0061280B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43A9BCD" w14:textId="77777777" w:rsidR="00D21EA2" w:rsidRPr="003A3CEF" w:rsidRDefault="0061280B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43" w:type="dxa"/>
            <w:tcBorders>
              <w:right w:val="nil"/>
            </w:tcBorders>
          </w:tcPr>
          <w:p w14:paraId="1777D33A" w14:textId="77777777" w:rsidR="00D21EA2" w:rsidRPr="003A3CEF" w:rsidRDefault="0061280B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46CEFC27" w14:textId="77777777" w:rsidR="001D7495" w:rsidRPr="001D7495" w:rsidRDefault="0061280B">
      <w:pPr>
        <w:pStyle w:val="ListParagraph"/>
        <w:numPr>
          <w:ilvl w:val="2"/>
          <w:numId w:val="2"/>
        </w:numPr>
        <w:tabs>
          <w:tab w:val="left" w:pos="1025"/>
        </w:tabs>
        <w:spacing w:before="126" w:line="336" w:lineRule="auto"/>
        <w:ind w:right="6586" w:firstLine="0"/>
        <w:rPr>
          <w:sz w:val="18"/>
        </w:rPr>
      </w:pPr>
      <w:r>
        <w:rPr>
          <w:sz w:val="18"/>
        </w:rPr>
        <w:t>Referensmaterial</w:t>
      </w:r>
    </w:p>
    <w:p w14:paraId="7346C13D" w14:textId="7456F3AC" w:rsidR="00D21EA2" w:rsidRPr="003A3CEF" w:rsidRDefault="0061280B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Legeringsbeståndsdelar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1600CCC3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7C703C1D" w14:textId="77777777" w:rsidR="00D21EA2" w:rsidRPr="003A3CEF" w:rsidRDefault="0061280B">
            <w:pPr>
              <w:pStyle w:val="TableParagraph"/>
              <w:spacing w:before="0" w:line="182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78BF2795" w14:textId="77777777" w:rsidR="00D21EA2" w:rsidRPr="003A3CEF" w:rsidRDefault="0061280B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Zn</w:t>
            </w:r>
            <w:proofErr w:type="spellEnd"/>
          </w:p>
        </w:tc>
        <w:tc>
          <w:tcPr>
            <w:tcW w:w="1621" w:type="dxa"/>
          </w:tcPr>
          <w:p w14:paraId="585E737E" w14:textId="77777777" w:rsidR="00D21EA2" w:rsidRPr="003A3CEF" w:rsidRDefault="0061280B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Sn</w:t>
            </w:r>
            <w:proofErr w:type="spellEnd"/>
          </w:p>
        </w:tc>
        <w:tc>
          <w:tcPr>
            <w:tcW w:w="1627" w:type="dxa"/>
            <w:tcBorders>
              <w:right w:val="nil"/>
            </w:tcBorders>
          </w:tcPr>
          <w:p w14:paraId="3A81860F" w14:textId="77777777" w:rsidR="00D21EA2" w:rsidRPr="003A3CEF" w:rsidRDefault="0061280B">
            <w:pPr>
              <w:pStyle w:val="TableParagraph"/>
              <w:spacing w:before="0" w:line="182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31E3E0AF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7BC0A1D" w14:textId="77777777" w:rsidR="00D21EA2" w:rsidRPr="003A3CEF" w:rsidRDefault="0061280B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63,5 % - 65,0 %</w:t>
            </w:r>
          </w:p>
        </w:tc>
        <w:tc>
          <w:tcPr>
            <w:tcW w:w="1621" w:type="dxa"/>
          </w:tcPr>
          <w:p w14:paraId="43DCD9FE" w14:textId="77777777" w:rsidR="00D21EA2" w:rsidRPr="003A3CEF" w:rsidRDefault="0061280B">
            <w:pPr>
              <w:pStyle w:val="TableParagraph"/>
              <w:spacing w:before="70"/>
              <w:ind w:left="37"/>
              <w:rPr>
                <w:sz w:val="18"/>
              </w:rPr>
            </w:pPr>
            <w:r>
              <w:rPr>
                <w:sz w:val="18"/>
              </w:rPr>
              <w:t>Rest</w:t>
            </w:r>
          </w:p>
        </w:tc>
        <w:tc>
          <w:tcPr>
            <w:tcW w:w="1621" w:type="dxa"/>
          </w:tcPr>
          <w:p w14:paraId="0AA3CEDA" w14:textId="77777777" w:rsidR="00D21EA2" w:rsidRPr="003A3CEF" w:rsidRDefault="0061280B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0,5 % - 1,0 %</w:t>
            </w:r>
          </w:p>
        </w:tc>
        <w:tc>
          <w:tcPr>
            <w:tcW w:w="1627" w:type="dxa"/>
            <w:tcBorders>
              <w:right w:val="nil"/>
            </w:tcBorders>
          </w:tcPr>
          <w:p w14:paraId="4943320C" w14:textId="77777777" w:rsidR="00D21EA2" w:rsidRPr="003A3CEF" w:rsidRDefault="0061280B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0,05 % - 0,10 %</w:t>
            </w:r>
          </w:p>
        </w:tc>
      </w:tr>
    </w:tbl>
    <w:p w14:paraId="0E2F69C0" w14:textId="77777777" w:rsidR="00D21EA2" w:rsidRPr="003A3CEF" w:rsidRDefault="0061280B">
      <w:pPr>
        <w:pStyle w:val="BodyText"/>
        <w:spacing w:before="115"/>
      </w:pPr>
      <w:r>
        <w:t>Oundvikliga spårämnen (% (m/m)):</w:t>
      </w:r>
    </w:p>
    <w:p w14:paraId="4BF8ABD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048C3806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1DE61135" w14:textId="77777777" w:rsidR="00D21EA2" w:rsidRPr="003A3CEF" w:rsidRDefault="0061280B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1E2EE284" w14:textId="77777777" w:rsidR="00D21EA2" w:rsidRPr="003A3CEF" w:rsidRDefault="0061280B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07B4A7A4" w14:textId="77777777" w:rsidR="00D21EA2" w:rsidRPr="003A3CEF" w:rsidRDefault="0061280B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388FEF35" w14:textId="77777777" w:rsidR="00D21EA2" w:rsidRPr="003A3CEF" w:rsidRDefault="0061280B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Pb</w:t>
            </w:r>
            <w:proofErr w:type="spellEnd"/>
          </w:p>
        </w:tc>
        <w:tc>
          <w:tcPr>
            <w:tcW w:w="1643" w:type="dxa"/>
            <w:tcBorders>
              <w:right w:val="nil"/>
            </w:tcBorders>
          </w:tcPr>
          <w:p w14:paraId="04D899AD" w14:textId="77777777" w:rsidR="00D21EA2" w:rsidRPr="003A3CEF" w:rsidRDefault="0061280B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2FE1B2EA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124DFE2C" w14:textId="77777777" w:rsidR="00D21EA2" w:rsidRPr="003A3CEF" w:rsidRDefault="0061280B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551C961B" w14:textId="77777777" w:rsidR="00D21EA2" w:rsidRPr="003A3CEF" w:rsidRDefault="0061280B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4B76585" w14:textId="77777777" w:rsidR="00D21EA2" w:rsidRPr="003A3CEF" w:rsidRDefault="0061280B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0,06 % - 0,10 %</w:t>
            </w:r>
          </w:p>
        </w:tc>
        <w:tc>
          <w:tcPr>
            <w:tcW w:w="1637" w:type="dxa"/>
          </w:tcPr>
          <w:p w14:paraId="4ABE85BE" w14:textId="77777777" w:rsidR="00D21EA2" w:rsidRPr="003A3CEF" w:rsidRDefault="0061280B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0,06 % - 0,10 %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0A1DAF7B" w14:textId="77777777" w:rsidR="00D21EA2" w:rsidRPr="003A3CEF" w:rsidRDefault="0061280B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00997B73" w14:textId="77777777" w:rsidR="00D21EA2" w:rsidRPr="003A3CEF" w:rsidRDefault="0061280B">
      <w:pPr>
        <w:pStyle w:val="BodyText"/>
        <w:spacing w:before="127" w:line="249" w:lineRule="auto"/>
      </w:pPr>
      <w:r>
        <w:t>Faktorer som ska fastställas vid jämförande provning enligt DIN EN 15664–1 i kontaktvatten: Bly, koppar, nickel, zink</w:t>
      </w:r>
    </w:p>
    <w:p w14:paraId="2256FA56" w14:textId="77777777" w:rsidR="001D7495" w:rsidRDefault="0061280B">
      <w:pPr>
        <w:pStyle w:val="BodyText"/>
        <w:spacing w:before="74" w:line="336" w:lineRule="auto"/>
        <w:ind w:right="6536"/>
      </w:pPr>
      <w:r>
        <w:t xml:space="preserve">Mest kritiska testvatten: </w:t>
      </w:r>
    </w:p>
    <w:p w14:paraId="1B21A659" w14:textId="5A9507BE" w:rsidR="00D21EA2" w:rsidRPr="003A3CEF" w:rsidRDefault="0061280B" w:rsidP="001D7495">
      <w:pPr>
        <w:pStyle w:val="BodyText"/>
        <w:spacing w:before="0" w:line="336" w:lineRule="auto"/>
        <w:ind w:left="437" w:right="6538"/>
      </w:pPr>
      <w:r>
        <w:lastRenderedPageBreak/>
        <w:t>Testvatten 1 enligt DIN EN 15664–2</w:t>
      </w:r>
    </w:p>
    <w:p w14:paraId="5243829A" w14:textId="77777777" w:rsidR="00D21EA2" w:rsidRPr="003A3CEF" w:rsidRDefault="0061280B">
      <w:pPr>
        <w:pStyle w:val="ListParagraph"/>
        <w:numPr>
          <w:ilvl w:val="2"/>
          <w:numId w:val="2"/>
        </w:numPr>
        <w:tabs>
          <w:tab w:val="left" w:pos="1025"/>
        </w:tabs>
        <w:spacing w:before="101"/>
        <w:ind w:left="1025" w:hanging="590"/>
        <w:rPr>
          <w:sz w:val="18"/>
        </w:rPr>
      </w:pPr>
      <w:r>
        <w:rPr>
          <w:sz w:val="18"/>
        </w:rPr>
        <w:t>Material som är lämpliga för användning i dricksvattensystem</w:t>
      </w:r>
    </w:p>
    <w:p w14:paraId="02F62D09" w14:textId="77777777" w:rsidR="00D21EA2" w:rsidRPr="003A3CEF" w:rsidRDefault="0061280B">
      <w:pPr>
        <w:pStyle w:val="ListParagraph"/>
        <w:numPr>
          <w:ilvl w:val="3"/>
          <w:numId w:val="2"/>
        </w:numPr>
        <w:tabs>
          <w:tab w:val="left" w:pos="1179"/>
        </w:tabs>
        <w:spacing w:before="77"/>
        <w:ind w:left="1179" w:hanging="744"/>
        <w:rPr>
          <w:sz w:val="18"/>
        </w:rPr>
      </w:pPr>
      <w:r>
        <w:rPr>
          <w:sz w:val="18"/>
        </w:rPr>
        <w:t>CW727R-DW (CuZn</w:t>
      </w:r>
      <w:r>
        <w:rPr>
          <w:sz w:val="18"/>
        </w:rPr>
        <w:t>35Sn1P)</w:t>
      </w:r>
    </w:p>
    <w:p w14:paraId="392A52A4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1E5A04ED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7B1230A" w14:textId="77777777" w:rsidR="00D21EA2" w:rsidRPr="003A3CEF" w:rsidRDefault="0061280B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Beteckning:</w:t>
            </w:r>
          </w:p>
        </w:tc>
        <w:tc>
          <w:tcPr>
            <w:tcW w:w="2679" w:type="dxa"/>
            <w:tcBorders>
              <w:right w:val="nil"/>
            </w:tcBorders>
          </w:tcPr>
          <w:p w14:paraId="519A0FB9" w14:textId="77777777" w:rsidR="00D21EA2" w:rsidRPr="003A3CEF" w:rsidRDefault="0061280B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Produktgrupp</w:t>
            </w:r>
          </w:p>
        </w:tc>
      </w:tr>
      <w:tr w:rsidR="00D21EA2" w:rsidRPr="003A3CEF" w14:paraId="1D1406F2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E7BADF8" w14:textId="77777777" w:rsidR="00D21EA2" w:rsidRPr="003A3CEF" w:rsidRDefault="0061280B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CW727R-DW (CuZn35Sn1P)</w:t>
            </w:r>
          </w:p>
        </w:tc>
        <w:tc>
          <w:tcPr>
            <w:tcW w:w="2679" w:type="dxa"/>
            <w:tcBorders>
              <w:right w:val="nil"/>
            </w:tcBorders>
          </w:tcPr>
          <w:p w14:paraId="69CDF3EF" w14:textId="77777777" w:rsidR="00D21EA2" w:rsidRPr="003A3CEF" w:rsidRDefault="0061280B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B–D</w:t>
            </w:r>
          </w:p>
        </w:tc>
      </w:tr>
    </w:tbl>
    <w:p w14:paraId="245B33B4" w14:textId="77777777" w:rsidR="00D21EA2" w:rsidRPr="003A3CEF" w:rsidRDefault="0061280B">
      <w:pPr>
        <w:pStyle w:val="BodyText"/>
        <w:spacing w:before="117"/>
      </w:pPr>
      <w:r>
        <w:t>Legeringsbeståndsdelar (% (m/m)):</w:t>
      </w:r>
    </w:p>
    <w:p w14:paraId="59DB464C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49"/>
        <w:gridCol w:w="1649"/>
        <w:gridCol w:w="1655"/>
      </w:tblGrid>
      <w:tr w:rsidR="00D21EA2" w:rsidRPr="003A3CEF" w14:paraId="388A4C83" w14:textId="77777777">
        <w:trPr>
          <w:trHeight w:val="216"/>
        </w:trPr>
        <w:tc>
          <w:tcPr>
            <w:tcW w:w="1643" w:type="dxa"/>
            <w:tcBorders>
              <w:left w:val="nil"/>
            </w:tcBorders>
          </w:tcPr>
          <w:p w14:paraId="4C24BD81" w14:textId="77777777" w:rsidR="00D21EA2" w:rsidRPr="003A3CEF" w:rsidRDefault="0061280B">
            <w:pPr>
              <w:pStyle w:val="TableParagraph"/>
              <w:ind w:left="33" w:right="69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49" w:type="dxa"/>
          </w:tcPr>
          <w:p w14:paraId="3886ED48" w14:textId="77777777" w:rsidR="00D21EA2" w:rsidRPr="003A3CEF" w:rsidRDefault="0061280B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Zn</w:t>
            </w:r>
            <w:proofErr w:type="spellEnd"/>
          </w:p>
        </w:tc>
        <w:tc>
          <w:tcPr>
            <w:tcW w:w="1649" w:type="dxa"/>
          </w:tcPr>
          <w:p w14:paraId="2B49C0D1" w14:textId="77777777" w:rsidR="00D21EA2" w:rsidRPr="003A3CEF" w:rsidRDefault="0061280B">
            <w:pPr>
              <w:pStyle w:val="TableParagraph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Sn</w:t>
            </w:r>
            <w:proofErr w:type="spellEnd"/>
          </w:p>
        </w:tc>
        <w:tc>
          <w:tcPr>
            <w:tcW w:w="1655" w:type="dxa"/>
            <w:tcBorders>
              <w:right w:val="nil"/>
            </w:tcBorders>
          </w:tcPr>
          <w:p w14:paraId="4776EDB6" w14:textId="77777777" w:rsidR="00D21EA2" w:rsidRPr="003A3CEF" w:rsidRDefault="0061280B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72F1B245" w14:textId="77777777">
        <w:trPr>
          <w:trHeight w:val="316"/>
        </w:trPr>
        <w:tc>
          <w:tcPr>
            <w:tcW w:w="1643" w:type="dxa"/>
            <w:tcBorders>
              <w:left w:val="nil"/>
            </w:tcBorders>
          </w:tcPr>
          <w:p w14:paraId="2CA61EEC" w14:textId="77777777" w:rsidR="00D21EA2" w:rsidRPr="003A3CEF" w:rsidRDefault="0061280B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63,5 % - 65,0 %</w:t>
            </w:r>
          </w:p>
        </w:tc>
        <w:tc>
          <w:tcPr>
            <w:tcW w:w="1649" w:type="dxa"/>
          </w:tcPr>
          <w:p w14:paraId="7BFD1BB2" w14:textId="77777777" w:rsidR="00D21EA2" w:rsidRPr="003A3CEF" w:rsidRDefault="0061280B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Rest</w:t>
            </w:r>
          </w:p>
        </w:tc>
        <w:tc>
          <w:tcPr>
            <w:tcW w:w="1649" w:type="dxa"/>
          </w:tcPr>
          <w:p w14:paraId="381C854F" w14:textId="77777777" w:rsidR="00D21EA2" w:rsidRPr="003A3CEF" w:rsidRDefault="0061280B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0,5–1,0 %</w:t>
            </w:r>
          </w:p>
        </w:tc>
        <w:tc>
          <w:tcPr>
            <w:tcW w:w="1655" w:type="dxa"/>
            <w:tcBorders>
              <w:right w:val="nil"/>
            </w:tcBorders>
          </w:tcPr>
          <w:p w14:paraId="3932F51A" w14:textId="77777777" w:rsidR="00D21EA2" w:rsidRPr="003A3CEF" w:rsidRDefault="0061280B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0,05 %–0,15 %</w:t>
            </w:r>
          </w:p>
        </w:tc>
      </w:tr>
    </w:tbl>
    <w:p w14:paraId="3D50FA60" w14:textId="77777777" w:rsidR="00D21EA2" w:rsidRPr="003A3CEF" w:rsidRDefault="0061280B">
      <w:pPr>
        <w:pStyle w:val="BodyText"/>
        <w:spacing w:before="117"/>
      </w:pPr>
      <w:r>
        <w:t>Oundvikliga spårämnen (% (m/m)):</w:t>
      </w:r>
    </w:p>
    <w:p w14:paraId="66A211B6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15387E81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728E4EFA" w14:textId="77777777" w:rsidR="00D21EA2" w:rsidRPr="003A3CEF" w:rsidRDefault="0061280B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5878C12F" w14:textId="77777777" w:rsidR="00D21EA2" w:rsidRPr="003A3CEF" w:rsidRDefault="0061280B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2B98055D" w14:textId="77777777" w:rsidR="00D21EA2" w:rsidRPr="003A3CEF" w:rsidRDefault="0061280B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021279BC" w14:textId="77777777" w:rsidR="00D21EA2" w:rsidRPr="003A3CEF" w:rsidRDefault="0061280B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Pb</w:t>
            </w:r>
            <w:proofErr w:type="spellEnd"/>
          </w:p>
        </w:tc>
        <w:tc>
          <w:tcPr>
            <w:tcW w:w="1643" w:type="dxa"/>
            <w:tcBorders>
              <w:right w:val="nil"/>
            </w:tcBorders>
          </w:tcPr>
          <w:p w14:paraId="19D4D693" w14:textId="77777777" w:rsidR="00D21EA2" w:rsidRPr="003A3CEF" w:rsidRDefault="0061280B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1B292E15" w14:textId="77777777">
        <w:trPr>
          <w:trHeight w:val="316"/>
        </w:trPr>
        <w:tc>
          <w:tcPr>
            <w:tcW w:w="1631" w:type="dxa"/>
            <w:tcBorders>
              <w:left w:val="nil"/>
            </w:tcBorders>
          </w:tcPr>
          <w:p w14:paraId="3359CEB7" w14:textId="77777777" w:rsidR="00D21EA2" w:rsidRPr="003A3CEF" w:rsidRDefault="0061280B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175C10A2" w14:textId="77777777" w:rsidR="00D21EA2" w:rsidRPr="003A3CEF" w:rsidRDefault="0061280B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1F6DBA3" w14:textId="77777777" w:rsidR="00D21EA2" w:rsidRPr="003A3CEF" w:rsidRDefault="0061280B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3654CC50" w14:textId="77777777" w:rsidR="00D21EA2" w:rsidRPr="003A3CEF" w:rsidRDefault="0061280B">
            <w:pPr>
              <w:pStyle w:val="TableParagraph"/>
              <w:spacing w:before="75"/>
              <w:ind w:left="36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6E2EF991" w14:textId="77777777" w:rsidR="00D21EA2" w:rsidRPr="003A3CEF" w:rsidRDefault="0061280B">
            <w:pPr>
              <w:pStyle w:val="TableParagraph"/>
              <w:spacing w:before="75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15D99F97" w14:textId="18F52D0D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117" w:line="249" w:lineRule="auto"/>
        <w:ind w:right="106" w:hanging="319"/>
        <w:jc w:val="both"/>
        <w:rPr>
          <w:sz w:val="18"/>
        </w:rPr>
      </w:pPr>
      <w:r>
        <w:rPr>
          <w:sz w:val="18"/>
        </w:rPr>
        <w:t>I bilagan Positivlista över metalliska material som lämpar sig för dricksvattenhygien leder införandet av den nya kategorin 2.8 till att de ytterligare numreringarna i punkt 2 förskjuts.</w:t>
      </w:r>
    </w:p>
    <w:p w14:paraId="2CF4D805" w14:textId="08C1DD69" w:rsidR="00D21EA2" w:rsidRPr="00693F62" w:rsidRDefault="0061280B" w:rsidP="001D7495">
      <w:pPr>
        <w:pStyle w:val="ListParagraph"/>
        <w:numPr>
          <w:ilvl w:val="0"/>
          <w:numId w:val="4"/>
        </w:numPr>
        <w:tabs>
          <w:tab w:val="left" w:pos="435"/>
        </w:tabs>
        <w:spacing w:before="80" w:line="250" w:lineRule="auto"/>
        <w:ind w:left="431" w:right="108" w:hanging="318"/>
        <w:jc w:val="both"/>
        <w:rPr>
          <w:sz w:val="18"/>
        </w:rPr>
      </w:pPr>
      <w:r>
        <w:rPr>
          <w:sz w:val="18"/>
        </w:rPr>
        <w:t xml:space="preserve">I bilagan ”Positivlista över metalliska material som är lämpliga för </w:t>
      </w:r>
      <w:r>
        <w:rPr>
          <w:sz w:val="18"/>
        </w:rPr>
        <w:t>dricksvattenhygien” ska det läggas till i punkt 3 ”Galvaniska Cu/</w:t>
      </w:r>
      <w:proofErr w:type="spellStart"/>
      <w:r>
        <w:rPr>
          <w:sz w:val="18"/>
        </w:rPr>
        <w:t>Sn</w:t>
      </w:r>
      <w:proofErr w:type="spellEnd"/>
      <w:r>
        <w:rPr>
          <w:sz w:val="18"/>
        </w:rPr>
        <w:t>-beläggningar på den yttre ytan” enligt följande:</w:t>
      </w:r>
    </w:p>
    <w:p w14:paraId="48100BBC" w14:textId="77777777" w:rsidR="00D21EA2" w:rsidRPr="003A3CEF" w:rsidRDefault="0061280B">
      <w:pPr>
        <w:pStyle w:val="ListParagraph"/>
        <w:numPr>
          <w:ilvl w:val="1"/>
          <w:numId w:val="1"/>
        </w:numPr>
        <w:tabs>
          <w:tab w:val="left" w:pos="871"/>
        </w:tabs>
        <w:spacing w:before="77"/>
        <w:ind w:left="871" w:hanging="436"/>
        <w:rPr>
          <w:sz w:val="18"/>
        </w:rPr>
      </w:pPr>
      <w:r>
        <w:rPr>
          <w:sz w:val="18"/>
        </w:rPr>
        <w:t>Galvaniska Cu/</w:t>
      </w:r>
      <w:proofErr w:type="spellStart"/>
      <w:r>
        <w:rPr>
          <w:sz w:val="18"/>
        </w:rPr>
        <w:t>Sn</w:t>
      </w:r>
      <w:proofErr w:type="spellEnd"/>
      <w:r>
        <w:rPr>
          <w:sz w:val="18"/>
        </w:rPr>
        <w:t>-beläggningar på den yttre ytan</w:t>
      </w:r>
    </w:p>
    <w:p w14:paraId="2A9F15EC" w14:textId="77777777" w:rsidR="00D21EA2" w:rsidRPr="003A3CEF" w:rsidRDefault="0061280B">
      <w:pPr>
        <w:pStyle w:val="BodyText"/>
        <w:spacing w:before="78" w:line="249" w:lineRule="auto"/>
        <w:ind w:right="106"/>
        <w:jc w:val="both"/>
      </w:pPr>
      <w:r>
        <w:t xml:space="preserve">Komponenter tillverkade av alla metalliska material enligt punkt 2 Material för armaturer, </w:t>
      </w:r>
      <w:r>
        <w:t>röranslutningar, apparater och pumpar (B) samt för komponenter i armaturer, röranslutningar, apparater och pumpar (C) i denna positivlista kan galvaniseras med en Cu/</w:t>
      </w:r>
      <w:proofErr w:type="spellStart"/>
      <w:r>
        <w:t>Sn</w:t>
      </w:r>
      <w:proofErr w:type="spellEnd"/>
      <w:r>
        <w:t>-beläggning.</w:t>
      </w:r>
    </w:p>
    <w:p w14:paraId="3418C46B" w14:textId="77777777" w:rsidR="00D21EA2" w:rsidRPr="003A3CEF" w:rsidRDefault="0061280B">
      <w:pPr>
        <w:pStyle w:val="BodyText"/>
        <w:spacing w:before="71"/>
      </w:pPr>
      <w:r>
        <w:t>Begränsningar</w:t>
      </w:r>
    </w:p>
    <w:p w14:paraId="353413DD" w14:textId="77777777" w:rsidR="00D21EA2" w:rsidRPr="003A3CEF" w:rsidRDefault="0061280B">
      <w:pPr>
        <w:pStyle w:val="ListParagraph"/>
        <w:numPr>
          <w:ilvl w:val="2"/>
          <w:numId w:val="1"/>
        </w:numPr>
        <w:tabs>
          <w:tab w:val="left" w:pos="635"/>
        </w:tabs>
        <w:spacing w:before="77"/>
        <w:ind w:left="635" w:hanging="170"/>
        <w:jc w:val="left"/>
        <w:rPr>
          <w:sz w:val="18"/>
        </w:rPr>
      </w:pPr>
      <w:r>
        <w:rPr>
          <w:sz w:val="18"/>
        </w:rPr>
        <w:t>Beståndsdelar i Cu/</w:t>
      </w:r>
      <w:proofErr w:type="spellStart"/>
      <w:r>
        <w:rPr>
          <w:sz w:val="18"/>
        </w:rPr>
        <w:t>Sn</w:t>
      </w:r>
      <w:proofErr w:type="spellEnd"/>
      <w:r>
        <w:rPr>
          <w:sz w:val="18"/>
        </w:rPr>
        <w:t xml:space="preserve">-beläggningen: Cu 62 (± 1) % och </w:t>
      </w:r>
      <w:proofErr w:type="spellStart"/>
      <w:r>
        <w:rPr>
          <w:sz w:val="18"/>
        </w:rPr>
        <w:t>Sn</w:t>
      </w:r>
      <w:proofErr w:type="spellEnd"/>
      <w:r>
        <w:rPr>
          <w:sz w:val="18"/>
        </w:rPr>
        <w:t xml:space="preserve"> 38 (± 1) % (</w:t>
      </w:r>
      <w:proofErr w:type="spellStart"/>
      <w:r>
        <w:rPr>
          <w:sz w:val="18"/>
        </w:rPr>
        <w:t>molförhållande</w:t>
      </w:r>
      <w:proofErr w:type="spellEnd"/>
      <w:r>
        <w:rPr>
          <w:sz w:val="18"/>
        </w:rPr>
        <w:t xml:space="preserve"> 1:1) </w:t>
      </w:r>
    </w:p>
    <w:p w14:paraId="29EADAB5" w14:textId="77777777" w:rsidR="00D21EA2" w:rsidRPr="003A3CEF" w:rsidRDefault="0061280B">
      <w:pPr>
        <w:pStyle w:val="ListParagraph"/>
        <w:numPr>
          <w:ilvl w:val="2"/>
          <w:numId w:val="1"/>
        </w:numPr>
        <w:tabs>
          <w:tab w:val="left" w:pos="635"/>
        </w:tabs>
        <w:spacing w:before="78"/>
        <w:ind w:left="635" w:hanging="170"/>
        <w:jc w:val="left"/>
        <w:rPr>
          <w:sz w:val="18"/>
        </w:rPr>
      </w:pPr>
      <w:r>
        <w:rPr>
          <w:sz w:val="18"/>
        </w:rPr>
        <w:t>Renhet hos de använda anoderna: ≥ 99,90 %</w:t>
      </w:r>
    </w:p>
    <w:p w14:paraId="06C76EB2" w14:textId="77777777" w:rsidR="001D7495" w:rsidRPr="001D7495" w:rsidRDefault="0061280B">
      <w:pPr>
        <w:pStyle w:val="ListParagraph"/>
        <w:numPr>
          <w:ilvl w:val="2"/>
          <w:numId w:val="1"/>
        </w:numPr>
        <w:tabs>
          <w:tab w:val="left" w:pos="634"/>
        </w:tabs>
        <w:spacing w:before="77" w:line="328" w:lineRule="auto"/>
        <w:ind w:right="5492" w:firstLine="29"/>
        <w:jc w:val="left"/>
        <w:rPr>
          <w:sz w:val="18"/>
        </w:rPr>
      </w:pPr>
      <w:r>
        <w:rPr>
          <w:sz w:val="18"/>
        </w:rPr>
        <w:t xml:space="preserve">Produktionsmetod för beläggningar: galvanisering </w:t>
      </w:r>
    </w:p>
    <w:p w14:paraId="31D507EE" w14:textId="400479F4" w:rsidR="00D21EA2" w:rsidRPr="003A3CEF" w:rsidRDefault="0061280B" w:rsidP="001D7495">
      <w:pPr>
        <w:pStyle w:val="ListParagraph"/>
        <w:tabs>
          <w:tab w:val="left" w:pos="634"/>
        </w:tabs>
        <w:spacing w:before="0" w:line="329" w:lineRule="auto"/>
        <w:ind w:left="465" w:right="79" w:firstLine="0"/>
        <w:jc w:val="left"/>
        <w:rPr>
          <w:sz w:val="18"/>
        </w:rPr>
      </w:pPr>
      <w:r>
        <w:rPr>
          <w:sz w:val="18"/>
        </w:rPr>
        <w:t>Ytterligare krav</w:t>
      </w:r>
    </w:p>
    <w:p w14:paraId="549DF573" w14:textId="77777777" w:rsidR="00D21EA2" w:rsidRPr="003A3CEF" w:rsidRDefault="0061280B">
      <w:pPr>
        <w:pStyle w:val="BodyText"/>
        <w:spacing w:before="3" w:line="249" w:lineRule="auto"/>
        <w:ind w:right="106"/>
        <w:jc w:val="both"/>
      </w:pPr>
      <w:r>
        <w:t>Det måste påvisas för respektive produktionsprocess att f</w:t>
      </w:r>
      <w:r>
        <w:t xml:space="preserve">ärdigprodukterna inte har förorenats av organiska och oorganiska substanser som har tillsatts i det galvaniska badet. Detta kan påvisas genom ett migrationstest enligt DIN EN </w:t>
      </w:r>
      <w:proofErr w:type="gramStart"/>
      <w:r>
        <w:t>12873-1</w:t>
      </w:r>
      <w:proofErr w:type="gramEnd"/>
      <w:r>
        <w:t>.</w:t>
      </w:r>
    </w:p>
    <w:p w14:paraId="4ADE1B43" w14:textId="4DA0ECB6" w:rsidR="00D21EA2" w:rsidRPr="003A3CEF" w:rsidRDefault="0061280B">
      <w:pPr>
        <w:pStyle w:val="BodyText"/>
        <w:spacing w:before="70" w:line="249" w:lineRule="auto"/>
        <w:ind w:right="106"/>
        <w:jc w:val="both"/>
      </w:pPr>
      <w:r>
        <w:t>Beviset kan tillhandahållas inom ramen för ett tillstånds- eller certifi</w:t>
      </w:r>
      <w:r>
        <w:t>eringsförfarande. Vid ett sådant förfarande krävs inte en kontroll av metallutfällningen. Vidare krävs ett kvalitetssäkringssystem för produktionsprocessen.</w:t>
      </w:r>
    </w:p>
    <w:p w14:paraId="45C8B50D" w14:textId="77777777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72" w:line="249" w:lineRule="auto"/>
        <w:ind w:right="106" w:hanging="319"/>
        <w:jc w:val="both"/>
        <w:rPr>
          <w:sz w:val="18"/>
        </w:rPr>
      </w:pPr>
      <w:r>
        <w:rPr>
          <w:sz w:val="18"/>
        </w:rPr>
        <w:t>I bilagan ”Positivlista över metalliska material som lämpar sig för dricksvattenhygien” ska materia</w:t>
      </w:r>
      <w:r>
        <w:rPr>
          <w:sz w:val="18"/>
        </w:rPr>
        <w:t>len ”NiCr8020” och ”</w:t>
      </w:r>
      <w:proofErr w:type="spellStart"/>
      <w:r>
        <w:rPr>
          <w:sz w:val="18"/>
        </w:rPr>
        <w:t>TaCr</w:t>
      </w:r>
      <w:proofErr w:type="spellEnd"/>
      <w:r>
        <w:rPr>
          <w:sz w:val="18"/>
        </w:rPr>
        <w:t>” kompletteras i punkt 4 enligt följande:</w:t>
      </w:r>
    </w:p>
    <w:p w14:paraId="3FD69A26" w14:textId="1D18AA04" w:rsidR="00D21EA2" w:rsidRPr="003A3CEF" w:rsidRDefault="0061280B">
      <w:pPr>
        <w:pStyle w:val="BodyText"/>
        <w:spacing w:before="70"/>
        <w:jc w:val="both"/>
      </w:pPr>
      <w:r>
        <w:t>4.3.2 NiCr8020</w:t>
      </w:r>
    </w:p>
    <w:p w14:paraId="26E489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65002740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8728092" w14:textId="77777777" w:rsidR="00D21EA2" w:rsidRPr="003A3CEF" w:rsidRDefault="0061280B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Beteckning:</w:t>
            </w:r>
          </w:p>
        </w:tc>
        <w:tc>
          <w:tcPr>
            <w:tcW w:w="2679" w:type="dxa"/>
            <w:tcBorders>
              <w:right w:val="nil"/>
            </w:tcBorders>
          </w:tcPr>
          <w:p w14:paraId="4BBB217A" w14:textId="77777777" w:rsidR="00D21EA2" w:rsidRPr="003A3CEF" w:rsidRDefault="0061280B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Produktgrupp</w:t>
            </w:r>
          </w:p>
        </w:tc>
      </w:tr>
      <w:tr w:rsidR="00D21EA2" w:rsidRPr="003A3CEF" w14:paraId="6682B54C" w14:textId="77777777">
        <w:trPr>
          <w:trHeight w:val="317"/>
        </w:trPr>
        <w:tc>
          <w:tcPr>
            <w:tcW w:w="2668" w:type="dxa"/>
            <w:tcBorders>
              <w:left w:val="nil"/>
            </w:tcBorders>
          </w:tcPr>
          <w:p w14:paraId="51EEAB99" w14:textId="77777777" w:rsidR="00D21EA2" w:rsidRPr="003A3CEF" w:rsidRDefault="0061280B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NiCr8020</w:t>
            </w:r>
          </w:p>
        </w:tc>
        <w:tc>
          <w:tcPr>
            <w:tcW w:w="2679" w:type="dxa"/>
            <w:tcBorders>
              <w:right w:val="nil"/>
            </w:tcBorders>
          </w:tcPr>
          <w:p w14:paraId="4C39F542" w14:textId="77777777" w:rsidR="00D21EA2" w:rsidRPr="003A3CEF" w:rsidRDefault="0061280B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B–D</w:t>
            </w:r>
          </w:p>
        </w:tc>
      </w:tr>
    </w:tbl>
    <w:p w14:paraId="3F721A06" w14:textId="77777777" w:rsidR="00D21EA2" w:rsidRPr="003A3CEF" w:rsidRDefault="0061280B">
      <w:pPr>
        <w:pStyle w:val="BodyText"/>
        <w:spacing w:before="117"/>
        <w:jc w:val="both"/>
      </w:pPr>
      <w:r>
        <w:t>Legeringsbeståndsdelar (% (m/m)):</w:t>
      </w:r>
    </w:p>
    <w:p w14:paraId="175D23DC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94"/>
        <w:gridCol w:w="1600"/>
      </w:tblGrid>
      <w:tr w:rsidR="00D21EA2" w:rsidRPr="003A3CEF" w14:paraId="08EB271E" w14:textId="77777777">
        <w:trPr>
          <w:trHeight w:val="216"/>
        </w:trPr>
        <w:tc>
          <w:tcPr>
            <w:tcW w:w="1588" w:type="dxa"/>
            <w:tcBorders>
              <w:left w:val="nil"/>
            </w:tcBorders>
          </w:tcPr>
          <w:p w14:paraId="6B3573EE" w14:textId="77777777" w:rsidR="00D21EA2" w:rsidRPr="003A3CEF" w:rsidRDefault="0061280B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594" w:type="dxa"/>
          </w:tcPr>
          <w:p w14:paraId="7CAD5676" w14:textId="77777777" w:rsidR="00D21EA2" w:rsidRPr="003A3CEF" w:rsidRDefault="006128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600" w:type="dxa"/>
            <w:tcBorders>
              <w:right w:val="nil"/>
            </w:tcBorders>
          </w:tcPr>
          <w:p w14:paraId="20DAE761" w14:textId="77777777" w:rsidR="00D21EA2" w:rsidRPr="003A3CEF" w:rsidRDefault="0061280B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4AA3A126" w14:textId="77777777">
        <w:trPr>
          <w:trHeight w:val="316"/>
        </w:trPr>
        <w:tc>
          <w:tcPr>
            <w:tcW w:w="1588" w:type="dxa"/>
            <w:tcBorders>
              <w:left w:val="nil"/>
            </w:tcBorders>
          </w:tcPr>
          <w:p w14:paraId="40486A30" w14:textId="77777777" w:rsidR="00D21EA2" w:rsidRPr="003A3CEF" w:rsidRDefault="0061280B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≥ 75,0 %</w:t>
            </w:r>
          </w:p>
        </w:tc>
        <w:tc>
          <w:tcPr>
            <w:tcW w:w="1594" w:type="dxa"/>
          </w:tcPr>
          <w:p w14:paraId="351E876F" w14:textId="77777777" w:rsidR="00D21EA2" w:rsidRPr="003A3CEF" w:rsidRDefault="0061280B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19,0 %–21,0 %</w:t>
            </w:r>
          </w:p>
        </w:tc>
        <w:tc>
          <w:tcPr>
            <w:tcW w:w="1600" w:type="dxa"/>
            <w:tcBorders>
              <w:right w:val="nil"/>
            </w:tcBorders>
          </w:tcPr>
          <w:p w14:paraId="6F3E788D" w14:textId="77777777" w:rsidR="00D21EA2" w:rsidRPr="003A3CEF" w:rsidRDefault="0061280B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0,50 %–2,0 %</w:t>
            </w:r>
          </w:p>
        </w:tc>
      </w:tr>
    </w:tbl>
    <w:p w14:paraId="026A0640" w14:textId="77777777" w:rsidR="00D21EA2" w:rsidRPr="003A3CEF" w:rsidRDefault="0061280B">
      <w:pPr>
        <w:pStyle w:val="BodyText"/>
        <w:spacing w:before="118"/>
        <w:jc w:val="both"/>
      </w:pPr>
      <w:r>
        <w:t>Oundvikliga spårämnen (% (m/m)):</w:t>
      </w:r>
    </w:p>
    <w:p w14:paraId="387E77C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21EA2" w:rsidRPr="003A3CEF" w14:paraId="73576BFA" w14:textId="77777777">
        <w:trPr>
          <w:trHeight w:val="216"/>
        </w:trPr>
        <w:tc>
          <w:tcPr>
            <w:tcW w:w="1029" w:type="dxa"/>
            <w:tcBorders>
              <w:left w:val="nil"/>
            </w:tcBorders>
          </w:tcPr>
          <w:p w14:paraId="66C4EAEC" w14:textId="77777777" w:rsidR="00D21EA2" w:rsidRPr="003A3CEF" w:rsidRDefault="0061280B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035" w:type="dxa"/>
          </w:tcPr>
          <w:p w14:paraId="2B755F57" w14:textId="77777777" w:rsidR="00D21EA2" w:rsidRPr="003A3CEF" w:rsidRDefault="006128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035" w:type="dxa"/>
          </w:tcPr>
          <w:p w14:paraId="50D74CE5" w14:textId="77777777" w:rsidR="00D21EA2" w:rsidRPr="003A3CEF" w:rsidRDefault="0061280B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1035" w:type="dxa"/>
          </w:tcPr>
          <w:p w14:paraId="6EADC12F" w14:textId="77777777" w:rsidR="00D21EA2" w:rsidRPr="003A3CEF" w:rsidRDefault="0061280B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035" w:type="dxa"/>
          </w:tcPr>
          <w:p w14:paraId="1AD919AB" w14:textId="77777777" w:rsidR="00D21EA2" w:rsidRPr="003A3CEF" w:rsidRDefault="0061280B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035" w:type="dxa"/>
          </w:tcPr>
          <w:p w14:paraId="15BA76B0" w14:textId="77777777" w:rsidR="00D21EA2" w:rsidRPr="003A3CEF" w:rsidRDefault="0061280B">
            <w:pPr>
              <w:pStyle w:val="TableParagraph"/>
              <w:ind w:lef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Mn</w:t>
            </w:r>
            <w:proofErr w:type="spellEnd"/>
          </w:p>
        </w:tc>
        <w:tc>
          <w:tcPr>
            <w:tcW w:w="1035" w:type="dxa"/>
          </w:tcPr>
          <w:p w14:paraId="2D67EEF1" w14:textId="77777777" w:rsidR="00D21EA2" w:rsidRPr="003A3CEF" w:rsidRDefault="0061280B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35" w:type="dxa"/>
          </w:tcPr>
          <w:p w14:paraId="07466574" w14:textId="77777777" w:rsidR="00D21EA2" w:rsidRPr="003A3CEF" w:rsidRDefault="0061280B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41" w:type="dxa"/>
            <w:tcBorders>
              <w:right w:val="nil"/>
            </w:tcBorders>
          </w:tcPr>
          <w:p w14:paraId="32AEB4B6" w14:textId="77777777" w:rsidR="00D21EA2" w:rsidRPr="003A3CEF" w:rsidRDefault="0061280B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</w:tr>
      <w:tr w:rsidR="00D21EA2" w:rsidRPr="003A3CEF" w14:paraId="35DC2FE1" w14:textId="77777777">
        <w:trPr>
          <w:trHeight w:val="316"/>
        </w:trPr>
        <w:tc>
          <w:tcPr>
            <w:tcW w:w="1029" w:type="dxa"/>
            <w:tcBorders>
              <w:left w:val="nil"/>
            </w:tcBorders>
          </w:tcPr>
          <w:p w14:paraId="7BD6490F" w14:textId="77777777" w:rsidR="00D21EA2" w:rsidRPr="003A3CEF" w:rsidRDefault="0061280B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≤ 0,30 %</w:t>
            </w:r>
          </w:p>
        </w:tc>
        <w:tc>
          <w:tcPr>
            <w:tcW w:w="1035" w:type="dxa"/>
          </w:tcPr>
          <w:p w14:paraId="66BDAC5F" w14:textId="77777777" w:rsidR="00D21EA2" w:rsidRPr="003A3CEF" w:rsidRDefault="0061280B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0,15 %</w:t>
            </w:r>
          </w:p>
        </w:tc>
        <w:tc>
          <w:tcPr>
            <w:tcW w:w="1035" w:type="dxa"/>
          </w:tcPr>
          <w:p w14:paraId="158AB652" w14:textId="77777777" w:rsidR="00D21EA2" w:rsidRPr="003A3CEF" w:rsidRDefault="0061280B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1,5 %</w:t>
            </w:r>
          </w:p>
        </w:tc>
        <w:tc>
          <w:tcPr>
            <w:tcW w:w="1035" w:type="dxa"/>
          </w:tcPr>
          <w:p w14:paraId="05811A4B" w14:textId="77777777" w:rsidR="00D21EA2" w:rsidRPr="003A3CEF" w:rsidRDefault="0061280B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0,50 %</w:t>
            </w:r>
          </w:p>
        </w:tc>
        <w:tc>
          <w:tcPr>
            <w:tcW w:w="1035" w:type="dxa"/>
          </w:tcPr>
          <w:p w14:paraId="44DA730E" w14:textId="77777777" w:rsidR="00D21EA2" w:rsidRPr="003A3CEF" w:rsidRDefault="0061280B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1,0 %</w:t>
            </w:r>
          </w:p>
        </w:tc>
        <w:tc>
          <w:tcPr>
            <w:tcW w:w="1035" w:type="dxa"/>
          </w:tcPr>
          <w:p w14:paraId="0B7CC8B0" w14:textId="77777777" w:rsidR="00D21EA2" w:rsidRPr="003A3CEF" w:rsidRDefault="0061280B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1,00 %</w:t>
            </w:r>
          </w:p>
        </w:tc>
        <w:tc>
          <w:tcPr>
            <w:tcW w:w="1035" w:type="dxa"/>
          </w:tcPr>
          <w:p w14:paraId="4D2BD14B" w14:textId="77777777" w:rsidR="00D21EA2" w:rsidRPr="003A3CEF" w:rsidRDefault="0061280B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0,020 %</w:t>
            </w:r>
          </w:p>
        </w:tc>
        <w:tc>
          <w:tcPr>
            <w:tcW w:w="1035" w:type="dxa"/>
          </w:tcPr>
          <w:p w14:paraId="2508FD6B" w14:textId="77777777" w:rsidR="00D21EA2" w:rsidRPr="003A3CEF" w:rsidRDefault="0061280B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0,015 %</w:t>
            </w:r>
          </w:p>
        </w:tc>
        <w:tc>
          <w:tcPr>
            <w:tcW w:w="1041" w:type="dxa"/>
            <w:tcBorders>
              <w:right w:val="nil"/>
            </w:tcBorders>
          </w:tcPr>
          <w:p w14:paraId="64EEBD2C" w14:textId="77777777" w:rsidR="00D21EA2" w:rsidRPr="003A3CEF" w:rsidRDefault="0061280B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</w:tr>
    </w:tbl>
    <w:p w14:paraId="5B259DFB" w14:textId="70FF6A52" w:rsidR="00D21EA2" w:rsidRPr="003A3CEF" w:rsidRDefault="0061280B">
      <w:pPr>
        <w:pStyle w:val="BodyText"/>
        <w:spacing w:before="118"/>
        <w:jc w:val="both"/>
      </w:pPr>
      <w:r>
        <w:t xml:space="preserve">4.3.9 </w:t>
      </w:r>
      <w:proofErr w:type="spellStart"/>
      <w:r>
        <w:t>TaCr</w:t>
      </w:r>
      <w:proofErr w:type="spellEnd"/>
    </w:p>
    <w:p w14:paraId="4D2A9ED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247D2F0E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771BA2B2" w14:textId="77777777" w:rsidR="00D21EA2" w:rsidRPr="003A3CEF" w:rsidRDefault="0061280B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Beteckning:</w:t>
            </w:r>
          </w:p>
        </w:tc>
        <w:tc>
          <w:tcPr>
            <w:tcW w:w="2679" w:type="dxa"/>
            <w:tcBorders>
              <w:right w:val="nil"/>
            </w:tcBorders>
          </w:tcPr>
          <w:p w14:paraId="7A3D80A5" w14:textId="77777777" w:rsidR="00D21EA2" w:rsidRPr="003A3CEF" w:rsidRDefault="0061280B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Produktgrupp</w:t>
            </w:r>
          </w:p>
        </w:tc>
      </w:tr>
      <w:tr w:rsidR="00D21EA2" w:rsidRPr="003A3CEF" w14:paraId="10B3525B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1830253" w14:textId="77777777" w:rsidR="00D21EA2" w:rsidRPr="003A3CEF" w:rsidRDefault="0061280B">
            <w:pPr>
              <w:pStyle w:val="TableParagraph"/>
              <w:spacing w:before="76"/>
              <w:rPr>
                <w:sz w:val="18"/>
              </w:rPr>
            </w:pPr>
            <w:proofErr w:type="spellStart"/>
            <w:r>
              <w:rPr>
                <w:sz w:val="18"/>
              </w:rPr>
              <w:t>TaCr</w:t>
            </w:r>
            <w:proofErr w:type="spellEnd"/>
          </w:p>
        </w:tc>
        <w:tc>
          <w:tcPr>
            <w:tcW w:w="2679" w:type="dxa"/>
            <w:tcBorders>
              <w:right w:val="nil"/>
            </w:tcBorders>
          </w:tcPr>
          <w:p w14:paraId="49FD2CFA" w14:textId="77777777" w:rsidR="00D21EA2" w:rsidRPr="003A3CEF" w:rsidRDefault="0061280B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C och D</w:t>
            </w:r>
          </w:p>
        </w:tc>
      </w:tr>
    </w:tbl>
    <w:p w14:paraId="4A6B373D" w14:textId="77777777" w:rsidR="00D21EA2" w:rsidRPr="003A3CEF" w:rsidRDefault="0061280B">
      <w:pPr>
        <w:pStyle w:val="BodyText"/>
        <w:spacing w:before="118"/>
        <w:jc w:val="both"/>
      </w:pPr>
      <w:r>
        <w:t>Legeringsbeståndsdelar (% (m/m)):</w:t>
      </w:r>
    </w:p>
    <w:p w14:paraId="0E32F2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01DFE65B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5384924F" w14:textId="77777777" w:rsidR="00D21EA2" w:rsidRPr="003A3CEF" w:rsidRDefault="0061280B">
            <w:pPr>
              <w:pStyle w:val="TableParagraph"/>
              <w:ind w:right="1258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</w:p>
        </w:tc>
        <w:tc>
          <w:tcPr>
            <w:tcW w:w="2679" w:type="dxa"/>
            <w:tcBorders>
              <w:right w:val="nil"/>
            </w:tcBorders>
          </w:tcPr>
          <w:p w14:paraId="1FEDD3B7" w14:textId="77777777" w:rsidR="00D21EA2" w:rsidRPr="003A3CEF" w:rsidRDefault="0061280B">
            <w:pPr>
              <w:pStyle w:val="TableParagraph"/>
              <w:ind w:right="123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Cr</w:t>
            </w:r>
            <w:proofErr w:type="spellEnd"/>
          </w:p>
        </w:tc>
      </w:tr>
      <w:tr w:rsidR="00D21EA2" w:rsidRPr="003A3CEF" w14:paraId="10D1E257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0594E07E" w14:textId="77777777" w:rsidR="00D21EA2" w:rsidRPr="003A3CEF" w:rsidRDefault="0061280B">
            <w:pPr>
              <w:pStyle w:val="TableParagraph"/>
              <w:spacing w:before="76"/>
              <w:ind w:right="1267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74,7 %–80,7 %</w:t>
            </w:r>
          </w:p>
        </w:tc>
        <w:tc>
          <w:tcPr>
            <w:tcW w:w="2679" w:type="dxa"/>
            <w:tcBorders>
              <w:right w:val="nil"/>
            </w:tcBorders>
          </w:tcPr>
          <w:p w14:paraId="3B74F46E" w14:textId="77777777" w:rsidR="00D21EA2" w:rsidRPr="003A3CEF" w:rsidRDefault="0061280B">
            <w:pPr>
              <w:pStyle w:val="TableParagraph"/>
              <w:spacing w:before="76"/>
              <w:ind w:right="1240"/>
              <w:jc w:val="right"/>
              <w:rPr>
                <w:sz w:val="18"/>
              </w:rPr>
            </w:pPr>
            <w:r>
              <w:rPr>
                <w:sz w:val="18"/>
              </w:rPr>
              <w:t>19,3 %–25,3 %</w:t>
            </w:r>
          </w:p>
        </w:tc>
      </w:tr>
    </w:tbl>
    <w:p w14:paraId="5EE4EB9C" w14:textId="13FC0156" w:rsidR="00D21EA2" w:rsidRPr="003A3CEF" w:rsidRDefault="0061280B">
      <w:pPr>
        <w:pStyle w:val="ListParagraph"/>
        <w:numPr>
          <w:ilvl w:val="0"/>
          <w:numId w:val="4"/>
        </w:numPr>
        <w:tabs>
          <w:tab w:val="left" w:pos="435"/>
        </w:tabs>
        <w:spacing w:before="118" w:line="249" w:lineRule="auto"/>
        <w:ind w:right="106" w:hanging="319"/>
        <w:jc w:val="both"/>
        <w:rPr>
          <w:sz w:val="18"/>
        </w:rPr>
      </w:pPr>
      <w:r>
        <w:rPr>
          <w:sz w:val="18"/>
        </w:rPr>
        <w:t>I bilagan ”Positivlista över metalliska material som är lämpliga för dricksvattenhygien” leder införandet av de nya materialen under punkterna 4.3.2 och 4.3.9 till förskjutning av de ytterligare numreringarna i punkt 4.</w:t>
      </w:r>
    </w:p>
    <w:p w14:paraId="33544368" w14:textId="77777777" w:rsidR="00D21EA2" w:rsidRPr="003A3CEF" w:rsidRDefault="0061280B" w:rsidP="007B018D">
      <w:pPr>
        <w:pStyle w:val="BodyText"/>
        <w:keepNext/>
        <w:keepLines/>
        <w:spacing w:before="101"/>
        <w:ind w:left="1690" w:right="1684"/>
        <w:jc w:val="center"/>
      </w:pPr>
      <w:r>
        <w:t>II.</w:t>
      </w:r>
    </w:p>
    <w:p w14:paraId="42AAAE92" w14:textId="77777777" w:rsidR="00D21EA2" w:rsidRPr="003A3CEF" w:rsidRDefault="0061280B" w:rsidP="007B018D">
      <w:pPr>
        <w:pStyle w:val="BodyText"/>
        <w:keepNext/>
        <w:keepLines/>
        <w:spacing w:before="73"/>
        <w:ind w:left="1690" w:right="1684"/>
        <w:jc w:val="center"/>
      </w:pPr>
      <w:r>
        <w:t>Ikraftträdande</w:t>
      </w:r>
    </w:p>
    <w:p w14:paraId="28F7DCF3" w14:textId="77777777" w:rsidR="00D21EA2" w:rsidRPr="003A3CEF" w:rsidRDefault="0061280B">
      <w:pPr>
        <w:pStyle w:val="BodyText"/>
        <w:spacing w:before="73"/>
        <w:ind w:left="113"/>
      </w:pPr>
      <w:r>
        <w:t>Dessa ändringar träder i kraft dagen efter det att de har offentliggjorts i Tysklands officiella tidning.</w:t>
      </w:r>
    </w:p>
    <w:p w14:paraId="47E41BD0" w14:textId="77777777" w:rsidR="00D21EA2" w:rsidRPr="003A3CEF" w:rsidRDefault="00D21EA2">
      <w:pPr>
        <w:pStyle w:val="BodyText"/>
        <w:spacing w:before="14"/>
        <w:ind w:left="0"/>
      </w:pPr>
    </w:p>
    <w:p w14:paraId="150BC39F" w14:textId="77777777" w:rsidR="00D21EA2" w:rsidRPr="003A3CEF" w:rsidRDefault="0061280B">
      <w:pPr>
        <w:pStyle w:val="BodyText"/>
        <w:spacing w:before="1"/>
        <w:ind w:left="113"/>
      </w:pPr>
      <w:r>
        <w:t>Dessau-</w:t>
      </w:r>
      <w:proofErr w:type="spellStart"/>
      <w:r>
        <w:t>Roßlau</w:t>
      </w:r>
      <w:proofErr w:type="spellEnd"/>
      <w:r>
        <w:t xml:space="preserve"> den 10 juni 2024</w:t>
      </w:r>
    </w:p>
    <w:p w14:paraId="698C0C34" w14:textId="77777777" w:rsidR="00634AF4" w:rsidRDefault="0061280B">
      <w:pPr>
        <w:pStyle w:val="BodyText"/>
        <w:spacing w:before="2" w:line="320" w:lineRule="atLeast"/>
        <w:ind w:left="4078" w:right="4071"/>
        <w:jc w:val="center"/>
      </w:pPr>
      <w:r>
        <w:t>Federala Miljöbyrån</w:t>
      </w:r>
    </w:p>
    <w:p w14:paraId="7F5C620E" w14:textId="09C1C415" w:rsidR="00D21EA2" w:rsidRPr="003A3CEF" w:rsidRDefault="0061280B">
      <w:pPr>
        <w:pStyle w:val="BodyText"/>
        <w:spacing w:before="2" w:line="320" w:lineRule="atLeast"/>
        <w:ind w:left="4078" w:right="4071"/>
        <w:jc w:val="center"/>
      </w:pPr>
      <w:r>
        <w:t>Ordförande</w:t>
      </w:r>
    </w:p>
    <w:p w14:paraId="162AB53D" w14:textId="77777777" w:rsidR="00D21EA2" w:rsidRPr="003A3CEF" w:rsidRDefault="0061280B">
      <w:pPr>
        <w:pStyle w:val="BodyText"/>
        <w:spacing w:before="11"/>
        <w:ind w:left="1691" w:right="1687"/>
        <w:jc w:val="center"/>
      </w:pPr>
      <w:r>
        <w:t>Prof. Dr. Dirk Messner</w:t>
      </w:r>
    </w:p>
    <w:sectPr w:rsidR="00D21EA2" w:rsidRPr="003A3CEF" w:rsidSect="001D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0" w:right="1040" w:bottom="560" w:left="1020" w:header="21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6820" w14:textId="77777777" w:rsidR="0061280B" w:rsidRDefault="0061280B">
      <w:r>
        <w:separator/>
      </w:r>
    </w:p>
  </w:endnote>
  <w:endnote w:type="continuationSeparator" w:id="0">
    <w:p w14:paraId="3F20314E" w14:textId="77777777" w:rsidR="0061280B" w:rsidRDefault="0061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DF6" w14:textId="77777777" w:rsidR="00C532D2" w:rsidRDefault="00C5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B22" w14:textId="6C49A03A" w:rsidR="00D21EA2" w:rsidRPr="003A3CEF" w:rsidRDefault="00D21EA2" w:rsidP="003A3CEF">
    <w:pPr>
      <w:pStyle w:val="Footer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FB1" w14:textId="77777777" w:rsidR="00C532D2" w:rsidRDefault="00C5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15B9" w14:textId="77777777" w:rsidR="0061280B" w:rsidRDefault="0061280B">
      <w:r>
        <w:separator/>
      </w:r>
    </w:p>
  </w:footnote>
  <w:footnote w:type="continuationSeparator" w:id="0">
    <w:p w14:paraId="296E3169" w14:textId="77777777" w:rsidR="0061280B" w:rsidRDefault="0061280B">
      <w:r>
        <w:continuationSeparator/>
      </w:r>
    </w:p>
  </w:footnote>
  <w:footnote w:id="1">
    <w:p w14:paraId="5DCD95D2" w14:textId="4362685C" w:rsidR="00C752E8" w:rsidRPr="00C752E8" w:rsidRDefault="00C752E8" w:rsidP="001D749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>Anmält i enlighet med Europaparlamentets och rådets direktiv (EU) 2015/1535 av den 9 september 2015 om ett informationsförfarande beträffande tekniska föreskrifter och beträffande föreskrifter för informationssamhällets tjänster (EUT L 241 av den 17 september 2015, s. 1).</w:t>
      </w:r>
    </w:p>
  </w:footnote>
  <w:footnote w:id="2">
    <w:p w14:paraId="3A83F447" w14:textId="314A66C4" w:rsidR="00C752E8" w:rsidRPr="00C752E8" w:rsidRDefault="00C752E8" w:rsidP="00C532D2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>Anmäl som 2024/0103/D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4" w14:textId="77777777" w:rsidR="00C532D2" w:rsidRDefault="00C5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9" w:type="dxa"/>
      <w:tblInd w:w="-3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038"/>
    </w:tblGrid>
    <w:tr w:rsidR="003A3CEF" w14:paraId="6CC6DA98" w14:textId="77777777" w:rsidTr="003A3CEF">
      <w:tc>
        <w:tcPr>
          <w:tcW w:w="5671" w:type="dxa"/>
        </w:tcPr>
        <w:p w14:paraId="42A6BE2B" w14:textId="77777777" w:rsidR="003A3CEF" w:rsidRPr="00644B9C" w:rsidRDefault="003A3CEF" w:rsidP="003A3CEF">
          <w:pPr>
            <w:ind w:left="1024"/>
            <w:rPr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6C6AFDA4" wp14:editId="5F916AA5">
                <wp:simplePos x="0" y="0"/>
                <wp:positionH relativeFrom="page">
                  <wp:posOffset>67310</wp:posOffset>
                </wp:positionH>
                <wp:positionV relativeFrom="page">
                  <wp:posOffset>133985</wp:posOffset>
                </wp:positionV>
                <wp:extent cx="600075" cy="535305"/>
                <wp:effectExtent l="0" t="0" r="9525" b="0"/>
                <wp:wrapNone/>
                <wp:docPr id="409679989" name="Image 1" descr="A black and white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black and white text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80812"/>
                        <a:stretch/>
                      </pic:blipFill>
                      <pic:spPr bwMode="auto">
                        <a:xfrm>
                          <a:off x="0" y="0"/>
                          <a:ext cx="60007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sz w:val="48"/>
            </w:rPr>
            <w:t>Tysklands officiella tidning</w:t>
          </w:r>
        </w:p>
        <w:p w14:paraId="11DA4879" w14:textId="77777777" w:rsidR="003A3CEF" w:rsidRPr="007B018D" w:rsidRDefault="003A3CEF" w:rsidP="003A3CEF">
          <w:pPr>
            <w:ind w:left="1024"/>
            <w:rPr>
              <w:sz w:val="20"/>
              <w:szCs w:val="20"/>
            </w:rPr>
          </w:pPr>
          <w:r>
            <w:rPr>
              <w:sz w:val="20"/>
            </w:rPr>
            <w:t>Offentliggjord av</w:t>
          </w:r>
          <w:r>
            <w:rPr>
              <w:sz w:val="20"/>
            </w:rPr>
            <w:br/>
            <w:t>Förbundsjustitieministeriet</w:t>
          </w:r>
        </w:p>
        <w:p w14:paraId="4FF48002" w14:textId="17CB5157" w:rsidR="003A3CEF" w:rsidRDefault="0061280B" w:rsidP="003A3CEF">
          <w:pPr>
            <w:pStyle w:val="Header"/>
            <w:spacing w:after="120"/>
            <w:ind w:left="1026"/>
          </w:pPr>
          <w:hyperlink r:id="rId2" w:history="1">
            <w:r w:rsidR="003A3CEF">
              <w:rPr>
                <w:rStyle w:val="Hyperlink"/>
                <w:b/>
                <w:sz w:val="16"/>
              </w:rPr>
              <w:t>www.bundesanzeiger.de</w:t>
            </w:r>
          </w:hyperlink>
        </w:p>
      </w:tc>
      <w:tc>
        <w:tcPr>
          <w:tcW w:w="5038" w:type="dxa"/>
        </w:tcPr>
        <w:p w14:paraId="68B535B3" w14:textId="77777777" w:rsidR="003A3CEF" w:rsidRDefault="003A3CEF" w:rsidP="003A3CEF">
          <w:pPr>
            <w:spacing w:before="45"/>
            <w:ind w:left="20"/>
            <w:rPr>
              <w:b/>
              <w:sz w:val="32"/>
            </w:rPr>
          </w:pPr>
          <w:r>
            <w:rPr>
              <w:b/>
              <w:sz w:val="32"/>
            </w:rPr>
            <w:t>Offentliggörande</w:t>
          </w:r>
        </w:p>
        <w:p w14:paraId="67575A73" w14:textId="77777777" w:rsidR="003A3CEF" w:rsidRDefault="003A3CEF" w:rsidP="003A3CEF">
          <w:pPr>
            <w:pStyle w:val="BodyText"/>
            <w:spacing w:before="80"/>
            <w:ind w:left="20"/>
          </w:pPr>
          <w:r>
            <w:t>Offentliggjord fredagen den 21 juni 2024</w:t>
          </w:r>
        </w:p>
        <w:p w14:paraId="0AD9F43D" w14:textId="1D35E2BE" w:rsidR="003A3CEF" w:rsidRDefault="003A3CEF" w:rsidP="003A3CEF">
          <w:pPr>
            <w:pStyle w:val="BodyText"/>
            <w:spacing w:before="80"/>
            <w:ind w:left="20"/>
          </w:pPr>
          <w:r>
            <w:t>Tysklands officiella tidning AT 21.6.2024 B10</w:t>
          </w:r>
        </w:p>
        <w:p w14:paraId="71DFAFDB" w14:textId="667B8453" w:rsidR="003A3CEF" w:rsidRPr="003A3CEF" w:rsidRDefault="003A3CEF" w:rsidP="003A3CEF">
          <w:pPr>
            <w:pStyle w:val="Header"/>
            <w:spacing w:before="80"/>
            <w:ind w:left="20"/>
            <w:rPr>
              <w:sz w:val="18"/>
              <w:szCs w:val="18"/>
            </w:rPr>
          </w:pPr>
          <w:r>
            <w:rPr>
              <w:sz w:val="18"/>
            </w:rPr>
            <w:t xml:space="preserve">Sida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PAGE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1</w:t>
          </w:r>
          <w:r w:rsidRPr="003A3CEF"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NUMPAGES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5</w:t>
          </w:r>
          <w:r w:rsidRPr="003A3CEF">
            <w:rPr>
              <w:sz w:val="18"/>
            </w:rPr>
            <w:fldChar w:fldCharType="end"/>
          </w:r>
        </w:p>
      </w:tc>
    </w:tr>
  </w:tbl>
  <w:p w14:paraId="03BD0224" w14:textId="53006803" w:rsidR="003A3CEF" w:rsidRDefault="003A3CEF">
    <w:pPr>
      <w:pStyle w:val="Header"/>
      <w:rPr>
        <w:lang w:val="el-GR"/>
      </w:rPr>
    </w:pPr>
  </w:p>
  <w:p w14:paraId="6FCCC019" w14:textId="77777777" w:rsidR="001D7495" w:rsidRPr="001D7495" w:rsidRDefault="001D7495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EE6" w14:textId="77777777" w:rsidR="00C532D2" w:rsidRDefault="00C5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2D4"/>
    <w:multiLevelType w:val="multilevel"/>
    <w:tmpl w:val="8D78D4DC"/>
    <w:lvl w:ilvl="0">
      <w:start w:val="3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numFmt w:val="bullet"/>
      <w:lvlText w:val="–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3">
      <w:numFmt w:val="bullet"/>
      <w:lvlText w:val="•"/>
      <w:lvlJc w:val="left"/>
      <w:pPr>
        <w:ind w:left="2875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73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1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8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6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6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3DA80D2F"/>
    <w:multiLevelType w:val="hybridMultilevel"/>
    <w:tmpl w:val="4C6C3028"/>
    <w:lvl w:ilvl="0" w:tplc="E57ED02E">
      <w:start w:val="1"/>
      <w:numFmt w:val="decimal"/>
      <w:lvlText w:val="%1."/>
      <w:lvlJc w:val="left"/>
      <w:pPr>
        <w:ind w:left="435" w:hanging="2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22405636">
      <w:start w:val="1"/>
      <w:numFmt w:val="lowerLetter"/>
      <w:lvlText w:val="%2)"/>
      <w:lvlJc w:val="left"/>
      <w:pPr>
        <w:ind w:left="676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50727C02">
      <w:numFmt w:val="bullet"/>
      <w:lvlText w:val="•"/>
      <w:lvlJc w:val="left"/>
      <w:pPr>
        <w:ind w:left="1700" w:hanging="210"/>
      </w:pPr>
      <w:rPr>
        <w:rFonts w:hint="default"/>
        <w:lang w:val="de-DE" w:eastAsia="en-US" w:bidi="ar-SA"/>
      </w:rPr>
    </w:lvl>
    <w:lvl w:ilvl="3" w:tplc="E65A9F1C">
      <w:numFmt w:val="bullet"/>
      <w:lvlText w:val="•"/>
      <w:lvlJc w:val="left"/>
      <w:pPr>
        <w:ind w:left="2720" w:hanging="210"/>
      </w:pPr>
      <w:rPr>
        <w:rFonts w:hint="default"/>
        <w:lang w:val="de-DE" w:eastAsia="en-US" w:bidi="ar-SA"/>
      </w:rPr>
    </w:lvl>
    <w:lvl w:ilvl="4" w:tplc="67EE87A4">
      <w:numFmt w:val="bullet"/>
      <w:lvlText w:val="•"/>
      <w:lvlJc w:val="left"/>
      <w:pPr>
        <w:ind w:left="3740" w:hanging="210"/>
      </w:pPr>
      <w:rPr>
        <w:rFonts w:hint="default"/>
        <w:lang w:val="de-DE" w:eastAsia="en-US" w:bidi="ar-SA"/>
      </w:rPr>
    </w:lvl>
    <w:lvl w:ilvl="5" w:tplc="18783AEE">
      <w:numFmt w:val="bullet"/>
      <w:lvlText w:val="•"/>
      <w:lvlJc w:val="left"/>
      <w:pPr>
        <w:ind w:left="4760" w:hanging="210"/>
      </w:pPr>
      <w:rPr>
        <w:rFonts w:hint="default"/>
        <w:lang w:val="de-DE" w:eastAsia="en-US" w:bidi="ar-SA"/>
      </w:rPr>
    </w:lvl>
    <w:lvl w:ilvl="6" w:tplc="0B6CA01E">
      <w:numFmt w:val="bullet"/>
      <w:lvlText w:val="•"/>
      <w:lvlJc w:val="left"/>
      <w:pPr>
        <w:ind w:left="5780" w:hanging="210"/>
      </w:pPr>
      <w:rPr>
        <w:rFonts w:hint="default"/>
        <w:lang w:val="de-DE" w:eastAsia="en-US" w:bidi="ar-SA"/>
      </w:rPr>
    </w:lvl>
    <w:lvl w:ilvl="7" w:tplc="1A1E2FF6">
      <w:numFmt w:val="bullet"/>
      <w:lvlText w:val="•"/>
      <w:lvlJc w:val="left"/>
      <w:pPr>
        <w:ind w:left="6800" w:hanging="210"/>
      </w:pPr>
      <w:rPr>
        <w:rFonts w:hint="default"/>
        <w:lang w:val="de-DE" w:eastAsia="en-US" w:bidi="ar-SA"/>
      </w:rPr>
    </w:lvl>
    <w:lvl w:ilvl="8" w:tplc="758877D6">
      <w:numFmt w:val="bullet"/>
      <w:lvlText w:val="•"/>
      <w:lvlJc w:val="left"/>
      <w:pPr>
        <w:ind w:left="7820" w:hanging="210"/>
      </w:pPr>
      <w:rPr>
        <w:rFonts w:hint="default"/>
        <w:lang w:val="de-DE" w:eastAsia="en-US" w:bidi="ar-SA"/>
      </w:rPr>
    </w:lvl>
  </w:abstractNum>
  <w:abstractNum w:abstractNumId="2" w15:restartNumberingAfterBreak="0">
    <w:nsid w:val="6B1675B8"/>
    <w:multiLevelType w:val="hybridMultilevel"/>
    <w:tmpl w:val="C8E23D2C"/>
    <w:lvl w:ilvl="0" w:tplc="1ED64018">
      <w:numFmt w:val="bullet"/>
      <w:lvlText w:val="–"/>
      <w:lvlJc w:val="left"/>
      <w:pPr>
        <w:ind w:left="6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1" w:tplc="6BE220CC">
      <w:numFmt w:val="bullet"/>
      <w:lvlText w:val="•"/>
      <w:lvlJc w:val="left"/>
      <w:pPr>
        <w:ind w:left="1562" w:hanging="171"/>
      </w:pPr>
      <w:rPr>
        <w:rFonts w:hint="default"/>
        <w:lang w:val="de-DE" w:eastAsia="en-US" w:bidi="ar-SA"/>
      </w:rPr>
    </w:lvl>
    <w:lvl w:ilvl="2" w:tplc="742C4D00">
      <w:numFmt w:val="bullet"/>
      <w:lvlText w:val="•"/>
      <w:lvlJc w:val="left"/>
      <w:pPr>
        <w:ind w:left="2484" w:hanging="171"/>
      </w:pPr>
      <w:rPr>
        <w:rFonts w:hint="default"/>
        <w:lang w:val="de-DE" w:eastAsia="en-US" w:bidi="ar-SA"/>
      </w:rPr>
    </w:lvl>
    <w:lvl w:ilvl="3" w:tplc="51269CF8">
      <w:numFmt w:val="bullet"/>
      <w:lvlText w:val="•"/>
      <w:lvlJc w:val="left"/>
      <w:pPr>
        <w:ind w:left="3406" w:hanging="171"/>
      </w:pPr>
      <w:rPr>
        <w:rFonts w:hint="default"/>
        <w:lang w:val="de-DE" w:eastAsia="en-US" w:bidi="ar-SA"/>
      </w:rPr>
    </w:lvl>
    <w:lvl w:ilvl="4" w:tplc="6A7CA634">
      <w:numFmt w:val="bullet"/>
      <w:lvlText w:val="•"/>
      <w:lvlJc w:val="left"/>
      <w:pPr>
        <w:ind w:left="4328" w:hanging="171"/>
      </w:pPr>
      <w:rPr>
        <w:rFonts w:hint="default"/>
        <w:lang w:val="de-DE" w:eastAsia="en-US" w:bidi="ar-SA"/>
      </w:rPr>
    </w:lvl>
    <w:lvl w:ilvl="5" w:tplc="BDFE6214">
      <w:numFmt w:val="bullet"/>
      <w:lvlText w:val="•"/>
      <w:lvlJc w:val="left"/>
      <w:pPr>
        <w:ind w:left="5250" w:hanging="171"/>
      </w:pPr>
      <w:rPr>
        <w:rFonts w:hint="default"/>
        <w:lang w:val="de-DE" w:eastAsia="en-US" w:bidi="ar-SA"/>
      </w:rPr>
    </w:lvl>
    <w:lvl w:ilvl="6" w:tplc="064E1954">
      <w:numFmt w:val="bullet"/>
      <w:lvlText w:val="•"/>
      <w:lvlJc w:val="left"/>
      <w:pPr>
        <w:ind w:left="6172" w:hanging="171"/>
      </w:pPr>
      <w:rPr>
        <w:rFonts w:hint="default"/>
        <w:lang w:val="de-DE" w:eastAsia="en-US" w:bidi="ar-SA"/>
      </w:rPr>
    </w:lvl>
    <w:lvl w:ilvl="7" w:tplc="15B05AF8">
      <w:numFmt w:val="bullet"/>
      <w:lvlText w:val="•"/>
      <w:lvlJc w:val="left"/>
      <w:pPr>
        <w:ind w:left="7094" w:hanging="171"/>
      </w:pPr>
      <w:rPr>
        <w:rFonts w:hint="default"/>
        <w:lang w:val="de-DE" w:eastAsia="en-US" w:bidi="ar-SA"/>
      </w:rPr>
    </w:lvl>
    <w:lvl w:ilvl="8" w:tplc="72E66C16">
      <w:numFmt w:val="bullet"/>
      <w:lvlText w:val="•"/>
      <w:lvlJc w:val="left"/>
      <w:pPr>
        <w:ind w:left="8016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78BC127D"/>
    <w:multiLevelType w:val="multilevel"/>
    <w:tmpl w:val="E1062E72"/>
    <w:lvl w:ilvl="0">
      <w:start w:val="2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8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35" w:hanging="5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80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4">
      <w:numFmt w:val="bullet"/>
      <w:lvlText w:val="•"/>
      <w:lvlJc w:val="left"/>
      <w:pPr>
        <w:ind w:left="3350" w:hanging="74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35" w:hanging="74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0" w:hanging="74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05" w:hanging="74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90" w:hanging="74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2"/>
    <w:rsid w:val="001D7495"/>
    <w:rsid w:val="00326838"/>
    <w:rsid w:val="003A3CEF"/>
    <w:rsid w:val="004B052B"/>
    <w:rsid w:val="0061280B"/>
    <w:rsid w:val="00634AF4"/>
    <w:rsid w:val="00693F62"/>
    <w:rsid w:val="007B018D"/>
    <w:rsid w:val="00BB11D9"/>
    <w:rsid w:val="00C532D2"/>
    <w:rsid w:val="00C752E8"/>
    <w:rsid w:val="00D21EA2"/>
    <w:rsid w:val="00E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5ED2"/>
  <w15:docId w15:val="{D3A56BFC-1EE2-494A-9528-2E355F4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43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35" w:hanging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E8"/>
    <w:rPr>
      <w:rFonts w:ascii="Arial" w:eastAsia="Arial" w:hAnsi="Arial" w:cs="Arial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E8"/>
    <w:rPr>
      <w:rFonts w:ascii="Arial" w:eastAsia="Arial" w:hAnsi="Arial" w:cs="Arial"/>
      <w:lang w:val="sv-SE"/>
    </w:rPr>
  </w:style>
  <w:style w:type="table" w:styleId="TableGrid">
    <w:name w:val="Table Grid"/>
    <w:basedOn w:val="TableNormal"/>
    <w:uiPriority w:val="39"/>
    <w:rsid w:val="00C7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E8"/>
    <w:rPr>
      <w:rFonts w:ascii="Arial" w:eastAsia="Arial" w:hAnsi="Arial" w:cs="Arial"/>
      <w:sz w:val="20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C752E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A3CEF"/>
    <w:rPr>
      <w:rFonts w:ascii="Arial" w:eastAsia="Arial" w:hAnsi="Arial" w:cs="Arial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B74-6FA0-4FD8-A0B2-24BF0B1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7692</Characters>
  <Application>Microsoft Office Word</Application>
  <DocSecurity>0</DocSecurity>
  <Lines>233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2024-07-24T13:22:00Z</dcterms:created>
  <dcterms:modified xsi:type="dcterms:W3CDTF">2024-07-24T13:22:00Z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Producer">
    <vt:lpwstr>PStill Engine 1.90</vt:lpwstr>
  </property>
  <property fmtid="{D5CDD505-2E9C-101B-9397-08002B2CF9AE}" pid="4" name="LastSaved">
    <vt:filetime>2024-06-21T00:00:00Z</vt:filetime>
  </property>
</Properties>
</file>