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Elenco delle sostanze vietate nei prodotti del tabacco e nelle sigarette elettroniche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Il seguente elenco rappresenta, a titolo esemplificativo ma non esaustivo, le sostanze o le categorie di sostanze che attualmente rientrano nei divieti legali della legge austriaca sulla protezione del tabacco e dei non fumatori (TNRSG).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Ingredienti vietati nelle sigarette elettroniche contenenti nicotina e nei contenitori di liquido di ricarica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Categorie di sostanze, compresa la base giuridica del divieto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Esempi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 o altri additivi che danno l’impressione che un prodotto del tabacco abbia un beneficio per la salute o presenti rischi ridotti per la salute.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(Articolo 10 ter, paragrafo 7, punto 3, in combinato disposto con l’articolo 8 ter, paragrafo 2, punto 1, del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 elencate nell’allegato “elenco dell’Unione” del regolamento (UE) n. 609/2013, come modificato, conformemente all’articolo 15 dello stesso.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Amminoacidi e loro derivati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Analgesici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pianta di canapa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Cannabinoidi (di origine naturale o sintetica)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Cannabidiolo: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Ormoni e sostanze simili agli ormoni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 e fosfolipidi con effetti antiossidanti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Altro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Colina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Cloruro di colina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Idrossido di colina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Citrato di colina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Tartrato di colina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S-adenosil metionina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L-5-idrossitriptofano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Carnitina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Cloridrato di L-carnitina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L-carnitina-L-tartrato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Selenite di sodio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Caffeina o taurina o altri additivi e composti stimolanti associati all’energia e alla vitalità (articolo 10 ter, paragrafo 7, punto 3, in combinato disposto con l’articolo 8 ter, paragrafo 2, punto 2, del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del caffè</w:t>
            </w:r>
            <w:r>
              <w:rPr>
                <w:rStyle w:val="a"/>
                <w:color w:val="000000"/>
                <w:sz w:val="14"/>
              </w:rPr>
              <w:t xml:space="preserve"> e dei </w:t>
            </w:r>
            <w:r>
              <w:rPr>
                <w:rStyle w:val="a"/>
                <w:color w:val="000000"/>
                <w:sz w:val="14"/>
                <w:b/>
              </w:rPr>
              <w:t xml:space="preserve">chicchi di caffè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del tè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di guaranà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 </w:t>
            </w:r>
            <w:r>
              <w:rPr>
                <w:rStyle w:val="a"/>
                <w:color w:val="000000"/>
                <w:sz w:val="14"/>
                <w:b/>
              </w:rPr>
              <w:t xml:space="preserve">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dell’</w:t>
            </w:r>
            <w:r>
              <w:rPr>
                <w:rStyle w:val="a"/>
                <w:color w:val="000000"/>
                <w:sz w:val="14"/>
                <w:b/>
              </w:rPr>
              <w:t xml:space="preserve">albero di cola</w:t>
            </w:r>
            <w:r>
              <w:rPr>
                <w:rStyle w:val="a"/>
                <w:color w:val="000000"/>
                <w:sz w:val="14"/>
              </w:rPr>
              <w:t xml:space="preserve"> o della </w:t>
            </w:r>
            <w:r>
              <w:rPr>
                <w:rStyle w:val="a"/>
                <w:color w:val="000000"/>
                <w:sz w:val="14"/>
                <w:b/>
              </w:rPr>
              <w:t xml:space="preserve">noce di cola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Zucchero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Glucosio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Fruttosio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Galattosio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Saccarosio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Lattosio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Maltosio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Altro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Maltodestrina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Inositolo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Additivi con proprietà coloranti per le emissioni.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(Articolo 10 ter, paragrafo 7, punto 3, in combinato disposto con l’articolo 8 ter, paragrafo 2, punto 3, del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Ingredienti vietati nelle sigarette elettroniche contenenti nicotina e prive di nicotina e nei contenitori di liquido di ricarica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Categorie di sostanze, compresa la base giuridica del divieto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Esempi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Ulteriore giustificazione del divieto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Additivi che hanno proprietà CMR in forma incombusta.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(Articolo 10 ter, paragrafo 7, punto 3, in combinato disposto con l’articolo 8 ter, paragrafo 2, punto 5, del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articolo 10 ter, paragrafo 7, punto 5, del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classificate conformemente all’allegato VI, parte 3, del regolamento (CE) n. 1272/2008 del Parlamento europeo e del Consiglio, del 16 dicembre 2008, relativo alla classificazione, all’etichettatura e all’imballaggio delle sostanze e delle miscele, che modifica e abroga le direttive 67/548/CEE e 1999/45/CE e che reca modifica al regolamento (CE) n. 1907/2006 (GU L 353 del 31.12.2006, pag. 1), come modificato da ultimo dal regolamento (UE) 2016/1179 (GU L 195 del 20.7.2016, pag. 11), come </w:t>
            </w:r>
            <w:r>
              <w:rPr>
                <w:rStyle w:val="a"/>
                <w:color w:val="000000"/>
                <w:b/>
              </w:rPr>
              <w:t xml:space="preserve">sostanze CMR di categoria 1A, di categoria 1B, di categoria 2 o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classificate secondo l’elenco delle classificazioni dell’Agenzia internazionale per la ricerca sul cancro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per quanto riguarda gli effetti cancerogeni nell’uomo nei </w:t>
            </w:r>
            <w:r>
              <w:rPr>
                <w:rStyle w:val="a"/>
                <w:color w:val="000000"/>
                <w:b/>
              </w:rPr>
              <w:t xml:space="preserve">gruppi 1, 2A o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classificate come “note” o “ragionevolmente previste” come cancerogene per l’uomo dal National Toxicology Program (NTP) statunitense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che, secondo l’</w:t>
            </w:r>
            <w:r>
              <w:rPr>
                <w:rStyle w:val="a"/>
                <w:color w:val="000000"/>
                <w:b/>
              </w:rPr>
              <w:t xml:space="preserve">elenco dei valori MAK e BAT</w:t>
            </w:r>
            <w:r>
              <w:rPr>
                <w:rStyle w:val="a"/>
                <w:color w:val="000000"/>
              </w:rPr>
              <w:t xml:space="preserve"> [pubblicato dalla Deutsche Forschungsgemeinschaft (DFG)], sono state classificate dalla commissione MAK come aventi effetti cancerogeni nelle categorie 1, 2, 4 o 5, come effetti teratogeni nelle categorie A, B o C e come effetti mutageni sulle cellule germinali nelle categorie 1, 2, 3A o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classificate come cancerogene, mutagene o tossiche per la riproduzione dall’Autorità europea per la sicurezza alimentare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Esempi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Isoforone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Mircene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Crisene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Biossido di titanio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Metileugenolo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Sostanze con effetti sul sistema riproduttivo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Propilparabene (estere propilico dell’acido para-idrossibenzoico)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Alcuni parabeni mostrano effetti tossici per la riproduzione in vivo.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CSSC (Comitato scientifico per la sicurezza dei consumatori)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(Autorità europea per la sicurezza alimentare)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Sodio propilparaben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Potassio propilparaben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Sodio 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Potassio 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Sodio isobutilparaben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Sassafrasso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Olio di sassafrasso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Contiene safrolo.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Legno di sassafras</w:t>
            </w:r>
            <w:r>
              <w:rPr>
                <w:rStyle w:val="a"/>
                <w:color w:val="000000"/>
              </w:rPr>
              <w:t xml:space="preserve">so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Foglie di sassafras</w:t>
            </w:r>
            <w:r>
              <w:rPr>
                <w:rStyle w:val="a"/>
                <w:color w:val="000000"/>
              </w:rPr>
              <w:t xml:space="preserve">so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Corteccia di sassafrasso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Ingredienti (ad eccezione della nicotina nei liquidi contenenti nicotina) che presentano un rischio per la salute umana in forma riscaldata o non riscaldata.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(Articolo 10 ter, paragrafo 7, punto 5, del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che presentano proprietà CMR in forma incombusta.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(Cfr. punto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classificate, conformemente all’allegato VI, parte 3, del regolamento (CE) n. 1272/2008 del Parlamento europeo e del Consiglio, del 16 dicembre 2008, relativo alla classificazione, all’etichettatura e all’imballaggio delle sostanze e delle miscele, che modifica e abroga le direttive 67/548/CEE e 1999/45/CE e che reca modifica al regolamento (CE) n. 1907/2006 (GU L 353 del 31.12.2006, pag. 1), come modificato da ultimo dal regolamento (UE) 2016/1179 (GU L 195 del 20.7.2016, pag. 11), come </w:t>
            </w:r>
            <w:r>
              <w:rPr>
                <w:rStyle w:val="a"/>
                <w:color w:val="000000"/>
                <w:b/>
              </w:rPr>
              <w:t xml:space="preserve">sensibilizzanti delle vie respiratorie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elencate nell’</w:t>
            </w:r>
            <w:r>
              <w:rPr>
                <w:rStyle w:val="a"/>
                <w:color w:val="000000"/>
                <w:b/>
              </w:rPr>
              <w:t xml:space="preserve">allegato III</w:t>
            </w:r>
            <w:r>
              <w:rPr>
                <w:rStyle w:val="a"/>
                <w:color w:val="000000"/>
              </w:rPr>
              <w:t xml:space="preserve">, parte A, del regolamento (CE) n. 1334/2008 del Parlamento europeo e del Consiglio del 16 dicembre 2008 relativo agli </w:t>
            </w:r>
            <w:r>
              <w:rPr>
                <w:rStyle w:val="a"/>
                <w:color w:val="000000"/>
                <w:b/>
              </w:rPr>
              <w:t xml:space="preserve">a</w:t>
            </w:r>
            <w:r>
              <w:rPr>
                <w:rStyle w:val="a"/>
                <w:color w:val="000000"/>
                <w:b/>
              </w:rPr>
              <w:t xml:space="preserve">romi</w:t>
            </w:r>
            <w:r>
              <w:rPr>
                <w:rStyle w:val="a"/>
                <w:color w:val="000000"/>
              </w:rPr>
              <w:t xml:space="preserve"> e ad alcuni ingredienti alimentari con proprietà aromatizzanti destinati a essere utilizzati negli e sugli alimenti e relativi aggiornamenti sono di seguito elencati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agarico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1,2-benzopirone, cumarina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Ipericina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1-allile-4-metossibenzene, estragolo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cianidrico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4-allile-1,2-dimetossibenzene, metileugenolo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1-allile-3,4-metilendiossibenzene, safrolo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Tujone (alfa e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che, secondo l’</w:t>
            </w:r>
            <w:r>
              <w:rPr>
                <w:rStyle w:val="a"/>
                <w:color w:val="000000"/>
                <w:b/>
              </w:rPr>
              <w:t xml:space="preserve">elenco dei valori MAK e BAT </w:t>
            </w:r>
            <w:r>
              <w:rPr>
                <w:rStyle w:val="a"/>
                <w:color w:val="000000"/>
              </w:rPr>
              <w:t xml:space="preserve">[pubblicato dalla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(DFG)] sono classificate dalla Commissione MAK come </w:t>
            </w:r>
            <w:r>
              <w:rPr>
                <w:rStyle w:val="a"/>
                <w:color w:val="000000"/>
                <w:b/>
              </w:rPr>
              <w:t xml:space="preserve">allergeni sostanziali</w:t>
            </w:r>
            <w:r>
              <w:rPr>
                <w:rStyle w:val="a"/>
                <w:color w:val="000000"/>
              </w:rPr>
              <w:t xml:space="preserve"> (“Sa”, “Sah”).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Componenti trasformati, estratti e oli derivati dalla pianta della </w:t>
            </w:r>
            <w:r>
              <w:rPr>
                <w:rStyle w:val="a"/>
                <w:color w:val="000000"/>
                <w:b/>
              </w:rPr>
              <w:t xml:space="preserve">menta poleggio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La menta poleggio contiene pulegone, una sostanza epatotossica.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Autorità europea per la sicurezza alimentare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e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Sostanze oleose/grasse quali acidi grassi liberi saturi o insaturi e loro derivati;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alcani, alcheni e alchini con una catena di carbonio di lunghezza pari a 12 o più;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monogliceridi, digliceridi e trigliceridi;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cere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(medium chain triglycerides)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L’inalazione o l’aspirazione di lipidi (sostanze grasse/oleose) è considerata la causa principale dello sviluppo della polmonite lipidica esogena (polmonite cronica).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La polmonite lipidica esogena può essere innescata da oli minerali e da sostanze oleose/grasse di origine animale e vegetale.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Poiché le spiegazioni scientifiche si riferiscono sempre agli oli e ai grassi o alle sostanze oleose e grasse in generale, il carattere oleoso/grasso, piuttosto che una composizione specifica della sostanza, dovrebbe essere decisivo per l’effetto negativo sulla salute (Hadda e Khilnani 2010, M. Schwaiblmair et al. 2010, Nguyen e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e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and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Squalano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Squalene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Rosina, resina o acidi resinici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abietico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 fumi di resina sono classificati come sensibilizzanti delle vie respiratorie e possibili fattori scatenanti dell’asma.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pimarico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isopimarico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palustrico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Acido levopimarico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Vitamina E acetato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La vitamina E acetato è strettamente correlata all’epidemia di EVALI del 2019 (lesione polmonare associata all’uso di sigarette elettroniche o prodotti per svapo) negli Stati Uniti.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Diacetile e alcuni analoghi strutturali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Diacetile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Il diacetile e 2,3-pentadione possono causare gravi infiammazioni e malattie respiratorie dopo l’inalazione.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 titolo precauzionale, si raccomanda di estendere il divieto agli analoghi strutturali 2,3-esadione e 2,3-eptadione.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‘Diacetyl [MAK Value Documentation in German Language,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(Istituto federale tedesco per la valutazione dei rischi)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Valutazione degli additivi per i prodotti del tabacco e le sigarette elettroniche.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(in tedesco: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“Gesundheitliche Bewertung von Zusatzstoffen für Tabakerzeugnisse und elektronische Zigaretten.”)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Parere BfR n. 045/2015 del 30 luglio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2,3-esadione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2,3-eptadione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Olio di mandorle amare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L’olio di mandorle amare può contenere naturalmente acido cianidrico.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L’acido cianidrico è un potente veleno che può paralizzare il sistema respiratorio centrale.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Cianuro di idrogeno, cianuro di potassio e cianuro di sodio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in German language,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Ingredienti vietati nei prodotti del tabacco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Categorie di sostanze, compresa la base giuridica del divieto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Esempi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Ulteriore giustificazione del divieto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 o altri additivi che danno l’impressione che un prodotto del tabacco abbia un beneficio per la salute o presenti rischi ridotti per la salute.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(Articolo 8 ter, paragrafo 2, punto 1, del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 elencate nell’allegato “elenco dell’Unione” del regolamento (UE) n. 609/2013, come modificato, conformemente all’articolo 15 dello stesso.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Amminoacidi e loro derivati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Analgesici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di canapa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Cannabinoidi (di origine naturale o sintetica)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Cannabidiolo: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Ormoni e sostanze simili agli ormoni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Flavonoidi e fosfolipidi con effetti antiossidanti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Altro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Cloruro di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Idrossido di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Citrato di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Tartrato di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S-adenosil metionina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L-5-idrossitriptofano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Cloridrato di L-carnitina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L-carnitina-L-tartrato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Selenite di sodio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Caffeina o taurina o altri additivi e composti stimolanti associati all’energia e alla vitalità (articolo 8 ter, paragrafo 2, punto 2, del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del caffè</w:t>
            </w:r>
            <w:r>
              <w:rPr>
                <w:rStyle w:val="a"/>
                <w:color w:val="000000"/>
                <w:sz w:val="14"/>
              </w:rPr>
              <w:t xml:space="preserve"> e dei </w:t>
            </w:r>
            <w:r>
              <w:rPr>
                <w:rStyle w:val="a"/>
                <w:color w:val="000000"/>
                <w:sz w:val="14"/>
                <w:b/>
              </w:rPr>
              <w:t xml:space="preserve">chicchi di caffè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del tè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della </w:t>
            </w:r>
            <w:r>
              <w:rPr>
                <w:rStyle w:val="a"/>
                <w:color w:val="000000"/>
                <w:sz w:val="14"/>
                <w:b/>
              </w:rPr>
              <w:t xml:space="preserve">pianta di guaranà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 </w:t>
            </w:r>
            <w:r>
              <w:rPr>
                <w:rStyle w:val="a"/>
                <w:color w:val="000000"/>
                <w:sz w:val="14"/>
                <w:b/>
              </w:rPr>
              <w:t xml:space="preserve">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dell’</w:t>
            </w:r>
            <w:r>
              <w:rPr>
                <w:rStyle w:val="a"/>
                <w:color w:val="000000"/>
                <w:sz w:val="14"/>
                <w:b/>
              </w:rPr>
              <w:t xml:space="preserve">albero di cola</w:t>
            </w:r>
            <w:r>
              <w:rPr>
                <w:rStyle w:val="a"/>
                <w:color w:val="000000"/>
                <w:sz w:val="14"/>
              </w:rPr>
              <w:t xml:space="preserve"> o della </w:t>
            </w:r>
            <w:r>
              <w:rPr>
                <w:rStyle w:val="a"/>
                <w:color w:val="000000"/>
                <w:sz w:val="14"/>
                <w:b/>
              </w:rPr>
              <w:t xml:space="preserve">noce di cola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Altro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Maltodestrina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Inositolo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Additivi con proprietà coloranti per le emissioni.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(Articolo 8 ter, paragrafo 2, punto 3, del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Additivi che facilitano l’inalazione o l’assorbimento di nicotina per i prodotti del tabacco (articolo 8 ter, paragrafo 2, punto 4, del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Mentolo e analoghi, agonisti TRPM-8, “composti refrigeranti”, “refrigeranti sintetici”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composti p-mentano-3-sostituti e modificati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Tutte le sostanze o miscele con effetti refrigeranti o analgesici sono considerate sostanze che facilitano l’inalazione.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Riferimento: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dicembre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Doc. rif. n: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p-mentano-3-carbossammide incl. p-mentane-3-N-alchilcarbossammide e p-mentano-3-N-arilcarbossammide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p-mentano-3-estere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p-mentano-3-etere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Acidi p-mentano-3-carbossilici e loro esteri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Altri composti p-mentano-3-sostituiti e modificati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Alcoli p-mentanici e loro esteri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Esempi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N-etil-p-mentano-3-carbossammide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Acido 2-isopropil-5-metilcicloesancarbossilico (4-metossifenil)ammide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(1R,2S,5R)-N-((etossicarbonil)metil)-p-mentano-3-carbossammide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N-terz-butile-p-mentano-3-carbossammide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2-isopropil-N,2,3-trimetilbutirramide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estere etilico di N-(p-mentano-3-carbonil)-D-alanina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N-(4-fluorofenil)-p-mentano-3-carbossammide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N-(4-etossipenil)-p-mentano-3-carbossammide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Lattato di mentile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mentossipropano-1,2-diolo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estere 2,3-diidrossipropilico dell’acido 2-isopropil-5-metilcicloesancarbossilico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Mentone 1,2-glicerolo chetale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Monomentil succinato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mentil-3-idrossibutirrato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Acetato di mentile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Mentolo etilenglicolo carbonato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p-mentano-3-carbossilato di 2,3-diidrossipropile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Cis-p-mentano-3,8-diol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Icilina / Agente refrigerante AG-3-5 (3,4-diidro-3-(2-idrossifenil)-6-(3-nitrofenil)-(1H)-pirimidin-2-one)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2-isopropil-N 2,3-trimetilbutirammide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1-(Di-sec-butil-fosfinoil)-eptano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L-carvone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1,8-cineolo (eucaliptolo)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Hydroxycitronellal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Componenti, compresi i componenti trasformati, gli estratti e gli oli di piante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Eucalipto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Timo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 di nicotina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Benzoato di nicotina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 sali di nicotina possono essere assorbiti nel corpo più rapidamente quando inalati e causare meno irritazione rispetto alla nicotina in forma libera.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Riferimenti: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Ditartrato di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Lattato di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Levulinato di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Malato di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Salicilato di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Additivi che hanno proprietà CMR in forma incombusta.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(Articolo 10 ter, paragrafo 7, punto 3, in combinato disposto con l’articolo 8 ter, paragrafo 2, punto 5, del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Sostanze classificate conformemente all’allegato VI, parte 3, del regolamento (CE) n. 1272/2008 del Parlamento europeo e del Consiglio, del 16 dicembre 2008, relativo alla classificazione, all’etichettatura e all’imballaggio delle sostanze e delle miscele, che modifica e abroga le direttive 67/548/CEE e 1999/45/CE e che reca modifica al regolamento (CE) n. 1907/2006 (GU L 353 del 31.12.2006, pag. 1), come modificato da ultimo dal regolamento (UE) 2016/1179 (GU L 195 del 20.7.2016, pag. 11), come </w:t>
            </w:r>
            <w:r>
              <w:rPr>
                <w:rStyle w:val="a"/>
                <w:color w:val="000000"/>
                <w:sz w:val="12"/>
                <w:b/>
              </w:rPr>
              <w:t xml:space="preserve">sostanze CMR di categoria 1A, di categoria 1B, di categoria 2 o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Sostanze classificate secondo l’elenco delle classificazioni dell’Agenzia internazionale per la ricerca sul cancro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per quanto riguarda gli effetti cancerogeni nell’uomo nei </w:t>
            </w:r>
            <w:r>
              <w:rPr>
                <w:rStyle w:val="a"/>
                <w:color w:val="000000"/>
                <w:sz w:val="12"/>
                <w:b/>
              </w:rPr>
              <w:t xml:space="preserve">gruppi 1, 2A o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Sostanze classificate come “note” o “ragionevolmente previste” come cancerogene per l’uomo dal National Toxicology Program (NTP) statunitense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Sostanze che, secondo l’</w:t>
            </w:r>
            <w:r>
              <w:rPr>
                <w:rStyle w:val="a"/>
                <w:color w:val="000000"/>
                <w:sz w:val="12"/>
                <w:b/>
              </w:rPr>
              <w:t xml:space="preserve">elenco dei valori MAK e BAT</w:t>
            </w:r>
            <w:r>
              <w:rPr>
                <w:rStyle w:val="a"/>
                <w:color w:val="000000"/>
                <w:sz w:val="12"/>
              </w:rPr>
              <w:t xml:space="preserve"> [pubblicato dalla Deutsche Forschungsgemeinschaft (DFG)], sono state classificate dalla commissione MAK come aventi effetti cancerogeni nelle categorie 1, 2, 4 o 5, come effetti teratogeni nelle categorie A, B o C e come effetti mutageni sulle cellule germinali nelle categorie 1, 2, 3A o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Sostanze classificate come cancerogene, mutagene o tossiche per la riproduzione dall’Autorità europea per la sicurezza alimentare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Esempi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Isoforone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Mircene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Crisene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Biossido di titanio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Metileugenolo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Sostanze con effetti sul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sistema riproduttivo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(estere propilico dell’acido para-idrossibenzoico)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Alcuni parabeni mostrano effetti tossici per la riproduzione in vivo.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Riferimenti: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CSSC (Comitato scientifico per la sicurezza dei consumatori)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(Autorità europea per la sicurezza alimentare)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Sodio propilparaben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Potassio propilparaben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Sodio 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Potassio 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Sodio isobutilparaben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Sassafrasso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Olio di sassafrasso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Contiene safrolo.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Legno di sassafrasso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Foglie di sassafrasso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Corteccia di sassafrasso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Pagina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di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Pagina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di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Versione finale secondo il comitato consultivo sugli ingredienti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Versione finale secondo il comitato consultivo sugli ingredienti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it-I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