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E154" w14:textId="54F7D76A" w:rsidR="00046A6B" w:rsidRPr="004B7A01" w:rsidRDefault="00E57B82" w:rsidP="00C2488B">
      <w:pPr>
        <w:pStyle w:val="Heading1"/>
      </w:pPr>
      <w:bookmarkStart w:id="0" w:name="_Hlk183781377"/>
      <w:r w:rsidRPr="004634A4">
        <w:rPr>
          <w:lang w:val="en-US"/>
        </w:rPr>
        <w:t xml:space="preserve">Reply from </w:t>
      </w:r>
      <w:r w:rsidR="00046A6B" w:rsidRPr="004634A4">
        <w:rPr>
          <w:lang w:val="en-US"/>
        </w:rPr>
        <w:t xml:space="preserve">Nordic Nicotine Pouches Alliance (NNPA) </w:t>
      </w:r>
      <w:r w:rsidR="0006159C" w:rsidRPr="004B7A01">
        <w:t>R</w:t>
      </w:r>
      <w:r w:rsidRPr="004B7A01">
        <w:t>egarding</w:t>
      </w:r>
      <w:r w:rsidR="00370031" w:rsidRPr="004B7A01">
        <w:t xml:space="preserve"> </w:t>
      </w:r>
      <w:r w:rsidR="00C2488B" w:rsidRPr="00C2488B">
        <w:t>Draft Royal Decree amending Royal Decree 579/2017 of 9 June 2017 regulating certain aspects relating to the manufacture, presentation and marketing of tobacco and related products</w:t>
      </w:r>
      <w:r w:rsidR="00C2488B">
        <w:t xml:space="preserve"> </w:t>
      </w:r>
    </w:p>
    <w:p w14:paraId="5A989254" w14:textId="77777777" w:rsidR="009735FF" w:rsidRPr="004B7A01" w:rsidRDefault="009735FF" w:rsidP="00046A6B">
      <w:pPr>
        <w:jc w:val="both"/>
        <w:rPr>
          <w:rFonts w:ascii="Calibri Light" w:hAnsi="Calibri Light" w:cs="Calibri Light"/>
          <w:noProof/>
          <w:color w:val="000000" w:themeColor="text1"/>
          <w:sz w:val="22"/>
        </w:rPr>
      </w:pPr>
    </w:p>
    <w:p w14:paraId="74391B59" w14:textId="2A327E8D" w:rsidR="00A2435D" w:rsidRPr="004B7A01" w:rsidRDefault="009735FF" w:rsidP="00046A6B">
      <w:pPr>
        <w:jc w:val="both"/>
        <w:rPr>
          <w:rFonts w:ascii="Calibri Light" w:hAnsi="Calibri Light" w:cs="Calibri Light"/>
          <w:color w:val="000000" w:themeColor="text1"/>
          <w:sz w:val="22"/>
        </w:rPr>
      </w:pPr>
      <w:r w:rsidRPr="004B7A01">
        <w:rPr>
          <w:rFonts w:ascii="Calibri Light" w:hAnsi="Calibri Light" w:cs="Calibri Light"/>
          <w:noProof/>
          <w:color w:val="000000" w:themeColor="text1"/>
          <w:sz w:val="22"/>
        </w:rPr>
        <w:drawing>
          <wp:inline distT="0" distB="0" distL="0" distR="0" wp14:anchorId="0F70A05D" wp14:editId="6E0C1652">
            <wp:extent cx="2041872" cy="2047607"/>
            <wp:effectExtent l="0" t="0" r="0" b="0"/>
            <wp:docPr id="95727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6247" t="15277" r="35943" b="35144"/>
                    <a:stretch/>
                  </pic:blipFill>
                  <pic:spPr bwMode="auto">
                    <a:xfrm>
                      <a:off x="0" y="0"/>
                      <a:ext cx="2052440" cy="2058205"/>
                    </a:xfrm>
                    <a:prstGeom prst="rect">
                      <a:avLst/>
                    </a:prstGeom>
                    <a:noFill/>
                    <a:ln>
                      <a:noFill/>
                    </a:ln>
                    <a:extLst>
                      <a:ext uri="{53640926-AAD7-44D8-BBD7-CCE9431645EC}">
                        <a14:shadowObscured xmlns:a14="http://schemas.microsoft.com/office/drawing/2010/main"/>
                      </a:ext>
                    </a:extLst>
                  </pic:spPr>
                </pic:pic>
              </a:graphicData>
            </a:graphic>
          </wp:inline>
        </w:drawing>
      </w:r>
      <w:r w:rsidR="00A2435D" w:rsidRPr="004B7A01">
        <w:rPr>
          <w:rFonts w:ascii="Calibri Light" w:hAnsi="Calibri Light" w:cs="Calibri Light"/>
          <w:noProof/>
          <w:color w:val="000000" w:themeColor="text1"/>
          <w:sz w:val="22"/>
        </w:rPr>
        <w:drawing>
          <wp:inline distT="0" distB="0" distL="0" distR="0" wp14:anchorId="3D3D32D8" wp14:editId="6348770D">
            <wp:extent cx="3533140" cy="2076857"/>
            <wp:effectExtent l="0" t="0" r="0" b="0"/>
            <wp:docPr id="1630374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74245" name=""/>
                    <pic:cNvPicPr/>
                  </pic:nvPicPr>
                  <pic:blipFill>
                    <a:blip r:embed="rId12"/>
                    <a:stretch>
                      <a:fillRect/>
                    </a:stretch>
                  </pic:blipFill>
                  <pic:spPr>
                    <a:xfrm>
                      <a:off x="0" y="0"/>
                      <a:ext cx="3596747" cy="2114246"/>
                    </a:xfrm>
                    <a:prstGeom prst="rect">
                      <a:avLst/>
                    </a:prstGeom>
                  </pic:spPr>
                </pic:pic>
              </a:graphicData>
            </a:graphic>
          </wp:inline>
        </w:drawing>
      </w:r>
    </w:p>
    <w:p w14:paraId="7D447861" w14:textId="2EB5921C" w:rsidR="009735FF" w:rsidRPr="004B7A01" w:rsidRDefault="004A1B61" w:rsidP="009C5D27">
      <w:pPr>
        <w:pStyle w:val="Heading2"/>
        <w:rPr>
          <w:rFonts w:ascii="Arial" w:hAnsi="Arial" w:cs="Arial"/>
        </w:rPr>
      </w:pPr>
      <w:r w:rsidRPr="004B7A01">
        <w:rPr>
          <w:rFonts w:ascii="Arial" w:eastAsiaTheme="minorHAnsi" w:hAnsi="Arial" w:cs="Arial"/>
          <w:color w:val="000000" w:themeColor="text1"/>
          <w:sz w:val="22"/>
          <w:szCs w:val="22"/>
        </w:rPr>
        <w:t xml:space="preserve">The Nordic Nicotine Pouches Alliance (NNPA) is a Brussels-based platform for stakeholders advocating for nicotine pouches as an essential part of harm reduction among adult nicotine users within the EU. We promote responsible, effective, and </w:t>
      </w:r>
      <w:r w:rsidR="003428E5" w:rsidRPr="004B7A01">
        <w:rPr>
          <w:rFonts w:ascii="Arial" w:eastAsiaTheme="minorHAnsi" w:hAnsi="Arial" w:cs="Arial"/>
          <w:color w:val="000000" w:themeColor="text1"/>
          <w:sz w:val="22"/>
          <w:szCs w:val="22"/>
        </w:rPr>
        <w:t>harmonised</w:t>
      </w:r>
      <w:r w:rsidRPr="004B7A01">
        <w:rPr>
          <w:rFonts w:ascii="Arial" w:eastAsiaTheme="minorHAnsi" w:hAnsi="Arial" w:cs="Arial"/>
          <w:color w:val="000000" w:themeColor="text1"/>
          <w:sz w:val="22"/>
          <w:szCs w:val="22"/>
        </w:rPr>
        <w:t xml:space="preserve"> European legislation that establishes clear guidelines for this product category to achieve specific goals, such as banning extreme nicotine levels or reducing usage among minors. Our </w:t>
      </w:r>
      <w:proofErr w:type="gramStart"/>
      <w:r w:rsidRPr="004B7A01">
        <w:rPr>
          <w:rFonts w:ascii="Arial" w:eastAsiaTheme="minorHAnsi" w:hAnsi="Arial" w:cs="Arial"/>
          <w:color w:val="000000" w:themeColor="text1"/>
          <w:sz w:val="22"/>
          <w:szCs w:val="22"/>
        </w:rPr>
        <w:t>main focus</w:t>
      </w:r>
      <w:proofErr w:type="gramEnd"/>
      <w:r w:rsidRPr="004B7A01">
        <w:rPr>
          <w:rFonts w:ascii="Arial" w:eastAsiaTheme="minorHAnsi" w:hAnsi="Arial" w:cs="Arial"/>
          <w:color w:val="000000" w:themeColor="text1"/>
          <w:sz w:val="22"/>
          <w:szCs w:val="22"/>
        </w:rPr>
        <w:t xml:space="preserve"> is information dissemination, but we continuously work to build support for our position from stakeholders who </w:t>
      </w:r>
      <w:r w:rsidR="00F81339" w:rsidRPr="004B7A01">
        <w:rPr>
          <w:rFonts w:ascii="Arial" w:eastAsiaTheme="minorHAnsi" w:hAnsi="Arial" w:cs="Arial"/>
          <w:color w:val="000000" w:themeColor="text1"/>
          <w:sz w:val="22"/>
          <w:szCs w:val="22"/>
        </w:rPr>
        <w:t>are representatives of</w:t>
      </w:r>
      <w:r w:rsidRPr="004B7A01">
        <w:rPr>
          <w:rFonts w:ascii="Arial" w:eastAsiaTheme="minorHAnsi" w:hAnsi="Arial" w:cs="Arial"/>
          <w:color w:val="000000" w:themeColor="text1"/>
          <w:sz w:val="22"/>
          <w:szCs w:val="22"/>
        </w:rPr>
        <w:t xml:space="preserve"> a responsible value chain. NNPA is funded by European industry actors</w:t>
      </w:r>
      <w:r w:rsidR="00D23540" w:rsidRPr="004B7A01">
        <w:rPr>
          <w:rFonts w:ascii="Arial" w:eastAsiaTheme="minorHAnsi" w:hAnsi="Arial" w:cs="Arial"/>
          <w:color w:val="000000" w:themeColor="text1"/>
          <w:sz w:val="22"/>
          <w:szCs w:val="22"/>
        </w:rPr>
        <w:t>.</w:t>
      </w:r>
    </w:p>
    <w:p w14:paraId="0135CF54" w14:textId="53B49CBA" w:rsidR="009C5D27" w:rsidRPr="004B7A01" w:rsidRDefault="003F70D6" w:rsidP="009C5D27">
      <w:pPr>
        <w:pStyle w:val="Heading2"/>
        <w:rPr>
          <w:rFonts w:ascii="Arial" w:hAnsi="Arial" w:cs="Arial"/>
        </w:rPr>
      </w:pPr>
      <w:r w:rsidRPr="004B7A01">
        <w:rPr>
          <w:rFonts w:ascii="Arial" w:hAnsi="Arial" w:cs="Arial"/>
        </w:rPr>
        <w:t>Summary of our position</w:t>
      </w:r>
      <w:r w:rsidR="009C5D27" w:rsidRPr="004B7A01">
        <w:rPr>
          <w:rFonts w:ascii="Arial" w:hAnsi="Arial" w:cs="Arial"/>
        </w:rPr>
        <w:t>:</w:t>
      </w:r>
    </w:p>
    <w:bookmarkEnd w:id="0"/>
    <w:p w14:paraId="15027A4F" w14:textId="5877BB30" w:rsidR="00EE160A" w:rsidRPr="004B7A01" w:rsidRDefault="00884ECD" w:rsidP="00884ECD">
      <w:pPr>
        <w:rPr>
          <w:sz w:val="22"/>
        </w:rPr>
      </w:pPr>
      <w:r w:rsidRPr="004B7A01">
        <w:rPr>
          <w:sz w:val="22"/>
        </w:rPr>
        <w:t xml:space="preserve">NNPA </w:t>
      </w:r>
      <w:r w:rsidR="00604D1F">
        <w:rPr>
          <w:sz w:val="22"/>
        </w:rPr>
        <w:t xml:space="preserve">questions the validity </w:t>
      </w:r>
      <w:r w:rsidR="00886C8C">
        <w:rPr>
          <w:sz w:val="22"/>
        </w:rPr>
        <w:t xml:space="preserve">of both the impact assessment as well as the </w:t>
      </w:r>
      <w:r w:rsidR="000645F2">
        <w:rPr>
          <w:sz w:val="22"/>
        </w:rPr>
        <w:t xml:space="preserve">scientific foundation of the proposal. We </w:t>
      </w:r>
      <w:r w:rsidR="00E41D07" w:rsidRPr="004B7A01">
        <w:rPr>
          <w:sz w:val="22"/>
        </w:rPr>
        <w:t xml:space="preserve">strongly </w:t>
      </w:r>
      <w:r w:rsidRPr="004B7A01">
        <w:rPr>
          <w:sz w:val="22"/>
        </w:rPr>
        <w:t xml:space="preserve">object to the </w:t>
      </w:r>
      <w:r w:rsidR="00A93D84" w:rsidRPr="004B7A01">
        <w:rPr>
          <w:sz w:val="22"/>
        </w:rPr>
        <w:t>proposed nicotine limit</w:t>
      </w:r>
      <w:r w:rsidRPr="004B7A01">
        <w:rPr>
          <w:sz w:val="22"/>
        </w:rPr>
        <w:t xml:space="preserve"> with the motivation that </w:t>
      </w:r>
      <w:r w:rsidR="00320102" w:rsidRPr="004B7A01">
        <w:rPr>
          <w:rFonts w:cs="Arial"/>
          <w:sz w:val="22"/>
          <w:lang w:eastAsia="en-GB"/>
        </w:rPr>
        <w:t>the proposed restrictions</w:t>
      </w:r>
      <w:r w:rsidR="0031705C" w:rsidRPr="004B7A01">
        <w:rPr>
          <w:rFonts w:cs="Arial"/>
          <w:sz w:val="22"/>
          <w:lang w:eastAsia="en-GB"/>
        </w:rPr>
        <w:t xml:space="preserve"> will have a significant negative impact on </w:t>
      </w:r>
      <w:r w:rsidR="00963D9A" w:rsidRPr="004B7A01">
        <w:rPr>
          <w:rFonts w:cs="Arial"/>
          <w:sz w:val="22"/>
          <w:lang w:eastAsia="en-GB"/>
        </w:rPr>
        <w:t>future public health</w:t>
      </w:r>
      <w:r w:rsidR="00320102" w:rsidRPr="004B7A01">
        <w:rPr>
          <w:rFonts w:cs="Arial"/>
          <w:sz w:val="22"/>
          <w:lang w:eastAsia="en-GB"/>
        </w:rPr>
        <w:t xml:space="preserve">. </w:t>
      </w:r>
      <w:r w:rsidR="00981C37" w:rsidRPr="004B7A01">
        <w:rPr>
          <w:rFonts w:cs="Arial"/>
          <w:sz w:val="22"/>
          <w:lang w:eastAsia="en-GB"/>
        </w:rPr>
        <w:t xml:space="preserve">A 0,99mg/per pouch nicotine limit is equal to a ban of the </w:t>
      </w:r>
      <w:r w:rsidR="00E40EA8" w:rsidRPr="004B7A01">
        <w:rPr>
          <w:rFonts w:cs="Arial"/>
          <w:sz w:val="22"/>
          <w:lang w:eastAsia="en-GB"/>
        </w:rPr>
        <w:t>product</w:t>
      </w:r>
      <w:r w:rsidR="00635367">
        <w:rPr>
          <w:rFonts w:cs="Arial"/>
          <w:sz w:val="22"/>
          <w:lang w:eastAsia="en-GB"/>
        </w:rPr>
        <w:t xml:space="preserve"> which cannot be considered </w:t>
      </w:r>
      <w:bookmarkStart w:id="1" w:name="_Hlk193366233"/>
      <w:r w:rsidR="00BF0261">
        <w:rPr>
          <w:rFonts w:cs="Arial"/>
          <w:sz w:val="22"/>
          <w:lang w:eastAsia="en-GB"/>
        </w:rPr>
        <w:t xml:space="preserve">motivated, balanced nor </w:t>
      </w:r>
      <w:proofErr w:type="gramStart"/>
      <w:r w:rsidR="00BF0261">
        <w:rPr>
          <w:rFonts w:cs="Arial"/>
          <w:sz w:val="22"/>
          <w:lang w:eastAsia="en-GB"/>
        </w:rPr>
        <w:t>purposeful</w:t>
      </w:r>
      <w:bookmarkEnd w:id="1"/>
      <w:r w:rsidR="00BF0261">
        <w:rPr>
          <w:rFonts w:cs="Arial"/>
          <w:sz w:val="22"/>
          <w:lang w:eastAsia="en-GB"/>
        </w:rPr>
        <w:t>..</w:t>
      </w:r>
      <w:proofErr w:type="gramEnd"/>
      <w:r w:rsidR="004E201C" w:rsidRPr="004B7A01">
        <w:rPr>
          <w:rFonts w:cs="Arial"/>
          <w:sz w:val="22"/>
          <w:lang w:eastAsia="en-GB"/>
        </w:rPr>
        <w:t xml:space="preserve"> </w:t>
      </w:r>
    </w:p>
    <w:p w14:paraId="2508EC3A" w14:textId="3C92FEC8" w:rsidR="004C5540" w:rsidRPr="004B7A01" w:rsidRDefault="00C3073E" w:rsidP="00884ECD">
      <w:pPr>
        <w:rPr>
          <w:sz w:val="22"/>
        </w:rPr>
      </w:pPr>
      <w:r w:rsidRPr="004B7A01">
        <w:rPr>
          <w:sz w:val="22"/>
        </w:rPr>
        <w:t>We</w:t>
      </w:r>
      <w:r w:rsidR="00CC562E" w:rsidRPr="004B7A01">
        <w:rPr>
          <w:rFonts w:cs="Arial"/>
          <w:sz w:val="22"/>
          <w:lang w:eastAsia="en-GB"/>
        </w:rPr>
        <w:t xml:space="preserve"> conclude that the proposal, according to all available statistics and particularly considering Spain's smoking prevalence, present</w:t>
      </w:r>
      <w:r w:rsidR="00D13B42">
        <w:rPr>
          <w:rFonts w:cs="Arial"/>
          <w:sz w:val="22"/>
          <w:lang w:eastAsia="en-GB"/>
        </w:rPr>
        <w:t>s</w:t>
      </w:r>
      <w:r w:rsidR="00CC562E" w:rsidRPr="004B7A01">
        <w:rPr>
          <w:rFonts w:cs="Arial"/>
          <w:sz w:val="22"/>
          <w:lang w:eastAsia="en-GB"/>
        </w:rPr>
        <w:t xml:space="preserve"> a profoundly misguided and counterproductive measure, </w:t>
      </w:r>
      <w:r w:rsidR="00F411C9" w:rsidRPr="004B7A01">
        <w:rPr>
          <w:rFonts w:cs="Arial"/>
          <w:sz w:val="22"/>
          <w:lang w:eastAsia="en-GB"/>
        </w:rPr>
        <w:t xml:space="preserve">highly </w:t>
      </w:r>
      <w:r w:rsidR="00CC562E" w:rsidRPr="004B7A01">
        <w:rPr>
          <w:rFonts w:cs="Arial"/>
          <w:sz w:val="22"/>
          <w:lang w:eastAsia="en-GB"/>
        </w:rPr>
        <w:t>unlikely to achieve its intended public health objectives and potentially exacerbating the very issues it seeks to address.</w:t>
      </w:r>
    </w:p>
    <w:p w14:paraId="47410693" w14:textId="7E19A98E" w:rsidR="00884ECD" w:rsidRDefault="00320102" w:rsidP="00884ECD">
      <w:pPr>
        <w:rPr>
          <w:rFonts w:cs="Arial"/>
          <w:sz w:val="22"/>
          <w:lang w:eastAsia="en-GB"/>
        </w:rPr>
      </w:pPr>
      <w:r w:rsidRPr="004B7A01">
        <w:rPr>
          <w:rFonts w:cs="Arial"/>
          <w:sz w:val="22"/>
          <w:lang w:eastAsia="en-GB"/>
        </w:rPr>
        <w:t xml:space="preserve">We also consider that the proposed restrictions </w:t>
      </w:r>
      <w:r w:rsidR="00D73873" w:rsidRPr="004B7A01">
        <w:rPr>
          <w:rFonts w:cs="Arial"/>
          <w:sz w:val="22"/>
          <w:lang w:eastAsia="en-GB"/>
        </w:rPr>
        <w:t>pre-empt</w:t>
      </w:r>
      <w:r w:rsidRPr="004B7A01">
        <w:rPr>
          <w:rFonts w:cs="Arial"/>
          <w:sz w:val="22"/>
          <w:lang w:eastAsia="en-GB"/>
        </w:rPr>
        <w:t xml:space="preserve"> the revision of the Tobacco Products Directive, violate the principle of non-discrimination and the freedom of trade and industry (Article 36 TFEU)</w:t>
      </w:r>
      <w:r w:rsidR="00E41D07" w:rsidRPr="004B7A01">
        <w:rPr>
          <w:rFonts w:cs="Arial"/>
          <w:sz w:val="22"/>
          <w:lang w:eastAsia="en-GB"/>
        </w:rPr>
        <w:t xml:space="preserve"> and</w:t>
      </w:r>
      <w:r w:rsidRPr="004B7A01">
        <w:rPr>
          <w:rFonts w:cs="Arial"/>
          <w:sz w:val="22"/>
          <w:lang w:eastAsia="en-GB"/>
        </w:rPr>
        <w:t xml:space="preserve"> that they without due justification contradict legislation recently introduced in other EU Member States.</w:t>
      </w:r>
      <w:r w:rsidR="007D1A87" w:rsidRPr="004B7A01">
        <w:rPr>
          <w:rFonts w:cs="Arial"/>
          <w:sz w:val="22"/>
          <w:lang w:eastAsia="en-GB"/>
        </w:rPr>
        <w:t xml:space="preserve"> </w:t>
      </w:r>
    </w:p>
    <w:p w14:paraId="24EB04CD" w14:textId="1AA9AEB4" w:rsidR="00C47048" w:rsidRPr="00C47048" w:rsidRDefault="00C47048" w:rsidP="00C47048">
      <w:pPr>
        <w:rPr>
          <w:sz w:val="22"/>
        </w:rPr>
      </w:pPr>
      <w:r w:rsidRPr="00C47048">
        <w:rPr>
          <w:sz w:val="22"/>
        </w:rPr>
        <w:lastRenderedPageBreak/>
        <w:t>To ban all flavours and aromas except one can</w:t>
      </w:r>
      <w:r w:rsidR="00A73075">
        <w:rPr>
          <w:sz w:val="22"/>
        </w:rPr>
        <w:t xml:space="preserve"> by definition </w:t>
      </w:r>
      <w:proofErr w:type="gramStart"/>
      <w:r w:rsidRPr="00C47048">
        <w:rPr>
          <w:sz w:val="22"/>
        </w:rPr>
        <w:t xml:space="preserve">not </w:t>
      </w:r>
      <w:r w:rsidR="00A73075" w:rsidRPr="00C47048">
        <w:rPr>
          <w:sz w:val="22"/>
        </w:rPr>
        <w:t>be</w:t>
      </w:r>
      <w:proofErr w:type="gramEnd"/>
      <w:r w:rsidRPr="00C47048">
        <w:rPr>
          <w:sz w:val="22"/>
        </w:rPr>
        <w:t xml:space="preserve"> considered a purposeful and proportional measure, nor can all, or even most, flavours be considered unduly attractive to underage consumer nor any other risk</w:t>
      </w:r>
      <w:r w:rsidR="00F12C46">
        <w:rPr>
          <w:sz w:val="22"/>
        </w:rPr>
        <w:t xml:space="preserve"> </w:t>
      </w:r>
      <w:r w:rsidRPr="00C47048">
        <w:rPr>
          <w:sz w:val="22"/>
        </w:rPr>
        <w:t xml:space="preserve">group. </w:t>
      </w:r>
    </w:p>
    <w:p w14:paraId="27DFDB53" w14:textId="1EFBE708" w:rsidR="00E66C01" w:rsidRPr="004B7A01" w:rsidRDefault="00E66C01" w:rsidP="00884ECD">
      <w:pPr>
        <w:rPr>
          <w:sz w:val="22"/>
        </w:rPr>
      </w:pPr>
      <w:r w:rsidRPr="00E66C01">
        <w:rPr>
          <w:sz w:val="22"/>
        </w:rPr>
        <w:t>Flavour diversity is integral to the acceptance of nicotine pouches among adult smokers.</w:t>
      </w:r>
      <w:r w:rsidR="003D4F59" w:rsidRPr="003D4F59">
        <w:rPr>
          <w:sz w:val="22"/>
          <w:lang w:eastAsia="en-GB"/>
        </w:rPr>
        <w:t xml:space="preserve"> </w:t>
      </w:r>
      <w:r w:rsidR="003D4F59" w:rsidRPr="00C46A7F">
        <w:rPr>
          <w:sz w:val="22"/>
          <w:lang w:eastAsia="en-GB"/>
        </w:rPr>
        <w:t xml:space="preserve">Any restrictions deemed necessary to curb underage appeal should focus on </w:t>
      </w:r>
      <w:r w:rsidR="0006311D">
        <w:rPr>
          <w:sz w:val="22"/>
          <w:lang w:eastAsia="en-GB"/>
        </w:rPr>
        <w:t xml:space="preserve">specific measures targeting the intended group. </w:t>
      </w:r>
    </w:p>
    <w:p w14:paraId="36C97F85" w14:textId="275F3183" w:rsidR="00A2435D" w:rsidRPr="004B7A01" w:rsidRDefault="00156A4F" w:rsidP="009735FF">
      <w:pPr>
        <w:pStyle w:val="Heading1"/>
      </w:pPr>
      <w:bookmarkStart w:id="2" w:name="_Hlk183782893"/>
      <w:r w:rsidRPr="004B7A01">
        <w:t>NNPA</w:t>
      </w:r>
      <w:r w:rsidR="009B04D6" w:rsidRPr="004B7A01">
        <w:t>’</w:t>
      </w:r>
      <w:r w:rsidRPr="004B7A01">
        <w:t>s</w:t>
      </w:r>
      <w:r w:rsidR="007A4C23" w:rsidRPr="004B7A01">
        <w:t xml:space="preserve"> opinion on </w:t>
      </w:r>
      <w:bookmarkEnd w:id="2"/>
      <w:r w:rsidR="007A4C23" w:rsidRPr="004B7A01">
        <w:t xml:space="preserve">the </w:t>
      </w:r>
      <w:r w:rsidR="00AC0F07" w:rsidRPr="004B7A01">
        <w:t xml:space="preserve">proposed </w:t>
      </w:r>
      <w:r w:rsidR="00EB213E" w:rsidRPr="004B7A01">
        <w:t>nicotine content limit</w:t>
      </w:r>
    </w:p>
    <w:p w14:paraId="46FBCD8A" w14:textId="77777777" w:rsidR="005D024F" w:rsidRDefault="009F11B7" w:rsidP="00A00560">
      <w:pPr>
        <w:rPr>
          <w:sz w:val="22"/>
        </w:rPr>
      </w:pPr>
      <w:bookmarkStart w:id="3" w:name="_Hlk183783042"/>
      <w:r w:rsidRPr="004B7A01">
        <w:rPr>
          <w:sz w:val="22"/>
        </w:rPr>
        <w:t xml:space="preserve">The government </w:t>
      </w:r>
      <w:r w:rsidR="00AF7FFA">
        <w:rPr>
          <w:sz w:val="22"/>
        </w:rPr>
        <w:t>has updated</w:t>
      </w:r>
      <w:r w:rsidRPr="004B7A01">
        <w:rPr>
          <w:sz w:val="22"/>
        </w:rPr>
        <w:t xml:space="preserve"> </w:t>
      </w:r>
      <w:r w:rsidR="007D5971" w:rsidRPr="004B7A01">
        <w:rPr>
          <w:sz w:val="22"/>
        </w:rPr>
        <w:t>Spain’s</w:t>
      </w:r>
      <w:r w:rsidR="000321AF" w:rsidRPr="004B7A01">
        <w:rPr>
          <w:sz w:val="22"/>
        </w:rPr>
        <w:t xml:space="preserve"> </w:t>
      </w:r>
      <w:r w:rsidRPr="004B7A01">
        <w:rPr>
          <w:sz w:val="22"/>
        </w:rPr>
        <w:t>law</w:t>
      </w:r>
      <w:r w:rsidR="000321AF" w:rsidRPr="004B7A01">
        <w:rPr>
          <w:sz w:val="22"/>
        </w:rPr>
        <w:t>s</w:t>
      </w:r>
      <w:r w:rsidRPr="004B7A01">
        <w:rPr>
          <w:sz w:val="22"/>
        </w:rPr>
        <w:t xml:space="preserve"> on tobacco control and </w:t>
      </w:r>
      <w:r w:rsidR="00AF7FFA">
        <w:rPr>
          <w:sz w:val="22"/>
        </w:rPr>
        <w:t xml:space="preserve">notified the </w:t>
      </w:r>
      <w:r w:rsidR="00A73075">
        <w:rPr>
          <w:sz w:val="22"/>
        </w:rPr>
        <w:t>C</w:t>
      </w:r>
      <w:r w:rsidR="00AF7FFA">
        <w:rPr>
          <w:sz w:val="22"/>
        </w:rPr>
        <w:t>ommission</w:t>
      </w:r>
      <w:r w:rsidR="0070513B">
        <w:rPr>
          <w:sz w:val="22"/>
        </w:rPr>
        <w:t xml:space="preserve"> </w:t>
      </w:r>
      <w:r w:rsidR="00A73075">
        <w:rPr>
          <w:sz w:val="22"/>
        </w:rPr>
        <w:t xml:space="preserve">of </w:t>
      </w:r>
      <w:r w:rsidR="00B05FC7">
        <w:rPr>
          <w:sz w:val="22"/>
        </w:rPr>
        <w:t>an exception</w:t>
      </w:r>
      <w:r w:rsidR="0070513B">
        <w:rPr>
          <w:sz w:val="22"/>
        </w:rPr>
        <w:t xml:space="preserve"> from internal market rules</w:t>
      </w:r>
      <w:r w:rsidR="00871940">
        <w:rPr>
          <w:sz w:val="22"/>
        </w:rPr>
        <w:t xml:space="preserve"> with reference to public health</w:t>
      </w:r>
      <w:r w:rsidR="00813D8A" w:rsidRPr="004B7A01">
        <w:rPr>
          <w:sz w:val="22"/>
        </w:rPr>
        <w:t>.</w:t>
      </w:r>
      <w:r w:rsidR="00A652D7" w:rsidRPr="004B7A01">
        <w:rPr>
          <w:sz w:val="22"/>
        </w:rPr>
        <w:t xml:space="preserve"> </w:t>
      </w:r>
      <w:bookmarkEnd w:id="3"/>
      <w:r w:rsidR="00245767">
        <w:rPr>
          <w:sz w:val="22"/>
        </w:rPr>
        <w:t xml:space="preserve">The impact assessment made by the </w:t>
      </w:r>
      <w:r w:rsidR="00A73075">
        <w:rPr>
          <w:sz w:val="22"/>
        </w:rPr>
        <w:t>M</w:t>
      </w:r>
      <w:r w:rsidR="00245767">
        <w:rPr>
          <w:sz w:val="22"/>
        </w:rPr>
        <w:t xml:space="preserve">inistry of </w:t>
      </w:r>
      <w:r w:rsidR="00A73075">
        <w:rPr>
          <w:sz w:val="22"/>
        </w:rPr>
        <w:t>H</w:t>
      </w:r>
      <w:r w:rsidR="00245767">
        <w:rPr>
          <w:sz w:val="22"/>
        </w:rPr>
        <w:t xml:space="preserve">ealth </w:t>
      </w:r>
      <w:r w:rsidR="000F4AC9">
        <w:rPr>
          <w:sz w:val="22"/>
        </w:rPr>
        <w:t xml:space="preserve">makes claims that in the context of </w:t>
      </w:r>
      <w:r w:rsidR="00EB67F0">
        <w:rPr>
          <w:sz w:val="22"/>
        </w:rPr>
        <w:t>nicotine pouches should be considered</w:t>
      </w:r>
      <w:r w:rsidR="008222B2">
        <w:rPr>
          <w:sz w:val="22"/>
        </w:rPr>
        <w:t>,</w:t>
      </w:r>
      <w:r w:rsidR="00EB67F0">
        <w:rPr>
          <w:sz w:val="22"/>
        </w:rPr>
        <w:t xml:space="preserve"> in the best case</w:t>
      </w:r>
      <w:r w:rsidR="008222B2">
        <w:rPr>
          <w:sz w:val="22"/>
        </w:rPr>
        <w:t>,</w:t>
      </w:r>
      <w:r w:rsidR="00EB67F0">
        <w:rPr>
          <w:sz w:val="22"/>
        </w:rPr>
        <w:t xml:space="preserve"> unsubstantiated</w:t>
      </w:r>
      <w:r w:rsidR="007E0450">
        <w:rPr>
          <w:sz w:val="22"/>
        </w:rPr>
        <w:t xml:space="preserve">. </w:t>
      </w:r>
      <w:r w:rsidR="00554649">
        <w:rPr>
          <w:sz w:val="22"/>
        </w:rPr>
        <w:t>The ministry also claims that n</w:t>
      </w:r>
      <w:r w:rsidR="00554649" w:rsidRPr="00554649">
        <w:rPr>
          <w:sz w:val="22"/>
        </w:rPr>
        <w:t xml:space="preserve">o alternative can be considered </w:t>
      </w:r>
      <w:r w:rsidR="004F1BEC">
        <w:rPr>
          <w:sz w:val="22"/>
        </w:rPr>
        <w:t xml:space="preserve">even though </w:t>
      </w:r>
      <w:r w:rsidR="009371FF">
        <w:rPr>
          <w:sz w:val="22"/>
        </w:rPr>
        <w:t xml:space="preserve">the proposed measures </w:t>
      </w:r>
      <w:r w:rsidR="00CF54C1">
        <w:rPr>
          <w:sz w:val="22"/>
        </w:rPr>
        <w:t xml:space="preserve">for nicotine pouches are </w:t>
      </w:r>
      <w:r w:rsidR="00765FC6">
        <w:rPr>
          <w:sz w:val="22"/>
        </w:rPr>
        <w:t xml:space="preserve">overly strict and clearly incompatible with existing legislation in several other member states. </w:t>
      </w:r>
      <w:r w:rsidR="00EB10EF" w:rsidRPr="00EB10EF">
        <w:rPr>
          <w:sz w:val="22"/>
        </w:rPr>
        <w:t>We challenge the notion that th</w:t>
      </w:r>
      <w:r w:rsidR="003B7595">
        <w:rPr>
          <w:sz w:val="22"/>
        </w:rPr>
        <w:t>e</w:t>
      </w:r>
      <w:r w:rsidR="00EB10EF" w:rsidRPr="00EB10EF">
        <w:rPr>
          <w:sz w:val="22"/>
        </w:rPr>
        <w:t xml:space="preserve"> impact assessment and proposal rely on robust evidence specific to nicotine pouche</w:t>
      </w:r>
      <w:r w:rsidR="004E2700">
        <w:rPr>
          <w:sz w:val="22"/>
        </w:rPr>
        <w:t>s.</w:t>
      </w:r>
      <w:r w:rsidR="00C8253F">
        <w:rPr>
          <w:sz w:val="22"/>
        </w:rPr>
        <w:t xml:space="preserve"> </w:t>
      </w:r>
    </w:p>
    <w:p w14:paraId="3D55DCFF" w14:textId="0CB8F813" w:rsidR="009A1B84" w:rsidRPr="004B7A01" w:rsidRDefault="003B7595" w:rsidP="00A00560">
      <w:pPr>
        <w:rPr>
          <w:rFonts w:cs="Arial"/>
          <w:sz w:val="22"/>
          <w:lang w:eastAsia="en-GB"/>
        </w:rPr>
      </w:pPr>
      <w:r>
        <w:rPr>
          <w:sz w:val="22"/>
        </w:rPr>
        <w:t>For example: t</w:t>
      </w:r>
      <w:r w:rsidR="00D45741" w:rsidRPr="004B7A01">
        <w:rPr>
          <w:sz w:val="22"/>
        </w:rPr>
        <w:t xml:space="preserve">he </w:t>
      </w:r>
      <w:r w:rsidR="00C8253F">
        <w:rPr>
          <w:sz w:val="22"/>
        </w:rPr>
        <w:t>draft text</w:t>
      </w:r>
      <w:r w:rsidR="00D45741" w:rsidRPr="004B7A01">
        <w:rPr>
          <w:sz w:val="22"/>
        </w:rPr>
        <w:t xml:space="preserve"> proposes a nicotine content limit set at </w:t>
      </w:r>
      <w:r w:rsidR="00E45E68" w:rsidRPr="004B7A01">
        <w:rPr>
          <w:sz w:val="22"/>
        </w:rPr>
        <w:t>0</w:t>
      </w:r>
      <w:r w:rsidR="009B4B0C" w:rsidRPr="004B7A01">
        <w:rPr>
          <w:sz w:val="22"/>
        </w:rPr>
        <w:t>.99</w:t>
      </w:r>
      <w:r w:rsidR="00E45E68" w:rsidRPr="004B7A01">
        <w:rPr>
          <w:sz w:val="22"/>
        </w:rPr>
        <w:t xml:space="preserve"> mg per </w:t>
      </w:r>
      <w:r w:rsidR="00CB3CC5" w:rsidRPr="004B7A01">
        <w:rPr>
          <w:sz w:val="22"/>
        </w:rPr>
        <w:t>pouch</w:t>
      </w:r>
      <w:r w:rsidR="00E45E68" w:rsidRPr="004B7A01">
        <w:rPr>
          <w:sz w:val="22"/>
        </w:rPr>
        <w:t xml:space="preserve"> </w:t>
      </w:r>
      <w:r w:rsidR="002C7CAD" w:rsidRPr="004B7A01">
        <w:rPr>
          <w:sz w:val="22"/>
        </w:rPr>
        <w:t xml:space="preserve">with an expressed intent of </w:t>
      </w:r>
      <w:r w:rsidR="00030575" w:rsidRPr="004B7A01">
        <w:rPr>
          <w:sz w:val="22"/>
        </w:rPr>
        <w:t>improving the protection of public health</w:t>
      </w:r>
      <w:r w:rsidR="002C7CAD" w:rsidRPr="004B7A01">
        <w:rPr>
          <w:sz w:val="22"/>
        </w:rPr>
        <w:t xml:space="preserve">. </w:t>
      </w:r>
      <w:r w:rsidR="008F7CF7" w:rsidRPr="004B7A01">
        <w:rPr>
          <w:sz w:val="22"/>
        </w:rPr>
        <w:t xml:space="preserve">While </w:t>
      </w:r>
      <w:r w:rsidR="007D0047">
        <w:rPr>
          <w:sz w:val="22"/>
        </w:rPr>
        <w:t xml:space="preserve">the </w:t>
      </w:r>
      <w:r w:rsidR="008F7CF7" w:rsidRPr="004B7A01">
        <w:rPr>
          <w:sz w:val="22"/>
        </w:rPr>
        <w:t xml:space="preserve">NNPA shares the concern for </w:t>
      </w:r>
      <w:r w:rsidR="00DC0616" w:rsidRPr="004B7A01">
        <w:rPr>
          <w:sz w:val="22"/>
        </w:rPr>
        <w:t>tobacco</w:t>
      </w:r>
      <w:r w:rsidR="00DC0616">
        <w:rPr>
          <w:sz w:val="22"/>
        </w:rPr>
        <w:t>-</w:t>
      </w:r>
      <w:r w:rsidR="00162EF5" w:rsidRPr="004B7A01">
        <w:rPr>
          <w:sz w:val="22"/>
        </w:rPr>
        <w:t>related harm</w:t>
      </w:r>
      <w:r w:rsidR="00FB6E55" w:rsidRPr="004B7A01">
        <w:rPr>
          <w:sz w:val="22"/>
        </w:rPr>
        <w:t>,</w:t>
      </w:r>
      <w:r w:rsidR="00753330" w:rsidRPr="004B7A01">
        <w:rPr>
          <w:sz w:val="22"/>
        </w:rPr>
        <w:t xml:space="preserve"> </w:t>
      </w:r>
      <w:r w:rsidR="00706098" w:rsidRPr="004B7A01">
        <w:rPr>
          <w:sz w:val="22"/>
        </w:rPr>
        <w:t xml:space="preserve">the </w:t>
      </w:r>
      <w:r w:rsidR="00CF683B" w:rsidRPr="004B7A01">
        <w:rPr>
          <w:sz w:val="22"/>
        </w:rPr>
        <w:t>one main factor deciding risk connected to nicotine use is how</w:t>
      </w:r>
      <w:r w:rsidR="00B24FC3" w:rsidRPr="004B7A01">
        <w:rPr>
          <w:sz w:val="22"/>
        </w:rPr>
        <w:t xml:space="preserve"> it is consumed</w:t>
      </w:r>
      <w:r w:rsidR="00926CA5" w:rsidRPr="004B7A01">
        <w:rPr>
          <w:sz w:val="22"/>
        </w:rPr>
        <w:t xml:space="preserve"> and t</w:t>
      </w:r>
      <w:r w:rsidR="00926CA5" w:rsidRPr="004B7A01">
        <w:rPr>
          <w:rFonts w:cs="Arial"/>
          <w:sz w:val="22"/>
          <w:lang w:eastAsia="en-GB"/>
        </w:rPr>
        <w:t xml:space="preserve">he relative risk of nicotine pouches compared to cigarettes is unanimously recognized as significantly lower. </w:t>
      </w:r>
    </w:p>
    <w:p w14:paraId="559EBF6C" w14:textId="3A7754D6" w:rsidR="002909F6" w:rsidRDefault="00DE5C4C" w:rsidP="00DE5C4C">
      <w:pPr>
        <w:rPr>
          <w:sz w:val="22"/>
        </w:rPr>
      </w:pPr>
      <w:r w:rsidRPr="00DE5C4C">
        <w:rPr>
          <w:sz w:val="22"/>
        </w:rPr>
        <w:t>Nicotine pouches have emerged as an effective alternative for consumers seeking to quit smoking. To achieve EU targets on smoking prevalence going from over 20% to below 5% in a situation with over 80 million smokers in the EU, it is essential for policymakers to</w:t>
      </w:r>
      <w:r>
        <w:rPr>
          <w:sz w:val="22"/>
        </w:rPr>
        <w:t xml:space="preserve"> </w:t>
      </w:r>
      <w:r w:rsidRPr="00DE5C4C">
        <w:rPr>
          <w:sz w:val="22"/>
        </w:rPr>
        <w:t xml:space="preserve">acknowledge that many smokers are willing to transition away from cigarettes but not necessarily to quit nicotine. Traditional approaches to tobacco control that demand complete nicotine abstinence have proven ineffective for a significant part of the smoking population. Therefore, policymakers should embrace reduced-risk alternatives to reach all smokers, </w:t>
      </w:r>
      <w:proofErr w:type="gramStart"/>
      <w:r w:rsidRPr="00DE5C4C">
        <w:rPr>
          <w:sz w:val="22"/>
        </w:rPr>
        <w:t>taking into account</w:t>
      </w:r>
      <w:proofErr w:type="gramEnd"/>
      <w:r w:rsidRPr="00DE5C4C">
        <w:rPr>
          <w:sz w:val="22"/>
        </w:rPr>
        <w:t xml:space="preserve"> factors such as taste preferences, ease of use, and nicotine delivery methods. </w:t>
      </w:r>
    </w:p>
    <w:p w14:paraId="3AD8EBC0" w14:textId="3FE9DB45" w:rsidR="00AC7E68" w:rsidRDefault="00FB20E2" w:rsidP="008B13CA">
      <w:pPr>
        <w:rPr>
          <w:sz w:val="22"/>
        </w:rPr>
      </w:pPr>
      <w:r>
        <w:rPr>
          <w:b/>
          <w:bCs/>
          <w:sz w:val="22"/>
        </w:rPr>
        <w:t>With a</w:t>
      </w:r>
      <w:r w:rsidR="000A2E0B" w:rsidRPr="001078C5">
        <w:rPr>
          <w:b/>
          <w:bCs/>
          <w:sz w:val="22"/>
        </w:rPr>
        <w:t xml:space="preserve"> </w:t>
      </w:r>
      <w:r>
        <w:rPr>
          <w:b/>
          <w:bCs/>
          <w:sz w:val="22"/>
        </w:rPr>
        <w:t xml:space="preserve">maximum </w:t>
      </w:r>
      <w:r w:rsidR="008742A0" w:rsidRPr="001078C5">
        <w:rPr>
          <w:b/>
          <w:bCs/>
          <w:sz w:val="22"/>
        </w:rPr>
        <w:t xml:space="preserve">nicotine content </w:t>
      </w:r>
      <w:r w:rsidR="00F5594F" w:rsidRPr="001078C5">
        <w:rPr>
          <w:b/>
          <w:bCs/>
          <w:sz w:val="22"/>
        </w:rPr>
        <w:t>of</w:t>
      </w:r>
      <w:r w:rsidR="008742A0" w:rsidRPr="001078C5">
        <w:rPr>
          <w:b/>
          <w:bCs/>
          <w:sz w:val="22"/>
        </w:rPr>
        <w:t xml:space="preserve"> 0,99 m</w:t>
      </w:r>
      <w:r w:rsidR="00170FC7" w:rsidRPr="001078C5">
        <w:rPr>
          <w:b/>
          <w:bCs/>
          <w:sz w:val="22"/>
        </w:rPr>
        <w:t>g</w:t>
      </w:r>
      <w:r w:rsidR="005D024F">
        <w:rPr>
          <w:b/>
          <w:bCs/>
          <w:sz w:val="22"/>
        </w:rPr>
        <w:t xml:space="preserve"> </w:t>
      </w:r>
      <w:r w:rsidR="00170FC7" w:rsidRPr="001078C5">
        <w:rPr>
          <w:b/>
          <w:bCs/>
          <w:sz w:val="22"/>
        </w:rPr>
        <w:t>per pouch</w:t>
      </w:r>
      <w:r>
        <w:rPr>
          <w:b/>
          <w:bCs/>
          <w:sz w:val="22"/>
        </w:rPr>
        <w:t xml:space="preserve">, </w:t>
      </w:r>
      <w:r w:rsidR="00C5194E" w:rsidRPr="001078C5">
        <w:rPr>
          <w:b/>
          <w:bCs/>
          <w:sz w:val="22"/>
        </w:rPr>
        <w:t>nicotine pouch</w:t>
      </w:r>
      <w:r w:rsidR="00496FFB" w:rsidRPr="001078C5">
        <w:rPr>
          <w:b/>
          <w:bCs/>
          <w:sz w:val="22"/>
        </w:rPr>
        <w:t>es</w:t>
      </w:r>
      <w:r w:rsidR="00C5194E" w:rsidRPr="001078C5">
        <w:rPr>
          <w:b/>
          <w:bCs/>
          <w:sz w:val="22"/>
        </w:rPr>
        <w:t xml:space="preserve"> </w:t>
      </w:r>
      <w:r w:rsidR="00952F77">
        <w:rPr>
          <w:b/>
          <w:bCs/>
          <w:sz w:val="22"/>
        </w:rPr>
        <w:t xml:space="preserve">would </w:t>
      </w:r>
      <w:r w:rsidR="00F5594F" w:rsidRPr="001078C5">
        <w:rPr>
          <w:b/>
          <w:bCs/>
          <w:sz w:val="22"/>
        </w:rPr>
        <w:t xml:space="preserve">have </w:t>
      </w:r>
      <w:r w:rsidR="00952F77">
        <w:rPr>
          <w:b/>
          <w:bCs/>
          <w:sz w:val="22"/>
        </w:rPr>
        <w:t xml:space="preserve">a </w:t>
      </w:r>
      <w:r w:rsidR="00F5594F" w:rsidRPr="001078C5">
        <w:rPr>
          <w:b/>
          <w:bCs/>
          <w:sz w:val="22"/>
        </w:rPr>
        <w:t>minimal o</w:t>
      </w:r>
      <w:r w:rsidR="00952F77">
        <w:rPr>
          <w:b/>
          <w:bCs/>
          <w:sz w:val="22"/>
        </w:rPr>
        <w:t>r</w:t>
      </w:r>
      <w:r w:rsidR="00F5594F" w:rsidRPr="001078C5">
        <w:rPr>
          <w:b/>
          <w:bCs/>
          <w:sz w:val="22"/>
        </w:rPr>
        <w:t xml:space="preserve"> no effect on a </w:t>
      </w:r>
      <w:r w:rsidR="008E3270" w:rsidRPr="001078C5">
        <w:rPr>
          <w:b/>
          <w:bCs/>
          <w:sz w:val="22"/>
        </w:rPr>
        <w:t xml:space="preserve">regular smoker and effectively remove </w:t>
      </w:r>
      <w:r w:rsidR="005515BA" w:rsidRPr="001078C5">
        <w:rPr>
          <w:b/>
          <w:bCs/>
          <w:sz w:val="22"/>
        </w:rPr>
        <w:t>the</w:t>
      </w:r>
      <w:r w:rsidR="00952F77">
        <w:rPr>
          <w:b/>
          <w:bCs/>
          <w:sz w:val="22"/>
        </w:rPr>
        <w:t xml:space="preserve"> category</w:t>
      </w:r>
      <w:r w:rsidR="005515BA" w:rsidRPr="001078C5">
        <w:rPr>
          <w:b/>
          <w:bCs/>
          <w:sz w:val="22"/>
        </w:rPr>
        <w:t xml:space="preserve"> as a valid, low risk alternative for the </w:t>
      </w:r>
      <w:r w:rsidR="007C5A08" w:rsidRPr="001078C5">
        <w:rPr>
          <w:b/>
          <w:bCs/>
          <w:sz w:val="22"/>
        </w:rPr>
        <w:t xml:space="preserve">25.8% of the </w:t>
      </w:r>
      <w:r w:rsidR="005515BA" w:rsidRPr="001078C5">
        <w:rPr>
          <w:b/>
          <w:bCs/>
          <w:sz w:val="22"/>
        </w:rPr>
        <w:t xml:space="preserve">Spanish </w:t>
      </w:r>
      <w:r w:rsidR="007C5A08" w:rsidRPr="001078C5">
        <w:rPr>
          <w:b/>
          <w:bCs/>
          <w:sz w:val="22"/>
        </w:rPr>
        <w:t xml:space="preserve">population </w:t>
      </w:r>
      <w:r w:rsidR="00B85FCE" w:rsidRPr="001078C5">
        <w:rPr>
          <w:b/>
          <w:bCs/>
          <w:sz w:val="22"/>
        </w:rPr>
        <w:t>that are daily smokers</w:t>
      </w:r>
      <w:r w:rsidR="00B85FCE" w:rsidRPr="004B7A01">
        <w:rPr>
          <w:sz w:val="22"/>
        </w:rPr>
        <w:t xml:space="preserve">. </w:t>
      </w:r>
      <w:r w:rsidR="00AF608D" w:rsidRPr="004B7A01">
        <w:rPr>
          <w:sz w:val="22"/>
        </w:rPr>
        <w:t xml:space="preserve">Such a low </w:t>
      </w:r>
      <w:r w:rsidR="00C24A68" w:rsidRPr="004B7A01">
        <w:rPr>
          <w:sz w:val="22"/>
        </w:rPr>
        <w:t xml:space="preserve">limit would </w:t>
      </w:r>
      <w:r w:rsidR="00355BE6" w:rsidRPr="004B7A01">
        <w:rPr>
          <w:sz w:val="22"/>
        </w:rPr>
        <w:t xml:space="preserve">in effect </w:t>
      </w:r>
      <w:r w:rsidR="00C24A68" w:rsidRPr="004B7A01">
        <w:rPr>
          <w:sz w:val="22"/>
        </w:rPr>
        <w:t xml:space="preserve">be </w:t>
      </w:r>
      <w:r w:rsidR="00355BE6" w:rsidRPr="004B7A01">
        <w:rPr>
          <w:sz w:val="22"/>
        </w:rPr>
        <w:t>equal</w:t>
      </w:r>
      <w:r w:rsidR="00C24A68" w:rsidRPr="004B7A01">
        <w:rPr>
          <w:sz w:val="22"/>
        </w:rPr>
        <w:t xml:space="preserve"> to a ban</w:t>
      </w:r>
      <w:r w:rsidR="003606B8" w:rsidRPr="004B7A01">
        <w:rPr>
          <w:sz w:val="22"/>
        </w:rPr>
        <w:t xml:space="preserve"> of the product category and </w:t>
      </w:r>
      <w:r w:rsidR="0022777F" w:rsidRPr="004B7A01">
        <w:rPr>
          <w:sz w:val="22"/>
        </w:rPr>
        <w:t>effectively</w:t>
      </w:r>
      <w:r w:rsidR="003A7B9A" w:rsidRPr="004B7A01">
        <w:rPr>
          <w:sz w:val="22"/>
        </w:rPr>
        <w:t xml:space="preserve"> remove all potential </w:t>
      </w:r>
      <w:r w:rsidR="00A11C4A" w:rsidRPr="004B7A01">
        <w:rPr>
          <w:sz w:val="22"/>
        </w:rPr>
        <w:t xml:space="preserve">for attracting smokers </w:t>
      </w:r>
      <w:r w:rsidR="007E37CC" w:rsidRPr="004B7A01">
        <w:rPr>
          <w:sz w:val="22"/>
        </w:rPr>
        <w:t>to switch</w:t>
      </w:r>
      <w:r w:rsidR="005620E7" w:rsidRPr="004B7A01">
        <w:rPr>
          <w:sz w:val="22"/>
        </w:rPr>
        <w:t xml:space="preserve">, </w:t>
      </w:r>
      <w:r w:rsidR="00681D8E" w:rsidRPr="004B7A01">
        <w:rPr>
          <w:sz w:val="22"/>
        </w:rPr>
        <w:t xml:space="preserve">without creating any </w:t>
      </w:r>
      <w:r w:rsidR="0034067A" w:rsidRPr="004B7A01">
        <w:rPr>
          <w:sz w:val="22"/>
        </w:rPr>
        <w:t>benefit</w:t>
      </w:r>
      <w:r w:rsidR="00304A2D" w:rsidRPr="004B7A01">
        <w:rPr>
          <w:sz w:val="22"/>
        </w:rPr>
        <w:t xml:space="preserve"> or </w:t>
      </w:r>
      <w:r w:rsidR="003218F2" w:rsidRPr="004B7A01">
        <w:rPr>
          <w:sz w:val="22"/>
        </w:rPr>
        <w:t xml:space="preserve">positive effect. </w:t>
      </w:r>
    </w:p>
    <w:p w14:paraId="634E38A4" w14:textId="4116603E" w:rsidR="007D4C25" w:rsidRDefault="00A00560" w:rsidP="008B13CA">
      <w:pPr>
        <w:rPr>
          <w:rFonts w:cs="Arial"/>
          <w:sz w:val="22"/>
          <w:lang w:eastAsia="en-GB"/>
        </w:rPr>
      </w:pPr>
      <w:r w:rsidRPr="004B7A01">
        <w:rPr>
          <w:rFonts w:cs="Arial"/>
          <w:sz w:val="22"/>
          <w:lang w:eastAsia="en-GB"/>
        </w:rPr>
        <w:lastRenderedPageBreak/>
        <w:t>While not risk free, the placing of nicotine pouches on the</w:t>
      </w:r>
      <w:r w:rsidR="00F957ED" w:rsidRPr="004B7A01">
        <w:rPr>
          <w:rFonts w:cs="Arial"/>
          <w:sz w:val="22"/>
          <w:lang w:eastAsia="en-GB"/>
        </w:rPr>
        <w:t xml:space="preserve"> </w:t>
      </w:r>
      <w:r w:rsidRPr="004B7A01">
        <w:rPr>
          <w:rFonts w:cs="Arial"/>
          <w:sz w:val="22"/>
          <w:lang w:eastAsia="en-GB"/>
        </w:rPr>
        <w:t>market does not contribute to any significant risk to public health</w:t>
      </w:r>
      <w:r w:rsidR="002768DF">
        <w:rPr>
          <w:rFonts w:cs="Arial"/>
          <w:sz w:val="22"/>
          <w:lang w:eastAsia="en-GB"/>
        </w:rPr>
        <w:t>.</w:t>
      </w:r>
      <w:r w:rsidRPr="004B7A01">
        <w:rPr>
          <w:rStyle w:val="FootnoteReference"/>
          <w:rFonts w:cs="Arial"/>
          <w:sz w:val="22"/>
          <w:lang w:eastAsia="en-GB"/>
        </w:rPr>
        <w:footnoteReference w:id="2"/>
      </w:r>
      <w:r w:rsidRPr="004B7A01">
        <w:rPr>
          <w:rStyle w:val="FootnoteReference"/>
          <w:rFonts w:cs="Arial"/>
          <w:sz w:val="22"/>
          <w:lang w:eastAsia="en-GB"/>
        </w:rPr>
        <w:footnoteReference w:id="3"/>
      </w:r>
      <w:r w:rsidRPr="004B7A01">
        <w:rPr>
          <w:rStyle w:val="FootnoteReference"/>
          <w:rFonts w:cs="Arial"/>
          <w:sz w:val="22"/>
          <w:lang w:eastAsia="en-GB"/>
        </w:rPr>
        <w:footnoteReference w:id="4"/>
      </w:r>
      <w:r w:rsidRPr="004B7A01">
        <w:rPr>
          <w:rFonts w:cs="Arial"/>
          <w:sz w:val="22"/>
          <w:lang w:eastAsia="en-GB"/>
        </w:rPr>
        <w:t xml:space="preserve"> On the contrary, statistics from countries that have available and affordable nicotine pouches</w:t>
      </w:r>
      <w:r w:rsidR="006D7EFD" w:rsidRPr="004B7A01">
        <w:rPr>
          <w:rFonts w:cs="Arial"/>
          <w:sz w:val="22"/>
          <w:lang w:eastAsia="en-GB"/>
        </w:rPr>
        <w:t xml:space="preserve"> (including </w:t>
      </w:r>
      <w:r w:rsidR="00B24D47" w:rsidRPr="004B7A01">
        <w:rPr>
          <w:rFonts w:cs="Arial"/>
          <w:sz w:val="22"/>
          <w:lang w:eastAsia="en-GB"/>
        </w:rPr>
        <w:t xml:space="preserve">products </w:t>
      </w:r>
      <w:r w:rsidR="003615E0">
        <w:rPr>
          <w:rFonts w:cs="Arial"/>
          <w:sz w:val="22"/>
          <w:lang w:eastAsia="en-GB"/>
        </w:rPr>
        <w:t>at 20 mg</w:t>
      </w:r>
      <w:r w:rsidR="005D024F">
        <w:rPr>
          <w:rFonts w:cs="Arial"/>
          <w:sz w:val="22"/>
          <w:lang w:eastAsia="en-GB"/>
        </w:rPr>
        <w:t xml:space="preserve"> per pouch</w:t>
      </w:r>
      <w:r w:rsidR="003615E0">
        <w:rPr>
          <w:rFonts w:cs="Arial"/>
          <w:sz w:val="22"/>
          <w:lang w:eastAsia="en-GB"/>
        </w:rPr>
        <w:t xml:space="preserve"> which is approximately </w:t>
      </w:r>
      <w:r w:rsidR="00B24D47" w:rsidRPr="004B7A01">
        <w:rPr>
          <w:rFonts w:cs="Arial"/>
          <w:sz w:val="22"/>
          <w:lang w:eastAsia="en-GB"/>
        </w:rPr>
        <w:t>20 times stronger than the Spanish proposal)</w:t>
      </w:r>
      <w:r w:rsidRPr="004B7A01">
        <w:rPr>
          <w:rFonts w:cs="Arial"/>
          <w:sz w:val="22"/>
          <w:lang w:eastAsia="en-GB"/>
        </w:rPr>
        <w:t xml:space="preserve"> indicate that their presence on the market provides a viable and attractive alternative for adult smokers and that the benefits on a societal level are massive. </w:t>
      </w:r>
    </w:p>
    <w:p w14:paraId="04DDD9D2" w14:textId="7CDC913E" w:rsidR="001878B5" w:rsidRDefault="008B13CA" w:rsidP="008B13CA">
      <w:pPr>
        <w:rPr>
          <w:rFonts w:cs="Arial"/>
          <w:sz w:val="22"/>
          <w:lang w:eastAsia="en-GB"/>
        </w:rPr>
      </w:pPr>
      <w:r w:rsidRPr="008B13CA">
        <w:rPr>
          <w:rFonts w:cs="Arial"/>
          <w:sz w:val="22"/>
          <w:lang w:eastAsia="en-GB"/>
        </w:rPr>
        <w:t>In terms of the nicotine content per pouch, the conclusions that were reached by the German Federal Institute for Risk Assessment (</w:t>
      </w:r>
      <w:proofErr w:type="spellStart"/>
      <w:r w:rsidRPr="008B13CA">
        <w:rPr>
          <w:rFonts w:cs="Arial"/>
          <w:sz w:val="22"/>
          <w:lang w:eastAsia="en-GB"/>
        </w:rPr>
        <w:t>BfR</w:t>
      </w:r>
      <w:proofErr w:type="spellEnd"/>
      <w:r w:rsidRPr="008B13CA">
        <w:rPr>
          <w:rFonts w:cs="Arial"/>
          <w:sz w:val="22"/>
          <w:lang w:eastAsia="en-GB"/>
        </w:rPr>
        <w:t>) in its recent report “Health Assessment of Nicotine Pouches” (October 7, 2022) are scientifically well argued. According to technical specifications outlined by the Swedish Institute for Standards (SIS)</w:t>
      </w:r>
      <w:r w:rsidR="001878B5">
        <w:rPr>
          <w:rStyle w:val="FootnoteReference"/>
          <w:rFonts w:cs="Arial"/>
          <w:sz w:val="22"/>
          <w:lang w:eastAsia="en-GB"/>
        </w:rPr>
        <w:footnoteReference w:id="5"/>
      </w:r>
      <w:r w:rsidRPr="008B13CA">
        <w:rPr>
          <w:rFonts w:cs="Arial"/>
          <w:sz w:val="22"/>
          <w:lang w:eastAsia="en-GB"/>
        </w:rPr>
        <w:t>, it is recommended that nicotine pouches should not exceed 20 milligrams of nicotine per consumable. In response to these standards, several countries</w:t>
      </w:r>
      <w:r w:rsidR="003D0285">
        <w:rPr>
          <w:rStyle w:val="FootnoteReference"/>
          <w:rFonts w:cs="Arial"/>
          <w:sz w:val="22"/>
          <w:lang w:eastAsia="en-GB"/>
        </w:rPr>
        <w:footnoteReference w:id="6"/>
      </w:r>
      <w:r w:rsidR="001878B5">
        <w:rPr>
          <w:rFonts w:cs="Arial"/>
          <w:sz w:val="22"/>
          <w:lang w:eastAsia="en-GB"/>
        </w:rPr>
        <w:t xml:space="preserve"> </w:t>
      </w:r>
      <w:r w:rsidRPr="008B13CA">
        <w:rPr>
          <w:rFonts w:cs="Arial"/>
          <w:sz w:val="22"/>
          <w:lang w:eastAsia="en-GB"/>
        </w:rPr>
        <w:t>have implemented limits, capping nicotine concentration at, or close to 20 m</w:t>
      </w:r>
      <w:r w:rsidR="005D024F">
        <w:rPr>
          <w:rFonts w:cs="Arial"/>
          <w:sz w:val="22"/>
          <w:lang w:eastAsia="en-GB"/>
        </w:rPr>
        <w:t>g</w:t>
      </w:r>
      <w:r w:rsidRPr="008B13CA">
        <w:rPr>
          <w:rFonts w:cs="Arial"/>
          <w:sz w:val="22"/>
          <w:lang w:eastAsia="en-GB"/>
        </w:rPr>
        <w:t xml:space="preserve"> per consumable or per gram of product weight.</w:t>
      </w:r>
    </w:p>
    <w:p w14:paraId="6C2A7298" w14:textId="62B27F63" w:rsidR="00A00560" w:rsidRPr="004B7A01" w:rsidRDefault="00A00560" w:rsidP="008B13CA">
      <w:pPr>
        <w:rPr>
          <w:rFonts w:cs="Arial"/>
          <w:sz w:val="22"/>
          <w:lang w:eastAsia="en-GB"/>
        </w:rPr>
      </w:pPr>
      <w:r w:rsidRPr="004B7A01">
        <w:rPr>
          <w:rFonts w:cs="Arial"/>
          <w:sz w:val="22"/>
          <w:lang w:eastAsia="en-GB"/>
        </w:rPr>
        <w:t>According to EU statistics, Sweden has around the same percentage of nicotine users as the average in the union, but all indicators of tobacco-related harm including lung cancer, Chronic Obstructive Pulmonary Disease (COPD</w:t>
      </w:r>
      <w:r w:rsidR="00C8253F">
        <w:rPr>
          <w:rFonts w:cs="Arial"/>
          <w:sz w:val="22"/>
          <w:lang w:eastAsia="en-GB"/>
        </w:rPr>
        <w:t>)</w:t>
      </w:r>
      <w:r w:rsidRPr="004B7A01">
        <w:rPr>
          <w:rFonts w:cs="Arial"/>
          <w:sz w:val="22"/>
          <w:lang w:eastAsia="en-GB"/>
        </w:rPr>
        <w:t xml:space="preserve"> and general mortality rates related to tobacco use are significantly lower than in all other Member States (typically 40-50</w:t>
      </w:r>
      <w:r w:rsidR="005D024F">
        <w:rPr>
          <w:rFonts w:cs="Arial"/>
          <w:sz w:val="22"/>
          <w:lang w:eastAsia="en-GB"/>
        </w:rPr>
        <w:t xml:space="preserve">% </w:t>
      </w:r>
      <w:r w:rsidRPr="004B7A01">
        <w:rPr>
          <w:rFonts w:cs="Arial"/>
          <w:sz w:val="22"/>
          <w:lang w:eastAsia="en-GB"/>
        </w:rPr>
        <w:t xml:space="preserve">lower). </w:t>
      </w:r>
    </w:p>
    <w:p w14:paraId="1337D7C6" w14:textId="68F7C6C0" w:rsidR="00FA6902" w:rsidRPr="004B7A01" w:rsidRDefault="005D391F" w:rsidP="009A443D">
      <w:pPr>
        <w:rPr>
          <w:rFonts w:cs="Arial"/>
          <w:sz w:val="22"/>
          <w:lang w:eastAsia="en-GB"/>
        </w:rPr>
      </w:pPr>
      <w:r w:rsidRPr="004B7A01">
        <w:rPr>
          <w:rFonts w:cs="Arial"/>
          <w:sz w:val="22"/>
          <w:lang w:eastAsia="en-GB"/>
        </w:rPr>
        <w:t>T</w:t>
      </w:r>
      <w:r w:rsidR="004060DE" w:rsidRPr="004B7A01">
        <w:rPr>
          <w:rFonts w:cs="Arial"/>
          <w:sz w:val="22"/>
          <w:lang w:eastAsia="en-GB"/>
        </w:rPr>
        <w:t xml:space="preserve">he </w:t>
      </w:r>
      <w:r w:rsidR="00FA736A" w:rsidRPr="004B7A01">
        <w:rPr>
          <w:rFonts w:cs="Arial"/>
          <w:sz w:val="22"/>
          <w:lang w:eastAsia="en-GB"/>
        </w:rPr>
        <w:t>risks related to nicotine pouch</w:t>
      </w:r>
      <w:r w:rsidRPr="004B7A01">
        <w:rPr>
          <w:rFonts w:cs="Arial"/>
          <w:sz w:val="22"/>
          <w:lang w:eastAsia="en-GB"/>
        </w:rPr>
        <w:t xml:space="preserve"> use</w:t>
      </w:r>
      <w:r w:rsidR="00FA736A" w:rsidRPr="004B7A01">
        <w:rPr>
          <w:rFonts w:cs="Arial"/>
          <w:sz w:val="22"/>
          <w:lang w:eastAsia="en-GB"/>
        </w:rPr>
        <w:t xml:space="preserve"> </w:t>
      </w:r>
      <w:r w:rsidR="00F16D7C" w:rsidRPr="004B7A01">
        <w:rPr>
          <w:rFonts w:cs="Arial"/>
          <w:sz w:val="22"/>
          <w:lang w:eastAsia="en-GB"/>
        </w:rPr>
        <w:t>are</w:t>
      </w:r>
      <w:r w:rsidR="00FA736A" w:rsidRPr="004B7A01">
        <w:rPr>
          <w:rFonts w:cs="Arial"/>
          <w:sz w:val="22"/>
          <w:lang w:eastAsia="en-GB"/>
        </w:rPr>
        <w:t xml:space="preserve"> very low</w:t>
      </w:r>
      <w:r w:rsidR="00FA6902" w:rsidRPr="004B7A01">
        <w:rPr>
          <w:rFonts w:cs="Arial"/>
          <w:sz w:val="22"/>
          <w:lang w:eastAsia="en-GB"/>
        </w:rPr>
        <w:t xml:space="preserve"> </w:t>
      </w:r>
      <w:r w:rsidR="008E3884" w:rsidRPr="004B7A01">
        <w:rPr>
          <w:rFonts w:cs="Arial"/>
          <w:sz w:val="22"/>
          <w:lang w:eastAsia="en-GB"/>
        </w:rPr>
        <w:t>(</w:t>
      </w:r>
      <w:r w:rsidR="00C631A7">
        <w:rPr>
          <w:rFonts w:cs="Arial"/>
          <w:sz w:val="22"/>
          <w:lang w:eastAsia="en-GB"/>
        </w:rPr>
        <w:t xml:space="preserve">the </w:t>
      </w:r>
      <w:r w:rsidR="00676671" w:rsidRPr="004B7A01">
        <w:rPr>
          <w:rFonts w:cs="Arial"/>
          <w:sz w:val="22"/>
          <w:lang w:eastAsia="en-GB"/>
        </w:rPr>
        <w:t xml:space="preserve">risk profile is </w:t>
      </w:r>
      <w:proofErr w:type="gramStart"/>
      <w:r w:rsidR="00676671" w:rsidRPr="004B7A01">
        <w:rPr>
          <w:rFonts w:cs="Arial"/>
          <w:sz w:val="22"/>
          <w:lang w:eastAsia="en-GB"/>
        </w:rPr>
        <w:t>similar to</w:t>
      </w:r>
      <w:proofErr w:type="gramEnd"/>
      <w:r w:rsidR="006C5D62" w:rsidRPr="004B7A01">
        <w:rPr>
          <w:rFonts w:cs="Arial"/>
          <w:sz w:val="22"/>
          <w:lang w:eastAsia="en-GB"/>
        </w:rPr>
        <w:t xml:space="preserve"> </w:t>
      </w:r>
      <w:r w:rsidR="005846E9" w:rsidRPr="004B7A01">
        <w:rPr>
          <w:rFonts w:cs="Arial"/>
          <w:sz w:val="22"/>
          <w:lang w:eastAsia="en-GB"/>
        </w:rPr>
        <w:t xml:space="preserve">products used in </w:t>
      </w:r>
      <w:r w:rsidR="006C5D62" w:rsidRPr="004B7A01">
        <w:rPr>
          <w:rFonts w:cs="Arial"/>
          <w:sz w:val="22"/>
          <w:lang w:eastAsia="en-GB"/>
        </w:rPr>
        <w:t>N</w:t>
      </w:r>
      <w:r w:rsidR="0048384E" w:rsidRPr="004B7A01">
        <w:rPr>
          <w:rFonts w:cs="Arial"/>
          <w:sz w:val="22"/>
          <w:lang w:eastAsia="en-GB"/>
        </w:rPr>
        <w:t xml:space="preserve">icotine Replacement </w:t>
      </w:r>
      <w:r w:rsidR="005846E9" w:rsidRPr="004B7A01">
        <w:rPr>
          <w:rFonts w:cs="Arial"/>
          <w:sz w:val="22"/>
          <w:lang w:eastAsia="en-GB"/>
        </w:rPr>
        <w:t>Therapy i.e. patches</w:t>
      </w:r>
      <w:r w:rsidR="00676671" w:rsidRPr="004B7A01">
        <w:rPr>
          <w:rFonts w:cs="Arial"/>
          <w:sz w:val="22"/>
          <w:lang w:eastAsia="en-GB"/>
        </w:rPr>
        <w:t>, gums etc.</w:t>
      </w:r>
      <w:r w:rsidR="006C5D62" w:rsidRPr="004B7A01">
        <w:rPr>
          <w:rFonts w:cs="Arial"/>
          <w:sz w:val="22"/>
          <w:lang w:eastAsia="en-GB"/>
        </w:rPr>
        <w:t xml:space="preserve">) </w:t>
      </w:r>
      <w:r w:rsidR="00930D2B" w:rsidRPr="004B7A01">
        <w:rPr>
          <w:rFonts w:cs="Arial"/>
          <w:sz w:val="22"/>
          <w:lang w:eastAsia="en-GB"/>
        </w:rPr>
        <w:t>and</w:t>
      </w:r>
      <w:r w:rsidRPr="004B7A01">
        <w:rPr>
          <w:rFonts w:cs="Arial"/>
          <w:sz w:val="22"/>
          <w:lang w:eastAsia="en-GB"/>
        </w:rPr>
        <w:t xml:space="preserve"> even</w:t>
      </w:r>
      <w:r w:rsidR="007F64AB" w:rsidRPr="004B7A01">
        <w:rPr>
          <w:rFonts w:cs="Arial"/>
          <w:sz w:val="22"/>
          <w:lang w:eastAsia="en-GB"/>
        </w:rPr>
        <w:t xml:space="preserve"> if</w:t>
      </w:r>
      <w:r w:rsidR="00930D2B" w:rsidRPr="004B7A01">
        <w:rPr>
          <w:rFonts w:cs="Arial"/>
          <w:sz w:val="22"/>
          <w:lang w:eastAsia="en-GB"/>
        </w:rPr>
        <w:t xml:space="preserve"> </w:t>
      </w:r>
      <w:r w:rsidR="00FA6902" w:rsidRPr="004B7A01">
        <w:rPr>
          <w:rFonts w:cs="Arial"/>
          <w:sz w:val="22"/>
          <w:lang w:eastAsia="en-GB"/>
        </w:rPr>
        <w:t>complete abstinence from nicotine is the healthiest choice,</w:t>
      </w:r>
      <w:r w:rsidR="003E43B8" w:rsidRPr="004B7A01">
        <w:rPr>
          <w:rFonts w:cs="Arial"/>
          <w:sz w:val="22"/>
          <w:lang w:eastAsia="en-GB"/>
        </w:rPr>
        <w:t xml:space="preserve"> </w:t>
      </w:r>
      <w:r w:rsidR="00FA6902" w:rsidRPr="004B7A01">
        <w:rPr>
          <w:rFonts w:cs="Arial"/>
          <w:sz w:val="22"/>
          <w:lang w:eastAsia="en-GB"/>
        </w:rPr>
        <w:t>the benefits of encouraging smokers to switch to nicotine pouches are undeniable and far outweigh potential drawbacks</w:t>
      </w:r>
      <w:r w:rsidR="003E43B8" w:rsidRPr="004B7A01">
        <w:rPr>
          <w:rFonts w:cs="Arial"/>
          <w:sz w:val="22"/>
          <w:lang w:eastAsia="en-GB"/>
        </w:rPr>
        <w:t xml:space="preserve">, even if measured on the total population. </w:t>
      </w:r>
      <w:r w:rsidR="00BB4DCF" w:rsidRPr="004B7A01">
        <w:rPr>
          <w:rFonts w:cs="Arial"/>
          <w:sz w:val="22"/>
          <w:lang w:eastAsia="en-GB"/>
        </w:rPr>
        <w:t>Policies should focus on incentivizing and facilitating this switch rather than restricting access, as this would maximize public health benefits and provide a clear pathway for smokers to adopt less harmful alternatives, potentially saving countless lives and reducing healthcare burdens.</w:t>
      </w:r>
    </w:p>
    <w:p w14:paraId="1B748E72" w14:textId="42B46B75" w:rsidR="009273F5" w:rsidRPr="004B7A01" w:rsidRDefault="009A443D" w:rsidP="009A443D">
      <w:pPr>
        <w:rPr>
          <w:rFonts w:cs="Arial"/>
          <w:sz w:val="22"/>
          <w:lang w:eastAsia="en-GB"/>
        </w:rPr>
      </w:pPr>
      <w:r w:rsidRPr="004B7A01">
        <w:rPr>
          <w:rFonts w:cs="Arial"/>
          <w:sz w:val="22"/>
          <w:lang w:eastAsia="en-GB"/>
        </w:rPr>
        <w:t xml:space="preserve">Nicotine pouches do not contain tobacco, they are not burned, heated or in any other way chemically altered when used. </w:t>
      </w:r>
      <w:r w:rsidR="0063176B" w:rsidRPr="004B7A01">
        <w:rPr>
          <w:rFonts w:cs="Arial"/>
          <w:sz w:val="22"/>
          <w:lang w:eastAsia="en-GB"/>
        </w:rPr>
        <w:t xml:space="preserve">As such the </w:t>
      </w:r>
      <w:r w:rsidR="00316424" w:rsidRPr="004B7A01">
        <w:rPr>
          <w:rFonts w:cs="Arial"/>
          <w:sz w:val="22"/>
          <w:lang w:eastAsia="en-GB"/>
        </w:rPr>
        <w:t xml:space="preserve">risk </w:t>
      </w:r>
      <w:r w:rsidR="00D231FA" w:rsidRPr="004B7A01">
        <w:rPr>
          <w:rFonts w:cs="Arial"/>
          <w:sz w:val="22"/>
          <w:lang w:eastAsia="en-GB"/>
        </w:rPr>
        <w:t xml:space="preserve">is on the completely opposite side of the risk spectrum compared to </w:t>
      </w:r>
      <w:r w:rsidR="003C7333" w:rsidRPr="004B7A01">
        <w:rPr>
          <w:rFonts w:cs="Arial"/>
          <w:sz w:val="22"/>
          <w:lang w:eastAsia="en-GB"/>
        </w:rPr>
        <w:t>smoking</w:t>
      </w:r>
      <w:r w:rsidR="001763B3" w:rsidRPr="004B7A01">
        <w:rPr>
          <w:rFonts w:cs="Arial"/>
          <w:sz w:val="22"/>
          <w:lang w:eastAsia="en-GB"/>
        </w:rPr>
        <w:t xml:space="preserve"> cigarettes</w:t>
      </w:r>
      <w:r w:rsidR="003C7333" w:rsidRPr="004B7A01">
        <w:rPr>
          <w:rFonts w:cs="Arial"/>
          <w:sz w:val="22"/>
          <w:lang w:eastAsia="en-GB"/>
        </w:rPr>
        <w:t xml:space="preserve">. </w:t>
      </w:r>
      <w:r w:rsidR="00B10563" w:rsidRPr="004B7A01">
        <w:rPr>
          <w:rFonts w:cs="Arial"/>
          <w:sz w:val="22"/>
          <w:lang w:eastAsia="en-GB"/>
        </w:rPr>
        <w:t xml:space="preserve">Tobacco smoke contains more than </w:t>
      </w:r>
      <w:r w:rsidR="003F2793" w:rsidRPr="004B7A01">
        <w:rPr>
          <w:rFonts w:cs="Arial"/>
          <w:sz w:val="22"/>
          <w:lang w:eastAsia="en-GB"/>
        </w:rPr>
        <w:t xml:space="preserve">7000 </w:t>
      </w:r>
      <w:r w:rsidR="00AD34BB" w:rsidRPr="004B7A01">
        <w:rPr>
          <w:rFonts w:cs="Arial"/>
          <w:sz w:val="22"/>
          <w:lang w:eastAsia="en-GB"/>
        </w:rPr>
        <w:t xml:space="preserve">chemicals out of which </w:t>
      </w:r>
      <w:r w:rsidR="00854D23" w:rsidRPr="004B7A01">
        <w:rPr>
          <w:rFonts w:cs="Arial"/>
          <w:sz w:val="22"/>
          <w:lang w:eastAsia="en-GB"/>
        </w:rPr>
        <w:t xml:space="preserve">at least 250 are known to be harmful and </w:t>
      </w:r>
      <w:r w:rsidR="00B93534" w:rsidRPr="004B7A01">
        <w:rPr>
          <w:rFonts w:cs="Arial"/>
          <w:sz w:val="22"/>
          <w:lang w:eastAsia="en-GB"/>
        </w:rPr>
        <w:t xml:space="preserve">more than 70 identified as carcinogenic. </w:t>
      </w:r>
      <w:r w:rsidR="00F96F6C" w:rsidRPr="004B7A01">
        <w:rPr>
          <w:rFonts w:cs="Arial"/>
          <w:sz w:val="22"/>
          <w:lang w:eastAsia="en-GB"/>
        </w:rPr>
        <w:t xml:space="preserve">Nicotine pouches </w:t>
      </w:r>
      <w:r w:rsidR="00095C0C" w:rsidRPr="004B7A01">
        <w:rPr>
          <w:rFonts w:cs="Arial"/>
          <w:sz w:val="22"/>
          <w:lang w:eastAsia="en-GB"/>
        </w:rPr>
        <w:t xml:space="preserve">typically </w:t>
      </w:r>
      <w:r w:rsidR="00590144" w:rsidRPr="004B7A01">
        <w:rPr>
          <w:rFonts w:cs="Arial"/>
          <w:sz w:val="22"/>
          <w:lang w:eastAsia="en-GB"/>
        </w:rPr>
        <w:t>contain 10-15 distinct compounds</w:t>
      </w:r>
      <w:r w:rsidR="0020343B" w:rsidRPr="004B7A01">
        <w:rPr>
          <w:rFonts w:cs="Arial"/>
          <w:sz w:val="22"/>
          <w:lang w:eastAsia="en-GB"/>
        </w:rPr>
        <w:t xml:space="preserve"> which are food grade and </w:t>
      </w:r>
      <w:r w:rsidR="00883842" w:rsidRPr="004B7A01">
        <w:rPr>
          <w:rFonts w:cs="Arial"/>
          <w:sz w:val="22"/>
          <w:lang w:eastAsia="en-GB"/>
        </w:rPr>
        <w:t xml:space="preserve">as opposed to </w:t>
      </w:r>
      <w:r w:rsidR="000B2D44" w:rsidRPr="004B7A01">
        <w:rPr>
          <w:rFonts w:cs="Arial"/>
          <w:sz w:val="22"/>
          <w:lang w:eastAsia="en-GB"/>
        </w:rPr>
        <w:t xml:space="preserve">combustion byproducts </w:t>
      </w:r>
      <w:r w:rsidR="00431B99" w:rsidRPr="004B7A01">
        <w:rPr>
          <w:rFonts w:cs="Arial"/>
          <w:sz w:val="22"/>
          <w:lang w:eastAsia="en-GB"/>
        </w:rPr>
        <w:t xml:space="preserve">fully identified, </w:t>
      </w:r>
      <w:r w:rsidR="00DC3D93" w:rsidRPr="004B7A01">
        <w:rPr>
          <w:rFonts w:cs="Arial"/>
          <w:sz w:val="22"/>
          <w:lang w:eastAsia="en-GB"/>
        </w:rPr>
        <w:t xml:space="preserve">non-carcinogenic and </w:t>
      </w:r>
      <w:r w:rsidR="00F64247" w:rsidRPr="004B7A01">
        <w:rPr>
          <w:rFonts w:cs="Arial"/>
          <w:sz w:val="22"/>
          <w:lang w:eastAsia="en-GB"/>
        </w:rPr>
        <w:t xml:space="preserve">intended as well as </w:t>
      </w:r>
      <w:r w:rsidR="00CA65E2" w:rsidRPr="004B7A01">
        <w:rPr>
          <w:rFonts w:cs="Arial"/>
          <w:sz w:val="22"/>
          <w:lang w:eastAsia="en-GB"/>
        </w:rPr>
        <w:t xml:space="preserve">approved for </w:t>
      </w:r>
      <w:r w:rsidR="000A6ED4" w:rsidRPr="004B7A01">
        <w:rPr>
          <w:rFonts w:cs="Arial"/>
          <w:sz w:val="22"/>
          <w:lang w:eastAsia="en-GB"/>
        </w:rPr>
        <w:t xml:space="preserve">consumption. </w:t>
      </w:r>
    </w:p>
    <w:p w14:paraId="2C892904" w14:textId="2CAF3169" w:rsidR="009A443D" w:rsidRPr="004B7A01" w:rsidRDefault="009A443D" w:rsidP="009A443D">
      <w:pPr>
        <w:rPr>
          <w:rFonts w:cs="Arial"/>
          <w:sz w:val="22"/>
          <w:lang w:eastAsia="en-GB"/>
        </w:rPr>
      </w:pPr>
      <w:r w:rsidRPr="004B7A01">
        <w:rPr>
          <w:rFonts w:cs="Arial"/>
          <w:sz w:val="22"/>
          <w:lang w:eastAsia="en-GB"/>
        </w:rPr>
        <w:t xml:space="preserve">The nicotine is absorbed by exposing a few square </w:t>
      </w:r>
      <w:r w:rsidR="000B05C7" w:rsidRPr="004B7A01">
        <w:rPr>
          <w:rFonts w:cs="Arial"/>
          <w:sz w:val="22"/>
          <w:lang w:eastAsia="en-GB"/>
        </w:rPr>
        <w:t>centimetres</w:t>
      </w:r>
      <w:r w:rsidRPr="004B7A01">
        <w:rPr>
          <w:rFonts w:cs="Arial"/>
          <w:sz w:val="22"/>
          <w:lang w:eastAsia="en-GB"/>
        </w:rPr>
        <w:t xml:space="preserve"> of the oral mucosa to nicotine. Absorption through the oral mucosa bypasses the lungs and directly enters the </w:t>
      </w:r>
      <w:r w:rsidRPr="004B7A01">
        <w:rPr>
          <w:rFonts w:cs="Arial"/>
          <w:sz w:val="22"/>
          <w:lang w:eastAsia="en-GB"/>
        </w:rPr>
        <w:lastRenderedPageBreak/>
        <w:t>bloodstream, but it takes longer to reach peak levels due to the slower release as opposed to cigarettes that expose the alveoli that are directly connected to the capillaries and normally have an area of 70 to 100 square meters. The effective exposure of the lungs varies but the exposed area would be between 100 000 and 300 000 times larger.</w:t>
      </w:r>
      <w:r w:rsidRPr="004B7A01">
        <w:t xml:space="preserve"> </w:t>
      </w:r>
      <w:r w:rsidRPr="004B7A01">
        <w:rPr>
          <w:rFonts w:cs="Arial"/>
          <w:sz w:val="22"/>
          <w:lang w:eastAsia="en-GB"/>
        </w:rPr>
        <w:t>This difference in exposed area is critical not only for understanding the relative safety of nicotine pouches but also for determining a reasonable nicotine cap, as the slower, limited absorption through the oral mucosa requires different standards than those set for inhaled products</w:t>
      </w:r>
      <w:r w:rsidR="002865B9">
        <w:rPr>
          <w:rFonts w:cs="Arial"/>
          <w:sz w:val="22"/>
          <w:lang w:eastAsia="en-GB"/>
        </w:rPr>
        <w:t>.</w:t>
      </w:r>
    </w:p>
    <w:p w14:paraId="24F75419" w14:textId="77777777" w:rsidR="009A443D" w:rsidRPr="004B7A01" w:rsidRDefault="009A443D" w:rsidP="009A443D">
      <w:pPr>
        <w:rPr>
          <w:rFonts w:cs="Arial"/>
          <w:sz w:val="22"/>
          <w:lang w:eastAsia="en-GB"/>
        </w:rPr>
      </w:pPr>
      <w:r w:rsidRPr="004B7A01">
        <w:rPr>
          <w:rFonts w:cs="Arial"/>
          <w:sz w:val="22"/>
          <w:lang w:eastAsia="en-GB"/>
        </w:rPr>
        <w:t xml:space="preserve">The main three risks connected to smoking cigarettes are cancer, pulmonary disease and cardiovascular risk. These are well-established facts within the scientific and medical communities including the European Commission’s Knowledge for Policy resource and the World Health Organization (WHO) who both identify these as the primary consequences of smoking cigarettes. </w:t>
      </w:r>
    </w:p>
    <w:p w14:paraId="3F620E29" w14:textId="77777777" w:rsidR="009A443D" w:rsidRPr="004B7A01" w:rsidRDefault="009A443D" w:rsidP="009A443D">
      <w:pPr>
        <w:rPr>
          <w:rFonts w:cs="Arial"/>
          <w:b/>
          <w:bCs/>
          <w:sz w:val="22"/>
          <w:lang w:eastAsia="en-GB"/>
        </w:rPr>
      </w:pPr>
      <w:r w:rsidRPr="004B7A01">
        <w:rPr>
          <w:rFonts w:cs="Arial"/>
          <w:b/>
          <w:bCs/>
          <w:sz w:val="22"/>
          <w:lang w:eastAsia="en-GB"/>
        </w:rPr>
        <w:t xml:space="preserve">Since nicotine pouches do not contain carcinogenic substances and are not chemically altered when used, the risk in the context of cancer would be negligible. </w:t>
      </w:r>
    </w:p>
    <w:p w14:paraId="2FC614E2" w14:textId="77777777" w:rsidR="009A443D" w:rsidRPr="004B7A01" w:rsidRDefault="009A443D" w:rsidP="009A443D">
      <w:pPr>
        <w:rPr>
          <w:rFonts w:cs="Arial"/>
          <w:b/>
          <w:bCs/>
          <w:sz w:val="22"/>
          <w:lang w:eastAsia="en-GB"/>
        </w:rPr>
      </w:pPr>
      <w:r w:rsidRPr="004B7A01">
        <w:rPr>
          <w:rFonts w:cs="Arial"/>
          <w:b/>
          <w:bCs/>
          <w:sz w:val="22"/>
          <w:lang w:eastAsia="en-GB"/>
        </w:rPr>
        <w:t xml:space="preserve">Since nicotine pouches do not emit any byproducts of combustion and the lungs are not exposed the risk for pulmonary disease would also be negligible. </w:t>
      </w:r>
    </w:p>
    <w:p w14:paraId="5D1C01B5" w14:textId="77777777" w:rsidR="009A443D" w:rsidRPr="004B7A01" w:rsidRDefault="009A443D" w:rsidP="009A443D">
      <w:pPr>
        <w:rPr>
          <w:rFonts w:cs="Arial"/>
          <w:b/>
          <w:bCs/>
          <w:sz w:val="22"/>
          <w:lang w:eastAsia="en-GB"/>
        </w:rPr>
      </w:pPr>
      <w:r w:rsidRPr="004B7A01">
        <w:rPr>
          <w:rFonts w:cs="Arial"/>
          <w:sz w:val="22"/>
          <w:lang w:eastAsia="en-GB"/>
        </w:rPr>
        <w:t xml:space="preserve">While both products contain nicotine that can contribute to elevated blood pressure, increased heart rate and vascular constriction, </w:t>
      </w:r>
      <w:r w:rsidRPr="004B7A01">
        <w:rPr>
          <w:rFonts w:cs="Arial"/>
          <w:b/>
          <w:bCs/>
          <w:sz w:val="22"/>
          <w:lang w:eastAsia="en-GB"/>
        </w:rPr>
        <w:t xml:space="preserve">the main risk of cardiovascular disease of smoking cigarettes does not derive from the nicotine content but rather from byproducts of combustion </w:t>
      </w:r>
      <w:r w:rsidRPr="004B7A01">
        <w:rPr>
          <w:rFonts w:cs="Arial"/>
          <w:sz w:val="22"/>
          <w:lang w:eastAsia="en-GB"/>
        </w:rPr>
        <w:t xml:space="preserve">i.e. carbon monoxide and oxidizing chemicals that significantly increases the risk of atherosclerosis, blood clot formation and chronic inflammation. </w:t>
      </w:r>
      <w:r w:rsidRPr="004B7A01">
        <w:rPr>
          <w:rFonts w:cs="Arial"/>
          <w:b/>
          <w:bCs/>
          <w:sz w:val="22"/>
          <w:lang w:eastAsia="en-GB"/>
        </w:rPr>
        <w:t>While nicotine pouches may carry a minimal cardiovascular risk relative to non-use, they are far safer for the cardiovascular system than smoking.</w:t>
      </w:r>
    </w:p>
    <w:p w14:paraId="445B3354" w14:textId="378EEAEE" w:rsidR="000745AE" w:rsidRPr="004B7A01" w:rsidRDefault="00B2142C" w:rsidP="000745AE">
      <w:pPr>
        <w:rPr>
          <w:rFonts w:cs="Arial"/>
          <w:sz w:val="22"/>
          <w:lang w:eastAsia="en-GB"/>
        </w:rPr>
      </w:pPr>
      <w:r w:rsidRPr="004B7A01">
        <w:rPr>
          <w:rFonts w:cs="Arial"/>
          <w:sz w:val="22"/>
          <w:lang w:eastAsia="en-GB"/>
        </w:rPr>
        <w:t xml:space="preserve">NNPA does advocate for a </w:t>
      </w:r>
      <w:r w:rsidR="0010058C" w:rsidRPr="004B7A01">
        <w:rPr>
          <w:rFonts w:cs="Arial"/>
          <w:sz w:val="22"/>
          <w:lang w:eastAsia="en-GB"/>
        </w:rPr>
        <w:t xml:space="preserve">purposeful </w:t>
      </w:r>
      <w:r w:rsidRPr="004B7A01">
        <w:rPr>
          <w:rFonts w:cs="Arial"/>
          <w:sz w:val="22"/>
          <w:lang w:eastAsia="en-GB"/>
        </w:rPr>
        <w:t>nicotine</w:t>
      </w:r>
      <w:r w:rsidR="001A26BD" w:rsidRPr="004B7A01">
        <w:rPr>
          <w:rFonts w:cs="Arial"/>
          <w:sz w:val="22"/>
          <w:lang w:eastAsia="en-GB"/>
        </w:rPr>
        <w:t xml:space="preserve"> content</w:t>
      </w:r>
      <w:r w:rsidRPr="004B7A01">
        <w:rPr>
          <w:rFonts w:cs="Arial"/>
          <w:sz w:val="22"/>
          <w:lang w:eastAsia="en-GB"/>
        </w:rPr>
        <w:t xml:space="preserve"> cap </w:t>
      </w:r>
      <w:r w:rsidR="00253B08" w:rsidRPr="004B7A01">
        <w:rPr>
          <w:rFonts w:cs="Arial"/>
          <w:sz w:val="22"/>
          <w:lang w:eastAsia="en-GB"/>
        </w:rPr>
        <w:t>to</w:t>
      </w:r>
      <w:r w:rsidR="00983556" w:rsidRPr="004B7A01">
        <w:rPr>
          <w:rFonts w:cs="Arial"/>
          <w:sz w:val="22"/>
          <w:lang w:eastAsia="en-GB"/>
        </w:rPr>
        <w:t xml:space="preserve"> limit extreme </w:t>
      </w:r>
      <w:r w:rsidR="009D7329" w:rsidRPr="004B7A01">
        <w:rPr>
          <w:rFonts w:cs="Arial"/>
          <w:sz w:val="22"/>
          <w:lang w:eastAsia="en-GB"/>
        </w:rPr>
        <w:t>products with potentially harmful levels of nicotine</w:t>
      </w:r>
      <w:r w:rsidR="001A4ABD" w:rsidRPr="004B7A01">
        <w:rPr>
          <w:rFonts w:cs="Arial"/>
          <w:sz w:val="22"/>
          <w:lang w:eastAsia="en-GB"/>
        </w:rPr>
        <w:t xml:space="preserve">, but this level must be set </w:t>
      </w:r>
      <w:r w:rsidR="00F0759D" w:rsidRPr="004B7A01">
        <w:rPr>
          <w:rFonts w:cs="Arial"/>
          <w:sz w:val="22"/>
          <w:lang w:eastAsia="en-GB"/>
        </w:rPr>
        <w:t xml:space="preserve">in context with scientific evidence and </w:t>
      </w:r>
      <w:r w:rsidR="00025F07" w:rsidRPr="004B7A01">
        <w:rPr>
          <w:rFonts w:cs="Arial"/>
          <w:sz w:val="22"/>
          <w:lang w:eastAsia="en-GB"/>
        </w:rPr>
        <w:t xml:space="preserve">without undue thresholds </w:t>
      </w:r>
      <w:r w:rsidR="00954E4F" w:rsidRPr="004B7A01">
        <w:rPr>
          <w:rFonts w:cs="Arial"/>
          <w:sz w:val="22"/>
          <w:lang w:eastAsia="en-GB"/>
        </w:rPr>
        <w:t xml:space="preserve">that could disincentivize smokers from </w:t>
      </w:r>
      <w:r w:rsidR="00A135F5" w:rsidRPr="004B7A01">
        <w:rPr>
          <w:rFonts w:cs="Arial"/>
          <w:sz w:val="22"/>
          <w:lang w:eastAsia="en-GB"/>
        </w:rPr>
        <w:t xml:space="preserve">switching to nicotine pouches. </w:t>
      </w:r>
      <w:r w:rsidR="00682B87" w:rsidRPr="004B7A01">
        <w:rPr>
          <w:rFonts w:cs="Arial"/>
          <w:sz w:val="22"/>
          <w:lang w:eastAsia="en-GB"/>
        </w:rPr>
        <w:t xml:space="preserve">Setting a nicotine content limit </w:t>
      </w:r>
      <w:r w:rsidR="009963FF" w:rsidRPr="004B7A01">
        <w:rPr>
          <w:rFonts w:cs="Arial"/>
          <w:sz w:val="22"/>
          <w:lang w:eastAsia="en-GB"/>
        </w:rPr>
        <w:t>at 0,99mg</w:t>
      </w:r>
      <w:r w:rsidR="005D024F">
        <w:rPr>
          <w:rFonts w:cs="Arial"/>
          <w:sz w:val="22"/>
          <w:lang w:eastAsia="en-GB"/>
        </w:rPr>
        <w:t xml:space="preserve"> per </w:t>
      </w:r>
      <w:r w:rsidR="009963FF" w:rsidRPr="004B7A01">
        <w:rPr>
          <w:rFonts w:cs="Arial"/>
          <w:sz w:val="22"/>
          <w:lang w:eastAsia="en-GB"/>
        </w:rPr>
        <w:t xml:space="preserve">pouch, </w:t>
      </w:r>
      <w:r w:rsidR="00B7262B" w:rsidRPr="004B7A01">
        <w:rPr>
          <w:rFonts w:cs="Arial"/>
          <w:sz w:val="22"/>
          <w:lang w:eastAsia="en-GB"/>
        </w:rPr>
        <w:t xml:space="preserve">making the product inviable as a </w:t>
      </w:r>
      <w:r w:rsidR="00445503" w:rsidRPr="004B7A01">
        <w:rPr>
          <w:rFonts w:cs="Arial"/>
          <w:sz w:val="22"/>
          <w:lang w:eastAsia="en-GB"/>
        </w:rPr>
        <w:t>low-risk</w:t>
      </w:r>
      <w:r w:rsidR="00B7262B" w:rsidRPr="004B7A01">
        <w:rPr>
          <w:rFonts w:cs="Arial"/>
          <w:sz w:val="22"/>
          <w:lang w:eastAsia="en-GB"/>
        </w:rPr>
        <w:t xml:space="preserve"> alternative or cessation tool </w:t>
      </w:r>
      <w:proofErr w:type="gramStart"/>
      <w:r w:rsidR="00682B87" w:rsidRPr="004B7A01">
        <w:rPr>
          <w:rFonts w:cs="Arial"/>
          <w:sz w:val="22"/>
          <w:lang w:eastAsia="en-GB"/>
        </w:rPr>
        <w:t>as a means to</w:t>
      </w:r>
      <w:proofErr w:type="gramEnd"/>
      <w:r w:rsidR="00682B87" w:rsidRPr="004B7A01">
        <w:rPr>
          <w:rFonts w:cs="Arial"/>
          <w:sz w:val="22"/>
          <w:lang w:eastAsia="en-GB"/>
        </w:rPr>
        <w:t xml:space="preserve"> protect </w:t>
      </w:r>
      <w:r w:rsidR="0011500C" w:rsidRPr="004B7A01">
        <w:rPr>
          <w:rFonts w:cs="Arial"/>
          <w:sz w:val="22"/>
          <w:lang w:eastAsia="en-GB"/>
        </w:rPr>
        <w:t>public health</w:t>
      </w:r>
      <w:r w:rsidR="00682B87" w:rsidRPr="004B7A01">
        <w:rPr>
          <w:rFonts w:cs="Arial"/>
          <w:sz w:val="22"/>
          <w:lang w:eastAsia="en-GB"/>
        </w:rPr>
        <w:t xml:space="preserve"> is a poorly targeted approach that fails to address the underlying issue effectively.</w:t>
      </w:r>
      <w:bookmarkStart w:id="4" w:name="_Hlk183783874"/>
      <w:r w:rsidR="000745AE" w:rsidRPr="004B7A01">
        <w:rPr>
          <w:rFonts w:cs="Arial"/>
          <w:sz w:val="22"/>
          <w:lang w:eastAsia="en-GB"/>
        </w:rPr>
        <w:t xml:space="preserve"> </w:t>
      </w:r>
    </w:p>
    <w:p w14:paraId="461E33FE" w14:textId="235E74F1" w:rsidR="00045BA4" w:rsidRDefault="00556206" w:rsidP="000745AE">
      <w:pPr>
        <w:rPr>
          <w:rFonts w:cs="Arial"/>
          <w:sz w:val="22"/>
          <w:lang w:eastAsia="en-GB"/>
        </w:rPr>
      </w:pPr>
      <w:r w:rsidRPr="004B7A01">
        <w:rPr>
          <w:rFonts w:cs="Arial"/>
          <w:sz w:val="22"/>
          <w:lang w:eastAsia="en-GB"/>
        </w:rPr>
        <w:t>We also</w:t>
      </w:r>
      <w:r w:rsidR="000745AE" w:rsidRPr="004B7A01">
        <w:rPr>
          <w:rFonts w:cs="Arial"/>
          <w:sz w:val="22"/>
          <w:lang w:eastAsia="en-GB"/>
        </w:rPr>
        <w:t xml:space="preserve"> find the proposed restrictions</w:t>
      </w:r>
      <w:r w:rsidR="00517FB5" w:rsidRPr="004B7A01">
        <w:rPr>
          <w:rFonts w:cs="Arial"/>
          <w:sz w:val="22"/>
          <w:lang w:eastAsia="en-GB"/>
        </w:rPr>
        <w:t xml:space="preserve">, due to the lack of </w:t>
      </w:r>
      <w:r w:rsidR="00FF25A6" w:rsidRPr="004B7A01">
        <w:rPr>
          <w:rFonts w:cs="Arial"/>
          <w:sz w:val="22"/>
          <w:lang w:eastAsia="en-GB"/>
        </w:rPr>
        <w:t>positive effects</w:t>
      </w:r>
      <w:r w:rsidR="00EC3370" w:rsidRPr="004B7A01">
        <w:rPr>
          <w:rFonts w:cs="Arial"/>
          <w:sz w:val="22"/>
          <w:lang w:eastAsia="en-GB"/>
        </w:rPr>
        <w:t xml:space="preserve"> on public health,</w:t>
      </w:r>
      <w:r w:rsidR="000745AE" w:rsidRPr="004B7A01">
        <w:rPr>
          <w:rFonts w:cs="Arial"/>
          <w:sz w:val="22"/>
          <w:lang w:eastAsia="en-GB"/>
        </w:rPr>
        <w:t xml:space="preserve"> to be unjustified and in violation of the principle of free movement of goods</w:t>
      </w:r>
      <w:r w:rsidR="00045B7C">
        <w:rPr>
          <w:rFonts w:cs="Arial"/>
          <w:sz w:val="22"/>
          <w:lang w:eastAsia="en-GB"/>
        </w:rPr>
        <w:t xml:space="preserve"> and to </w:t>
      </w:r>
      <w:r w:rsidR="00FF3F8A" w:rsidRPr="00FF3F8A">
        <w:rPr>
          <w:rFonts w:cs="Arial"/>
          <w:sz w:val="22"/>
          <w:lang w:eastAsia="en-GB"/>
        </w:rPr>
        <w:t>imposes disproportionate restrictions that go beyond what is necessary</w:t>
      </w:r>
      <w:r w:rsidR="000745AE" w:rsidRPr="004B7A01">
        <w:rPr>
          <w:rFonts w:cs="Arial"/>
          <w:sz w:val="22"/>
          <w:lang w:eastAsia="en-GB"/>
        </w:rPr>
        <w:t xml:space="preserve">. </w:t>
      </w:r>
      <w:r w:rsidR="00FB2802">
        <w:rPr>
          <w:rFonts w:cs="Arial"/>
          <w:sz w:val="22"/>
          <w:lang w:eastAsia="en-GB"/>
        </w:rPr>
        <w:t xml:space="preserve">A de-facto ban cannot be considered </w:t>
      </w:r>
      <w:r w:rsidR="00FB2802" w:rsidRPr="00FB2802">
        <w:rPr>
          <w:rFonts w:cs="Arial"/>
          <w:sz w:val="22"/>
          <w:lang w:eastAsia="en-GB"/>
        </w:rPr>
        <w:t>motivated, balanced nor purposeful</w:t>
      </w:r>
      <w:r w:rsidR="00F15E07">
        <w:rPr>
          <w:rFonts w:cs="Arial"/>
          <w:sz w:val="22"/>
          <w:lang w:eastAsia="en-GB"/>
        </w:rPr>
        <w:t>.</w:t>
      </w:r>
    </w:p>
    <w:p w14:paraId="7821178D" w14:textId="1E331E90" w:rsidR="000745AE" w:rsidRPr="004B7A01" w:rsidRDefault="000745AE" w:rsidP="000745AE">
      <w:pPr>
        <w:rPr>
          <w:rFonts w:cs="Arial"/>
          <w:sz w:val="22"/>
          <w:lang w:eastAsia="en-GB"/>
        </w:rPr>
      </w:pPr>
      <w:r w:rsidRPr="004B7A01">
        <w:rPr>
          <w:rFonts w:cs="Arial"/>
          <w:sz w:val="22"/>
          <w:lang w:eastAsia="en-GB"/>
        </w:rPr>
        <w:t xml:space="preserve">Nicotine pouches are consumed daily by around 1.4 million citizens across 25 EU Member States. The overwhelming majority of these consumers are adults that have switched away from smoking traditional tobacco cigarettes as pouches offer an alternative and less risky way of consuming nicotine. </w:t>
      </w:r>
      <w:bookmarkEnd w:id="4"/>
      <w:r w:rsidRPr="004B7A01">
        <w:rPr>
          <w:rFonts w:cs="Arial"/>
          <w:sz w:val="22"/>
          <w:lang w:eastAsia="en-GB"/>
        </w:rPr>
        <w:t>It’s to be noted that</w:t>
      </w:r>
      <w:r w:rsidRPr="004B7A01">
        <w:t xml:space="preserve"> </w:t>
      </w:r>
      <w:r w:rsidRPr="004B7A01">
        <w:rPr>
          <w:rFonts w:cs="Arial"/>
          <w:sz w:val="22"/>
          <w:lang w:eastAsia="en-GB"/>
        </w:rPr>
        <w:t xml:space="preserve">Czech Republic, Slovakia, Hungary, Romania have introduced regulation for nicotine pouches, introducing a limit for nicotine content which is set at a higher level than proposed in </w:t>
      </w:r>
      <w:r w:rsidR="000112E1" w:rsidRPr="004B7A01">
        <w:rPr>
          <w:rFonts w:cs="Arial"/>
          <w:sz w:val="22"/>
          <w:lang w:eastAsia="en-GB"/>
        </w:rPr>
        <w:t>Spain</w:t>
      </w:r>
      <w:r w:rsidRPr="004B7A01">
        <w:rPr>
          <w:rFonts w:cs="Arial"/>
          <w:sz w:val="22"/>
          <w:lang w:eastAsia="en-GB"/>
        </w:rPr>
        <w:t>. Finland, Italy, and Lithuania are in the process of doing so. The proposed nicotine content cap in Spain is far more restrictive and discards the success of appropriate regulation in Sweden which</w:t>
      </w:r>
      <w:r w:rsidR="00043EA5">
        <w:rPr>
          <w:rFonts w:cs="Arial"/>
          <w:sz w:val="22"/>
          <w:lang w:eastAsia="en-GB"/>
        </w:rPr>
        <w:t>, even without a statutory nicotine limit,</w:t>
      </w:r>
      <w:r w:rsidRPr="004B7A01">
        <w:rPr>
          <w:rFonts w:cs="Arial"/>
          <w:sz w:val="22"/>
          <w:lang w:eastAsia="en-GB"/>
        </w:rPr>
        <w:t xml:space="preserve"> has led to the lowest smoking rate in the EU (5.3% 2024) and the lowest levels of smoking-related disease and death</w:t>
      </w:r>
      <w:r w:rsidRPr="004B7A01">
        <w:rPr>
          <w:rStyle w:val="FootnoteReference"/>
          <w:rFonts w:cs="Arial"/>
          <w:sz w:val="22"/>
          <w:lang w:eastAsia="en-GB"/>
        </w:rPr>
        <w:footnoteReference w:id="7"/>
      </w:r>
      <w:r w:rsidRPr="004B7A01">
        <w:rPr>
          <w:rFonts w:cs="Arial"/>
          <w:sz w:val="22"/>
          <w:lang w:eastAsia="en-GB"/>
        </w:rPr>
        <w:t xml:space="preserve">, in large part due to availability of </w:t>
      </w:r>
      <w:r w:rsidRPr="004B7A01">
        <w:rPr>
          <w:rFonts w:cs="Arial"/>
          <w:sz w:val="22"/>
          <w:lang w:eastAsia="en-GB"/>
        </w:rPr>
        <w:lastRenderedPageBreak/>
        <w:t>reduced-risk products such as nicotine pouches. To further highlight the relevance of the data to the Spanish proposal: the Swedish Public Health Authority (</w:t>
      </w:r>
      <w:proofErr w:type="spellStart"/>
      <w:r w:rsidRPr="004B7A01">
        <w:rPr>
          <w:rFonts w:cs="Arial"/>
          <w:sz w:val="22"/>
          <w:lang w:eastAsia="en-GB"/>
        </w:rPr>
        <w:t>Folkhälsomyndigheten</w:t>
      </w:r>
      <w:proofErr w:type="spellEnd"/>
      <w:r w:rsidRPr="004B7A01">
        <w:rPr>
          <w:rFonts w:cs="Arial"/>
          <w:sz w:val="22"/>
          <w:lang w:eastAsia="en-GB"/>
        </w:rPr>
        <w:t>) reports that daily smoking incidence among the 16–29-year-old bracket presently is 2.3%, representing a reduction of nearly 40%</w:t>
      </w:r>
      <w:r w:rsidRPr="004B7A01">
        <w:t xml:space="preserve"> </w:t>
      </w:r>
      <w:r w:rsidRPr="004B7A01">
        <w:rPr>
          <w:rFonts w:cs="Arial"/>
          <w:sz w:val="22"/>
          <w:lang w:eastAsia="en-GB"/>
        </w:rPr>
        <w:t xml:space="preserve">between 2022 and 2024 which is a clear indication that the presence of nicotine pouches does not contribute to the recruitment of young adult smokers. </w:t>
      </w:r>
    </w:p>
    <w:p w14:paraId="79CB6A1F" w14:textId="40E8B5C1" w:rsidR="00D37F7B" w:rsidRDefault="006B24BD" w:rsidP="004B7A01">
      <w:pPr>
        <w:pStyle w:val="Heading2"/>
        <w:rPr>
          <w:lang w:eastAsia="en-GB"/>
        </w:rPr>
      </w:pPr>
      <w:r w:rsidRPr="004B7A01">
        <w:rPr>
          <w:lang w:eastAsia="en-GB"/>
        </w:rPr>
        <w:t xml:space="preserve">NNPAs opinion on restrictions of flavours in </w:t>
      </w:r>
      <w:r w:rsidR="004B7A01" w:rsidRPr="004B7A01">
        <w:rPr>
          <w:lang w:eastAsia="en-GB"/>
        </w:rPr>
        <w:t xml:space="preserve">nicotine pouches </w:t>
      </w:r>
    </w:p>
    <w:p w14:paraId="7D82D942" w14:textId="09FA0EF9" w:rsidR="007858CC" w:rsidRDefault="00292698" w:rsidP="00206810">
      <w:pPr>
        <w:rPr>
          <w:sz w:val="22"/>
          <w:lang w:eastAsia="en-GB"/>
        </w:rPr>
      </w:pPr>
      <w:r>
        <w:rPr>
          <w:sz w:val="22"/>
          <w:lang w:eastAsia="en-GB"/>
        </w:rPr>
        <w:t xml:space="preserve">The Spanish proposal for restrictions on nicotine pouches also includes a </w:t>
      </w:r>
      <w:r w:rsidR="00DB0F00">
        <w:rPr>
          <w:sz w:val="22"/>
          <w:lang w:eastAsia="en-GB"/>
        </w:rPr>
        <w:t xml:space="preserve">ban on all </w:t>
      </w:r>
      <w:r w:rsidR="00DB0F00" w:rsidRPr="00DB0F00">
        <w:rPr>
          <w:sz w:val="22"/>
          <w:lang w:eastAsia="en-GB"/>
        </w:rPr>
        <w:t>flavouring ingredients other than those that impart tobacco aromas and/or flavours</w:t>
      </w:r>
      <w:r w:rsidR="00DB0F00">
        <w:rPr>
          <w:sz w:val="22"/>
          <w:lang w:eastAsia="en-GB"/>
        </w:rPr>
        <w:t>.</w:t>
      </w:r>
    </w:p>
    <w:p w14:paraId="3205B889" w14:textId="35A0E672" w:rsidR="00B93EAC" w:rsidRDefault="00B93EAC" w:rsidP="00206810">
      <w:pPr>
        <w:rPr>
          <w:sz w:val="22"/>
          <w:lang w:eastAsia="en-GB"/>
        </w:rPr>
      </w:pPr>
      <w:bookmarkStart w:id="5" w:name="_Hlk193365844"/>
      <w:r w:rsidRPr="00B93EAC">
        <w:rPr>
          <w:sz w:val="22"/>
          <w:lang w:eastAsia="en-GB"/>
        </w:rPr>
        <w:t xml:space="preserve">To ban all flavours and aromas except one cannot </w:t>
      </w:r>
      <w:proofErr w:type="gramStart"/>
      <w:r w:rsidRPr="00B93EAC">
        <w:rPr>
          <w:sz w:val="22"/>
          <w:lang w:eastAsia="en-GB"/>
        </w:rPr>
        <w:t>by definition be</w:t>
      </w:r>
      <w:proofErr w:type="gramEnd"/>
      <w:r w:rsidRPr="00B93EAC">
        <w:rPr>
          <w:sz w:val="22"/>
          <w:lang w:eastAsia="en-GB"/>
        </w:rPr>
        <w:t xml:space="preserve"> considered a purposeful and proportional measure, nor can all, or even most, flavours be considered unduly attractive</w:t>
      </w:r>
      <w:r w:rsidR="0009610B">
        <w:rPr>
          <w:sz w:val="22"/>
          <w:lang w:eastAsia="en-GB"/>
        </w:rPr>
        <w:t xml:space="preserve"> to underage consumer nor any other risk group. </w:t>
      </w:r>
    </w:p>
    <w:bookmarkEnd w:id="5"/>
    <w:p w14:paraId="0CB0FE59" w14:textId="273832E8" w:rsidR="00206810" w:rsidRPr="00206810" w:rsidRDefault="00206810" w:rsidP="00206810">
      <w:pPr>
        <w:rPr>
          <w:sz w:val="22"/>
          <w:lang w:eastAsia="en-GB"/>
        </w:rPr>
      </w:pPr>
      <w:r w:rsidRPr="00206810">
        <w:rPr>
          <w:sz w:val="22"/>
          <w:lang w:eastAsia="en-GB"/>
        </w:rPr>
        <w:t xml:space="preserve">Flavour diversity is integral to the acceptance of nicotine pouches among adult smokers. Instead of outright flavour restrictions, NNPA suggests regulating flavour descriptors and marketing to mitigate potential appeal to underage individuals. </w:t>
      </w:r>
    </w:p>
    <w:p w14:paraId="141D3B01" w14:textId="4C0FB6A5" w:rsidR="00206810" w:rsidRDefault="00206810" w:rsidP="00206810">
      <w:pPr>
        <w:rPr>
          <w:sz w:val="22"/>
          <w:lang w:eastAsia="en-GB"/>
        </w:rPr>
      </w:pPr>
      <w:r w:rsidRPr="00206810">
        <w:rPr>
          <w:sz w:val="22"/>
          <w:lang w:eastAsia="en-GB"/>
        </w:rPr>
        <w:t>How products taste is an element that defines whether people will choose to use them</w:t>
      </w:r>
      <w:r w:rsidR="00055B57">
        <w:rPr>
          <w:sz w:val="22"/>
          <w:lang w:eastAsia="en-GB"/>
        </w:rPr>
        <w:t xml:space="preserve"> and as such </w:t>
      </w:r>
      <w:r w:rsidR="0077511F">
        <w:rPr>
          <w:sz w:val="22"/>
          <w:lang w:eastAsia="en-GB"/>
        </w:rPr>
        <w:t xml:space="preserve">an important factor </w:t>
      </w:r>
      <w:r w:rsidR="00A1090C">
        <w:rPr>
          <w:sz w:val="22"/>
          <w:lang w:eastAsia="en-GB"/>
        </w:rPr>
        <w:t>for how they can contribute to improve public health</w:t>
      </w:r>
      <w:r w:rsidR="001E74AF">
        <w:rPr>
          <w:sz w:val="22"/>
          <w:lang w:eastAsia="en-GB"/>
        </w:rPr>
        <w:t xml:space="preserve"> by </w:t>
      </w:r>
      <w:r w:rsidR="00687DFA">
        <w:rPr>
          <w:sz w:val="22"/>
          <w:lang w:eastAsia="en-GB"/>
        </w:rPr>
        <w:t>providing adult smokers with a viable alternative</w:t>
      </w:r>
      <w:r w:rsidRPr="00206810">
        <w:rPr>
          <w:sz w:val="22"/>
          <w:lang w:eastAsia="en-GB"/>
        </w:rPr>
        <w:t>. Oral-use products risk facing complete rejection from consumers since there is no natural flavour in tobacco-free pouches. Consequently, restricting different flavours in nicotine pouches presents an acute challenge since appropriate flavourings hold greater significance for oral use products compared to those inhaled.</w:t>
      </w:r>
    </w:p>
    <w:p w14:paraId="39F531B7" w14:textId="3260F6C4" w:rsidR="00C46A7F" w:rsidRDefault="00C46A7F" w:rsidP="00C46A7F">
      <w:pPr>
        <w:rPr>
          <w:sz w:val="22"/>
          <w:lang w:eastAsia="en-GB"/>
        </w:rPr>
      </w:pPr>
      <w:r w:rsidRPr="00C46A7F">
        <w:rPr>
          <w:sz w:val="22"/>
          <w:lang w:eastAsia="en-GB"/>
        </w:rPr>
        <w:t xml:space="preserve">Any restrictions deemed necessary to curb underage appeal should focus on unsuitable flavour descriptors and similar criteria such as references or illustrations on packages and in product marketing. There is no need to use flavour names or descriptors </w:t>
      </w:r>
      <w:r>
        <w:rPr>
          <w:sz w:val="22"/>
          <w:lang w:eastAsia="en-GB"/>
        </w:rPr>
        <w:t>t</w:t>
      </w:r>
      <w:r w:rsidRPr="00C46A7F">
        <w:rPr>
          <w:sz w:val="22"/>
          <w:lang w:eastAsia="en-GB"/>
        </w:rPr>
        <w:t>hat can be linked with underage culture or depict situations, environments or objects that are typical of the world of children and youth, such as comic or cartoon characters, toys, or sweets.</w:t>
      </w:r>
    </w:p>
    <w:p w14:paraId="5B22C947" w14:textId="07283440" w:rsidR="00120C9F" w:rsidRPr="00206810" w:rsidRDefault="00931BE9" w:rsidP="00120C9F">
      <w:pPr>
        <w:rPr>
          <w:sz w:val="22"/>
          <w:lang w:eastAsia="en-GB"/>
        </w:rPr>
      </w:pPr>
      <w:r>
        <w:rPr>
          <w:sz w:val="22"/>
          <w:lang w:eastAsia="en-GB"/>
        </w:rPr>
        <w:t>Legislators</w:t>
      </w:r>
      <w:r w:rsidR="00120C9F" w:rsidRPr="00120C9F">
        <w:rPr>
          <w:sz w:val="22"/>
          <w:lang w:eastAsia="en-GB"/>
        </w:rPr>
        <w:t xml:space="preserve"> must find </w:t>
      </w:r>
      <w:proofErr w:type="gramStart"/>
      <w:r w:rsidR="00FC304B">
        <w:rPr>
          <w:sz w:val="22"/>
          <w:lang w:eastAsia="en-GB"/>
        </w:rPr>
        <w:t>an</w:t>
      </w:r>
      <w:proofErr w:type="gramEnd"/>
      <w:r w:rsidR="00120C9F" w:rsidRPr="00120C9F">
        <w:rPr>
          <w:sz w:val="22"/>
          <w:lang w:eastAsia="en-GB"/>
        </w:rPr>
        <w:t xml:space="preserve"> balance between shielding young people from nicotine dependency and providing reduced-risk alternatives for adult smokers. The primary line of </w:t>
      </w:r>
      <w:r w:rsidR="008D3D6D" w:rsidRPr="00120C9F">
        <w:rPr>
          <w:sz w:val="22"/>
          <w:lang w:eastAsia="en-GB"/>
        </w:rPr>
        <w:t>defence</w:t>
      </w:r>
      <w:r w:rsidR="00120C9F" w:rsidRPr="00120C9F">
        <w:rPr>
          <w:sz w:val="22"/>
          <w:lang w:eastAsia="en-GB"/>
        </w:rPr>
        <w:t xml:space="preserve"> against</w:t>
      </w:r>
      <w:r w:rsidR="00DB1280">
        <w:rPr>
          <w:sz w:val="22"/>
          <w:lang w:eastAsia="en-GB"/>
        </w:rPr>
        <w:t xml:space="preserve"> underage</w:t>
      </w:r>
      <w:r w:rsidR="00120C9F" w:rsidRPr="00120C9F">
        <w:rPr>
          <w:sz w:val="22"/>
          <w:lang w:eastAsia="en-GB"/>
        </w:rPr>
        <w:t xml:space="preserve"> nicotine addiction lies in strict and consistent enforcement of minimum age limits for the purchase, possession, and consumption of all nicotine-containing products.</w:t>
      </w:r>
      <w:r w:rsidR="00E7774D">
        <w:rPr>
          <w:sz w:val="22"/>
          <w:lang w:eastAsia="en-GB"/>
        </w:rPr>
        <w:t xml:space="preserve"> Not in </w:t>
      </w:r>
      <w:r w:rsidR="00846BB1">
        <w:rPr>
          <w:sz w:val="22"/>
          <w:lang w:eastAsia="en-GB"/>
        </w:rPr>
        <w:t xml:space="preserve">imposing </w:t>
      </w:r>
      <w:r w:rsidR="00E7774D">
        <w:rPr>
          <w:sz w:val="22"/>
          <w:lang w:eastAsia="en-GB"/>
        </w:rPr>
        <w:t>broad restrictions of</w:t>
      </w:r>
      <w:r w:rsidR="00297E03">
        <w:rPr>
          <w:sz w:val="22"/>
          <w:lang w:eastAsia="en-GB"/>
        </w:rPr>
        <w:t xml:space="preserve"> flavours that would make the product less attractive to </w:t>
      </w:r>
      <w:r w:rsidR="00495CF6">
        <w:rPr>
          <w:sz w:val="22"/>
          <w:lang w:eastAsia="en-GB"/>
        </w:rPr>
        <w:t>adult smokers</w:t>
      </w:r>
      <w:r>
        <w:rPr>
          <w:sz w:val="22"/>
          <w:lang w:eastAsia="en-GB"/>
        </w:rPr>
        <w:t xml:space="preserve">. </w:t>
      </w:r>
    </w:p>
    <w:p w14:paraId="6341062A" w14:textId="67F4C91A" w:rsidR="00105152" w:rsidRPr="004B7A01" w:rsidRDefault="001501E9" w:rsidP="003134DE">
      <w:pPr>
        <w:rPr>
          <w:rFonts w:cstheme="majorBidi"/>
          <w:sz w:val="32"/>
          <w:lang w:eastAsia="en-GB"/>
        </w:rPr>
      </w:pPr>
      <w:r w:rsidRPr="004B7A01">
        <w:rPr>
          <w:rFonts w:cstheme="majorBidi"/>
          <w:sz w:val="32"/>
          <w:lang w:eastAsia="en-GB"/>
        </w:rPr>
        <w:t>Conclusions</w:t>
      </w:r>
    </w:p>
    <w:p w14:paraId="4D6C81A0" w14:textId="3C46E689" w:rsidR="00F16F84" w:rsidRPr="004B7A01" w:rsidRDefault="00F16F84" w:rsidP="00737337">
      <w:pPr>
        <w:rPr>
          <w:rFonts w:cs="Arial"/>
          <w:sz w:val="22"/>
          <w:lang w:eastAsia="en-GB"/>
        </w:rPr>
      </w:pPr>
      <w:r w:rsidRPr="004B7A01">
        <w:rPr>
          <w:rFonts w:cs="Arial"/>
          <w:sz w:val="22"/>
          <w:lang w:eastAsia="en-GB"/>
        </w:rPr>
        <w:t>With the above in mind as basis for our motivation, we conclude that the proposal, according to all available statistics and particularly considering Spain's smoking prevalence, would represent a profoundly misguided and counterproductive measure, unlikely to achieve its intended public health objectives and potentially</w:t>
      </w:r>
      <w:r w:rsidR="00B65F7B" w:rsidRPr="004B7A01">
        <w:rPr>
          <w:rFonts w:cs="Arial"/>
          <w:sz w:val="22"/>
          <w:lang w:eastAsia="en-GB"/>
        </w:rPr>
        <w:t xml:space="preserve"> or even likely</w:t>
      </w:r>
      <w:r w:rsidRPr="004B7A01">
        <w:rPr>
          <w:rFonts w:cs="Arial"/>
          <w:sz w:val="22"/>
          <w:lang w:eastAsia="en-GB"/>
        </w:rPr>
        <w:t xml:space="preserve"> exacerbating the very issues it seeks to address.</w:t>
      </w:r>
    </w:p>
    <w:p w14:paraId="48D78880" w14:textId="57EC8249" w:rsidR="00B907FA" w:rsidRPr="004B7A01" w:rsidRDefault="00D65144" w:rsidP="00737337">
      <w:pPr>
        <w:rPr>
          <w:rFonts w:cs="Arial"/>
          <w:sz w:val="22"/>
          <w:lang w:eastAsia="en-GB"/>
        </w:rPr>
      </w:pPr>
      <w:r w:rsidRPr="004B7A01">
        <w:rPr>
          <w:rFonts w:cs="Arial"/>
          <w:sz w:val="22"/>
          <w:lang w:eastAsia="en-GB"/>
        </w:rPr>
        <w:t xml:space="preserve">The </w:t>
      </w:r>
      <w:r w:rsidR="00122663" w:rsidRPr="004B7A01">
        <w:rPr>
          <w:rFonts w:cs="Arial"/>
          <w:sz w:val="22"/>
          <w:lang w:eastAsia="en-GB"/>
        </w:rPr>
        <w:t xml:space="preserve">justification </w:t>
      </w:r>
      <w:r w:rsidR="003A5BCE" w:rsidRPr="004B7A01">
        <w:rPr>
          <w:rFonts w:cs="Arial"/>
          <w:sz w:val="22"/>
          <w:lang w:eastAsia="en-GB"/>
        </w:rPr>
        <w:t>criteria</w:t>
      </w:r>
      <w:r w:rsidR="00122663" w:rsidRPr="004B7A01">
        <w:rPr>
          <w:rFonts w:cs="Arial"/>
          <w:sz w:val="22"/>
          <w:lang w:eastAsia="en-GB"/>
        </w:rPr>
        <w:t xml:space="preserve"> cannot be met for the </w:t>
      </w:r>
      <w:r w:rsidR="00783B0C" w:rsidRPr="004B7A01">
        <w:rPr>
          <w:rFonts w:cs="Arial"/>
          <w:sz w:val="22"/>
          <w:lang w:eastAsia="en-GB"/>
        </w:rPr>
        <w:t>proposed restrictions</w:t>
      </w:r>
      <w:r w:rsidR="008E4FDB" w:rsidRPr="004B7A01">
        <w:rPr>
          <w:rFonts w:cs="Arial"/>
          <w:sz w:val="22"/>
          <w:lang w:eastAsia="en-GB"/>
        </w:rPr>
        <w:t xml:space="preserve"> and that the draft Law will restrict the free movement of goods (Article 34 TFEU</w:t>
      </w:r>
      <w:r w:rsidR="00B63AE2" w:rsidRPr="004B7A01">
        <w:rPr>
          <w:rFonts w:cs="Arial"/>
          <w:sz w:val="22"/>
          <w:lang w:eastAsia="en-GB"/>
        </w:rPr>
        <w:t>)</w:t>
      </w:r>
    </w:p>
    <w:p w14:paraId="29B19863" w14:textId="092F9F8C" w:rsidR="00DF3946" w:rsidRPr="004B7A01" w:rsidRDefault="00DF3946" w:rsidP="00105152">
      <w:pPr>
        <w:pStyle w:val="ListParagraph"/>
        <w:numPr>
          <w:ilvl w:val="0"/>
          <w:numId w:val="7"/>
        </w:numPr>
        <w:rPr>
          <w:rFonts w:cs="Arial"/>
          <w:i/>
          <w:iCs/>
          <w:sz w:val="22"/>
          <w:lang w:eastAsia="en-GB"/>
        </w:rPr>
      </w:pPr>
      <w:bookmarkStart w:id="6" w:name="_Hlk183784389"/>
      <w:r w:rsidRPr="004B7A01">
        <w:rPr>
          <w:rFonts w:cs="Arial"/>
          <w:i/>
          <w:iCs/>
          <w:sz w:val="22"/>
          <w:lang w:eastAsia="en-GB"/>
        </w:rPr>
        <w:lastRenderedPageBreak/>
        <w:t xml:space="preserve">There </w:t>
      </w:r>
      <w:r w:rsidR="0072167E" w:rsidRPr="004B7A01">
        <w:rPr>
          <w:rFonts w:cs="Arial"/>
          <w:i/>
          <w:iCs/>
          <w:sz w:val="22"/>
          <w:lang w:eastAsia="en-GB"/>
        </w:rPr>
        <w:t>are</w:t>
      </w:r>
      <w:r w:rsidRPr="004B7A01">
        <w:rPr>
          <w:rFonts w:cs="Arial"/>
          <w:i/>
          <w:iCs/>
          <w:sz w:val="22"/>
          <w:lang w:eastAsia="en-GB"/>
        </w:rPr>
        <w:t xml:space="preserve"> no public health risk</w:t>
      </w:r>
      <w:r w:rsidR="0072167E" w:rsidRPr="004B7A01">
        <w:rPr>
          <w:rFonts w:cs="Arial"/>
          <w:i/>
          <w:iCs/>
          <w:sz w:val="22"/>
          <w:lang w:eastAsia="en-GB"/>
        </w:rPr>
        <w:t>s</w:t>
      </w:r>
      <w:r w:rsidRPr="004B7A01">
        <w:rPr>
          <w:rFonts w:cs="Arial"/>
          <w:i/>
          <w:iCs/>
          <w:sz w:val="22"/>
          <w:lang w:eastAsia="en-GB"/>
        </w:rPr>
        <w:t xml:space="preserve"> that could justify restrictions on the free movement of nicotine pouches. On the contrary, such restrictions are likely to have the opposite effect by reducing access to reduced risk alternatives </w:t>
      </w:r>
      <w:r w:rsidR="00D60AAE" w:rsidRPr="004B7A01">
        <w:rPr>
          <w:rFonts w:cs="Arial"/>
          <w:i/>
          <w:iCs/>
          <w:sz w:val="22"/>
          <w:lang w:eastAsia="en-GB"/>
        </w:rPr>
        <w:t xml:space="preserve">that are </w:t>
      </w:r>
      <w:r w:rsidR="0072167E" w:rsidRPr="004B7A01">
        <w:rPr>
          <w:rFonts w:cs="Arial"/>
          <w:i/>
          <w:iCs/>
          <w:sz w:val="22"/>
          <w:lang w:eastAsia="en-GB"/>
        </w:rPr>
        <w:t>beneficial to smokers</w:t>
      </w:r>
      <w:r w:rsidR="00D60AAE" w:rsidRPr="004B7A01">
        <w:rPr>
          <w:rFonts w:cs="Arial"/>
          <w:i/>
          <w:iCs/>
          <w:sz w:val="22"/>
          <w:lang w:eastAsia="en-GB"/>
        </w:rPr>
        <w:t>,</w:t>
      </w:r>
      <w:r w:rsidR="0072167E" w:rsidRPr="004B7A01">
        <w:rPr>
          <w:rFonts w:cs="Arial"/>
          <w:i/>
          <w:iCs/>
          <w:sz w:val="22"/>
          <w:lang w:eastAsia="en-GB"/>
        </w:rPr>
        <w:t xml:space="preserve"> as recognized by </w:t>
      </w:r>
      <w:proofErr w:type="spellStart"/>
      <w:r w:rsidR="0072167E" w:rsidRPr="004B7A01">
        <w:rPr>
          <w:rFonts w:cs="Arial"/>
          <w:i/>
          <w:iCs/>
          <w:sz w:val="22"/>
          <w:lang w:eastAsia="en-GB"/>
        </w:rPr>
        <w:t>Bfr</w:t>
      </w:r>
      <w:proofErr w:type="spellEnd"/>
      <w:r w:rsidR="0072167E" w:rsidRPr="004B7A01">
        <w:rPr>
          <w:rFonts w:cs="Arial"/>
          <w:i/>
          <w:iCs/>
          <w:sz w:val="22"/>
          <w:lang w:eastAsia="en-GB"/>
        </w:rPr>
        <w:t>, COT and RIVM</w:t>
      </w:r>
      <w:bookmarkEnd w:id="6"/>
      <w:r w:rsidR="0072167E" w:rsidRPr="004B7A01">
        <w:rPr>
          <w:rFonts w:cs="Arial"/>
          <w:i/>
          <w:iCs/>
          <w:sz w:val="22"/>
          <w:lang w:eastAsia="en-GB"/>
        </w:rPr>
        <w:t xml:space="preserve"> (footnote </w:t>
      </w:r>
      <w:r w:rsidR="00276EE7" w:rsidRPr="004B7A01">
        <w:rPr>
          <w:rFonts w:cs="Arial"/>
          <w:i/>
          <w:iCs/>
          <w:sz w:val="22"/>
          <w:lang w:eastAsia="en-GB"/>
        </w:rPr>
        <w:t>4,5 and</w:t>
      </w:r>
      <w:r w:rsidR="0004343A" w:rsidRPr="004B7A01">
        <w:rPr>
          <w:rFonts w:cs="Arial"/>
          <w:i/>
          <w:iCs/>
          <w:sz w:val="22"/>
          <w:lang w:eastAsia="en-GB"/>
        </w:rPr>
        <w:t xml:space="preserve"> </w:t>
      </w:r>
      <w:r w:rsidR="00276EE7" w:rsidRPr="004B7A01">
        <w:rPr>
          <w:rFonts w:cs="Arial"/>
          <w:i/>
          <w:iCs/>
          <w:sz w:val="22"/>
          <w:lang w:eastAsia="en-GB"/>
        </w:rPr>
        <w:t>6</w:t>
      </w:r>
      <w:r w:rsidR="0072167E" w:rsidRPr="004B7A01">
        <w:rPr>
          <w:rFonts w:cs="Arial"/>
          <w:i/>
          <w:iCs/>
          <w:sz w:val="22"/>
          <w:lang w:eastAsia="en-GB"/>
        </w:rPr>
        <w:t>)</w:t>
      </w:r>
      <w:r w:rsidR="002B13D5">
        <w:rPr>
          <w:rFonts w:cs="Arial"/>
          <w:i/>
          <w:iCs/>
          <w:sz w:val="22"/>
          <w:lang w:eastAsia="en-GB"/>
        </w:rPr>
        <w:t>.</w:t>
      </w:r>
    </w:p>
    <w:p w14:paraId="68009DF3" w14:textId="77777777" w:rsidR="0072167E" w:rsidRPr="004B7A01" w:rsidRDefault="0072167E" w:rsidP="001772B8">
      <w:pPr>
        <w:pStyle w:val="ListParagraph"/>
        <w:rPr>
          <w:rFonts w:cs="Arial"/>
          <w:i/>
          <w:iCs/>
          <w:sz w:val="22"/>
          <w:lang w:eastAsia="en-GB"/>
        </w:rPr>
      </w:pPr>
    </w:p>
    <w:p w14:paraId="355D1F91" w14:textId="5BF809DD" w:rsidR="0072167E" w:rsidRPr="004B7A01" w:rsidRDefault="0076071B" w:rsidP="0072167E">
      <w:pPr>
        <w:pStyle w:val="ListParagraph"/>
        <w:numPr>
          <w:ilvl w:val="0"/>
          <w:numId w:val="7"/>
        </w:numPr>
        <w:rPr>
          <w:rFonts w:cs="Arial"/>
          <w:i/>
          <w:iCs/>
          <w:sz w:val="22"/>
          <w:lang w:eastAsia="en-GB"/>
        </w:rPr>
      </w:pPr>
      <w:bookmarkStart w:id="7" w:name="_Hlk183784661"/>
      <w:r w:rsidRPr="004B7A01">
        <w:rPr>
          <w:rFonts w:cs="Arial"/>
          <w:i/>
          <w:iCs/>
          <w:sz w:val="22"/>
          <w:lang w:eastAsia="en-GB"/>
        </w:rPr>
        <w:t xml:space="preserve">The </w:t>
      </w:r>
      <w:r w:rsidR="002B13D5">
        <w:rPr>
          <w:rFonts w:cs="Arial"/>
          <w:i/>
          <w:iCs/>
          <w:sz w:val="22"/>
          <w:lang w:eastAsia="en-GB"/>
        </w:rPr>
        <w:t xml:space="preserve">de facto </w:t>
      </w:r>
      <w:r w:rsidRPr="004B7A01">
        <w:rPr>
          <w:rFonts w:cs="Arial"/>
          <w:i/>
          <w:iCs/>
          <w:sz w:val="22"/>
          <w:lang w:eastAsia="en-GB"/>
        </w:rPr>
        <w:t xml:space="preserve">ban </w:t>
      </w:r>
      <w:r w:rsidR="00DE7592" w:rsidRPr="004B7A01">
        <w:rPr>
          <w:rFonts w:cs="Arial"/>
          <w:i/>
          <w:iCs/>
          <w:sz w:val="22"/>
          <w:lang w:eastAsia="en-GB"/>
        </w:rPr>
        <w:t xml:space="preserve">is not proportionate </w:t>
      </w:r>
      <w:r w:rsidR="00CC3D13" w:rsidRPr="004B7A01">
        <w:rPr>
          <w:rFonts w:cs="Arial"/>
          <w:i/>
          <w:iCs/>
          <w:sz w:val="22"/>
          <w:lang w:eastAsia="en-GB"/>
        </w:rPr>
        <w:t xml:space="preserve">since </w:t>
      </w:r>
      <w:r w:rsidR="00C81FBB" w:rsidRPr="004B7A01">
        <w:rPr>
          <w:rFonts w:cs="Arial"/>
          <w:i/>
          <w:iCs/>
          <w:sz w:val="22"/>
          <w:lang w:eastAsia="en-GB"/>
        </w:rPr>
        <w:t xml:space="preserve">there is no </w:t>
      </w:r>
      <w:r w:rsidR="00A66C1C" w:rsidRPr="004B7A01">
        <w:rPr>
          <w:rFonts w:cs="Arial"/>
          <w:i/>
          <w:iCs/>
          <w:sz w:val="22"/>
          <w:lang w:eastAsia="en-GB"/>
        </w:rPr>
        <w:t>scientific evidence or even statistical indicat</w:t>
      </w:r>
      <w:r w:rsidR="00820D80" w:rsidRPr="004B7A01">
        <w:rPr>
          <w:rFonts w:cs="Arial"/>
          <w:i/>
          <w:iCs/>
          <w:sz w:val="22"/>
          <w:lang w:eastAsia="en-GB"/>
        </w:rPr>
        <w:t>ions</w:t>
      </w:r>
      <w:r w:rsidR="00A66C1C" w:rsidRPr="004B7A01">
        <w:rPr>
          <w:rFonts w:cs="Arial"/>
          <w:i/>
          <w:iCs/>
          <w:sz w:val="22"/>
          <w:lang w:eastAsia="en-GB"/>
        </w:rPr>
        <w:t xml:space="preserve"> that </w:t>
      </w:r>
      <w:r w:rsidR="00227F7E" w:rsidRPr="004B7A01">
        <w:rPr>
          <w:rFonts w:cs="Arial"/>
          <w:i/>
          <w:iCs/>
          <w:sz w:val="22"/>
          <w:lang w:eastAsia="en-GB"/>
        </w:rPr>
        <w:t xml:space="preserve">suggests that </w:t>
      </w:r>
      <w:r w:rsidR="00820D80" w:rsidRPr="004B7A01">
        <w:rPr>
          <w:rFonts w:cs="Arial"/>
          <w:i/>
          <w:iCs/>
          <w:sz w:val="22"/>
          <w:lang w:eastAsia="en-GB"/>
        </w:rPr>
        <w:t xml:space="preserve">nicotine users </w:t>
      </w:r>
      <w:r w:rsidR="0048591C" w:rsidRPr="004B7A01">
        <w:rPr>
          <w:rFonts w:cs="Arial"/>
          <w:i/>
          <w:iCs/>
          <w:sz w:val="22"/>
          <w:lang w:eastAsia="en-GB"/>
        </w:rPr>
        <w:t>would be exposed to higher risk by placing nicotine pouches on the market.</w:t>
      </w:r>
      <w:r w:rsidR="00436305" w:rsidRPr="004B7A01">
        <w:rPr>
          <w:rFonts w:cs="Arial"/>
          <w:i/>
          <w:iCs/>
          <w:sz w:val="22"/>
          <w:lang w:eastAsia="en-GB"/>
        </w:rPr>
        <w:t xml:space="preserve"> The</w:t>
      </w:r>
      <w:r w:rsidR="008202DA" w:rsidRPr="004B7A01">
        <w:rPr>
          <w:rFonts w:cs="Arial"/>
          <w:i/>
          <w:iCs/>
          <w:sz w:val="22"/>
          <w:lang w:eastAsia="en-GB"/>
        </w:rPr>
        <w:t xml:space="preserve"> Member States that clearly excel at </w:t>
      </w:r>
      <w:r w:rsidR="00076BA6" w:rsidRPr="004B7A01">
        <w:rPr>
          <w:rFonts w:cs="Arial"/>
          <w:i/>
          <w:iCs/>
          <w:sz w:val="22"/>
          <w:lang w:eastAsia="en-GB"/>
        </w:rPr>
        <w:t xml:space="preserve">reducing </w:t>
      </w:r>
      <w:r w:rsidR="008202DA" w:rsidRPr="004B7A01">
        <w:rPr>
          <w:rFonts w:cs="Arial"/>
          <w:i/>
          <w:iCs/>
          <w:sz w:val="22"/>
          <w:lang w:eastAsia="en-GB"/>
        </w:rPr>
        <w:t xml:space="preserve">tobacco harm </w:t>
      </w:r>
      <w:r w:rsidR="00C12B56" w:rsidRPr="004B7A01">
        <w:rPr>
          <w:rFonts w:cs="Arial"/>
          <w:i/>
          <w:iCs/>
          <w:sz w:val="22"/>
          <w:lang w:eastAsia="en-GB"/>
        </w:rPr>
        <w:t>have</w:t>
      </w:r>
      <w:r w:rsidR="00A0040C" w:rsidRPr="004B7A01">
        <w:rPr>
          <w:rFonts w:cs="Arial"/>
          <w:i/>
          <w:iCs/>
          <w:sz w:val="22"/>
          <w:lang w:eastAsia="en-GB"/>
        </w:rPr>
        <w:t xml:space="preserve"> </w:t>
      </w:r>
      <w:r w:rsidR="007015CC" w:rsidRPr="004B7A01">
        <w:rPr>
          <w:rFonts w:cs="Arial"/>
          <w:i/>
          <w:iCs/>
          <w:sz w:val="22"/>
          <w:lang w:eastAsia="en-GB"/>
        </w:rPr>
        <w:t>nicotine pouches</w:t>
      </w:r>
      <w:r w:rsidR="00A0040C" w:rsidRPr="004B7A01">
        <w:rPr>
          <w:rFonts w:cs="Arial"/>
          <w:i/>
          <w:iCs/>
          <w:sz w:val="22"/>
          <w:lang w:eastAsia="en-GB"/>
        </w:rPr>
        <w:t xml:space="preserve"> </w:t>
      </w:r>
      <w:r w:rsidR="00BA6973" w:rsidRPr="004B7A01">
        <w:rPr>
          <w:rFonts w:cs="Arial"/>
          <w:i/>
          <w:iCs/>
          <w:sz w:val="22"/>
          <w:lang w:eastAsia="en-GB"/>
        </w:rPr>
        <w:t xml:space="preserve">available on the market </w:t>
      </w:r>
      <w:r w:rsidR="00A0040C" w:rsidRPr="004B7A01">
        <w:rPr>
          <w:rFonts w:cs="Arial"/>
          <w:i/>
          <w:iCs/>
          <w:sz w:val="22"/>
          <w:lang w:eastAsia="en-GB"/>
        </w:rPr>
        <w:t xml:space="preserve">with nicotine concentration </w:t>
      </w:r>
      <w:r w:rsidR="00CF359D">
        <w:rPr>
          <w:rFonts w:cs="Arial"/>
          <w:i/>
          <w:iCs/>
          <w:sz w:val="22"/>
          <w:lang w:eastAsia="en-GB"/>
        </w:rPr>
        <w:t xml:space="preserve">higher </w:t>
      </w:r>
      <w:r w:rsidR="00F90BE5">
        <w:rPr>
          <w:rFonts w:cs="Arial"/>
          <w:i/>
          <w:iCs/>
          <w:sz w:val="22"/>
          <w:lang w:eastAsia="en-GB"/>
        </w:rPr>
        <w:t xml:space="preserve">than </w:t>
      </w:r>
      <w:r w:rsidR="00CF359D">
        <w:rPr>
          <w:rFonts w:cs="Arial"/>
          <w:i/>
          <w:iCs/>
          <w:sz w:val="22"/>
          <w:lang w:eastAsia="en-GB"/>
        </w:rPr>
        <w:t xml:space="preserve">the one </w:t>
      </w:r>
      <w:r w:rsidR="00F90BE5">
        <w:rPr>
          <w:rFonts w:cs="Arial"/>
          <w:i/>
          <w:iCs/>
          <w:sz w:val="22"/>
          <w:lang w:eastAsia="en-GB"/>
        </w:rPr>
        <w:t>proposed</w:t>
      </w:r>
      <w:r w:rsidR="00BA6973">
        <w:rPr>
          <w:rFonts w:cs="Arial"/>
          <w:i/>
          <w:iCs/>
          <w:sz w:val="22"/>
          <w:lang w:eastAsia="en-GB"/>
        </w:rPr>
        <w:t>,</w:t>
      </w:r>
      <w:r w:rsidR="00F90BE5">
        <w:rPr>
          <w:rFonts w:cs="Arial"/>
          <w:i/>
          <w:iCs/>
          <w:sz w:val="22"/>
          <w:lang w:eastAsia="en-GB"/>
        </w:rPr>
        <w:t xml:space="preserve"> </w:t>
      </w:r>
      <w:r w:rsidR="00F97C23" w:rsidRPr="004B7A01">
        <w:rPr>
          <w:rFonts w:cs="Arial"/>
          <w:i/>
          <w:iCs/>
          <w:sz w:val="22"/>
          <w:lang w:eastAsia="en-GB"/>
        </w:rPr>
        <w:t>showing that</w:t>
      </w:r>
      <w:r w:rsidR="00B27E9D" w:rsidRPr="004B7A01">
        <w:rPr>
          <w:rFonts w:cs="Arial"/>
          <w:i/>
          <w:iCs/>
          <w:sz w:val="22"/>
          <w:lang w:eastAsia="en-GB"/>
        </w:rPr>
        <w:t xml:space="preserve"> </w:t>
      </w:r>
      <w:r w:rsidR="00C76CE9" w:rsidRPr="004B7A01">
        <w:rPr>
          <w:rFonts w:cs="Arial"/>
          <w:i/>
          <w:iCs/>
          <w:sz w:val="22"/>
          <w:lang w:eastAsia="en-GB"/>
        </w:rPr>
        <w:t>Spain</w:t>
      </w:r>
      <w:r w:rsidR="009B26B9" w:rsidRPr="004B7A01">
        <w:rPr>
          <w:rFonts w:cs="Arial"/>
          <w:i/>
          <w:iCs/>
          <w:sz w:val="22"/>
          <w:lang w:eastAsia="en-GB"/>
        </w:rPr>
        <w:t xml:space="preserve"> could achieve </w:t>
      </w:r>
      <w:r w:rsidR="001266A0" w:rsidRPr="004B7A01">
        <w:rPr>
          <w:rFonts w:cs="Arial"/>
          <w:i/>
          <w:iCs/>
          <w:sz w:val="22"/>
          <w:lang w:eastAsia="en-GB"/>
        </w:rPr>
        <w:t xml:space="preserve">even more ambitious </w:t>
      </w:r>
      <w:r w:rsidR="00A2055D" w:rsidRPr="004B7A01">
        <w:rPr>
          <w:rFonts w:cs="Arial"/>
          <w:i/>
          <w:iCs/>
          <w:sz w:val="22"/>
          <w:lang w:eastAsia="en-GB"/>
        </w:rPr>
        <w:t xml:space="preserve">health objectives without </w:t>
      </w:r>
      <w:r w:rsidR="00C10BBB" w:rsidRPr="004B7A01">
        <w:rPr>
          <w:rFonts w:cs="Arial"/>
          <w:i/>
          <w:iCs/>
          <w:sz w:val="22"/>
          <w:lang w:eastAsia="en-GB"/>
        </w:rPr>
        <w:t xml:space="preserve">this </w:t>
      </w:r>
      <w:r w:rsidR="005275CF" w:rsidRPr="004B7A01">
        <w:rPr>
          <w:rFonts w:cs="Arial"/>
          <w:i/>
          <w:iCs/>
          <w:sz w:val="22"/>
          <w:lang w:eastAsia="en-GB"/>
        </w:rPr>
        <w:t>u</w:t>
      </w:r>
      <w:r w:rsidR="00F64C9F" w:rsidRPr="004B7A01">
        <w:rPr>
          <w:rFonts w:cs="Arial"/>
          <w:i/>
          <w:iCs/>
          <w:sz w:val="22"/>
          <w:lang w:eastAsia="en-GB"/>
        </w:rPr>
        <w:t>nwarranted</w:t>
      </w:r>
      <w:r w:rsidR="00B04AB0" w:rsidRPr="004B7A01">
        <w:rPr>
          <w:rFonts w:cs="Arial"/>
          <w:i/>
          <w:iCs/>
          <w:sz w:val="22"/>
          <w:lang w:eastAsia="en-GB"/>
        </w:rPr>
        <w:t>,</w:t>
      </w:r>
      <w:r w:rsidR="00F64C9F" w:rsidRPr="004B7A01">
        <w:rPr>
          <w:rFonts w:cs="Arial"/>
          <w:i/>
          <w:iCs/>
          <w:sz w:val="22"/>
          <w:lang w:eastAsia="en-GB"/>
        </w:rPr>
        <w:t xml:space="preserve"> </w:t>
      </w:r>
      <w:r w:rsidR="001A2770" w:rsidRPr="004B7A01">
        <w:rPr>
          <w:rFonts w:cs="Arial"/>
          <w:i/>
          <w:iCs/>
          <w:sz w:val="22"/>
          <w:lang w:eastAsia="en-GB"/>
        </w:rPr>
        <w:t xml:space="preserve">arbitrary </w:t>
      </w:r>
      <w:r w:rsidR="00B04AB0" w:rsidRPr="004B7A01">
        <w:rPr>
          <w:rFonts w:cs="Arial"/>
          <w:i/>
          <w:iCs/>
          <w:sz w:val="22"/>
          <w:lang w:eastAsia="en-GB"/>
        </w:rPr>
        <w:t xml:space="preserve">and disproportionate </w:t>
      </w:r>
      <w:r w:rsidR="00BA6973">
        <w:rPr>
          <w:rFonts w:cs="Arial"/>
          <w:i/>
          <w:iCs/>
          <w:sz w:val="22"/>
          <w:lang w:eastAsia="en-GB"/>
        </w:rPr>
        <w:t xml:space="preserve">restriction in </w:t>
      </w:r>
      <w:r w:rsidR="00EC5512" w:rsidRPr="004B7A01">
        <w:rPr>
          <w:rFonts w:cs="Arial"/>
          <w:i/>
          <w:iCs/>
          <w:sz w:val="22"/>
          <w:lang w:eastAsia="en-GB"/>
        </w:rPr>
        <w:t>nicotine content</w:t>
      </w:r>
      <w:r w:rsidR="002B13D5">
        <w:rPr>
          <w:rFonts w:cs="Arial"/>
          <w:i/>
          <w:iCs/>
          <w:sz w:val="22"/>
          <w:lang w:eastAsia="en-GB"/>
        </w:rPr>
        <w:t>.</w:t>
      </w:r>
    </w:p>
    <w:bookmarkEnd w:id="7"/>
    <w:p w14:paraId="5090DF4F" w14:textId="77777777" w:rsidR="0072167E" w:rsidRPr="004B7A01" w:rsidRDefault="0072167E" w:rsidP="001772B8">
      <w:pPr>
        <w:pStyle w:val="ListParagraph"/>
        <w:rPr>
          <w:rFonts w:cs="Arial"/>
          <w:i/>
          <w:iCs/>
          <w:sz w:val="22"/>
          <w:lang w:eastAsia="en-GB"/>
        </w:rPr>
      </w:pPr>
    </w:p>
    <w:p w14:paraId="306FAA2A" w14:textId="19843BDA" w:rsidR="00FC7E7C" w:rsidRPr="00312CA0" w:rsidRDefault="00F90BE5">
      <w:pPr>
        <w:pStyle w:val="ListParagraph"/>
        <w:numPr>
          <w:ilvl w:val="0"/>
          <w:numId w:val="7"/>
        </w:numPr>
        <w:rPr>
          <w:rFonts w:cs="Arial"/>
          <w:sz w:val="22"/>
          <w:lang w:eastAsia="en-GB"/>
        </w:rPr>
      </w:pPr>
      <w:r>
        <w:rPr>
          <w:rFonts w:cs="Arial"/>
          <w:i/>
          <w:iCs/>
          <w:sz w:val="22"/>
          <w:lang w:eastAsia="en-GB"/>
        </w:rPr>
        <w:t>T</w:t>
      </w:r>
      <w:r w:rsidR="00BB44A3" w:rsidRPr="004B7A01">
        <w:rPr>
          <w:rFonts w:cs="Arial"/>
          <w:i/>
          <w:iCs/>
          <w:sz w:val="22"/>
          <w:lang w:eastAsia="en-GB"/>
        </w:rPr>
        <w:t xml:space="preserve">here are </w:t>
      </w:r>
      <w:r w:rsidR="00C03DA4" w:rsidRPr="004B7A01">
        <w:rPr>
          <w:rFonts w:cs="Arial"/>
          <w:i/>
          <w:iCs/>
          <w:sz w:val="22"/>
          <w:lang w:eastAsia="en-GB"/>
        </w:rPr>
        <w:t>more purposeful</w:t>
      </w:r>
      <w:r w:rsidR="00BB44A3" w:rsidRPr="004B7A01">
        <w:rPr>
          <w:rFonts w:cs="Arial"/>
          <w:i/>
          <w:iCs/>
          <w:sz w:val="22"/>
          <w:lang w:eastAsia="en-GB"/>
        </w:rPr>
        <w:t xml:space="preserve"> measures</w:t>
      </w:r>
      <w:r w:rsidR="00F45E82" w:rsidRPr="004B7A01">
        <w:rPr>
          <w:rFonts w:cs="Arial"/>
          <w:i/>
          <w:iCs/>
          <w:sz w:val="22"/>
          <w:lang w:eastAsia="en-GB"/>
        </w:rPr>
        <w:t xml:space="preserve"> that can </w:t>
      </w:r>
      <w:r w:rsidR="005A0A3F" w:rsidRPr="004B7A01">
        <w:rPr>
          <w:rFonts w:cs="Arial"/>
          <w:i/>
          <w:iCs/>
          <w:sz w:val="22"/>
          <w:lang w:eastAsia="en-GB"/>
        </w:rPr>
        <w:t>be used to tackle real and present issues</w:t>
      </w:r>
      <w:r w:rsidR="004D04DB" w:rsidRPr="004B7A01">
        <w:rPr>
          <w:rFonts w:cs="Arial"/>
          <w:i/>
          <w:iCs/>
          <w:sz w:val="22"/>
          <w:lang w:eastAsia="en-GB"/>
        </w:rPr>
        <w:t xml:space="preserve"> related to tobacco</w:t>
      </w:r>
      <w:r w:rsidR="002077FF" w:rsidRPr="004B7A01">
        <w:rPr>
          <w:rFonts w:cs="Arial"/>
          <w:i/>
          <w:iCs/>
          <w:sz w:val="22"/>
          <w:lang w:eastAsia="en-GB"/>
        </w:rPr>
        <w:t xml:space="preserve"> </w:t>
      </w:r>
      <w:r w:rsidR="000A7927" w:rsidRPr="004B7A01">
        <w:rPr>
          <w:rFonts w:cs="Arial"/>
          <w:i/>
          <w:iCs/>
          <w:sz w:val="22"/>
          <w:lang w:eastAsia="en-GB"/>
        </w:rPr>
        <w:t>harm</w:t>
      </w:r>
      <w:r w:rsidR="004D04DB" w:rsidRPr="004B7A01">
        <w:rPr>
          <w:rFonts w:cs="Arial"/>
          <w:i/>
          <w:iCs/>
          <w:sz w:val="22"/>
          <w:lang w:eastAsia="en-GB"/>
        </w:rPr>
        <w:t>,</w:t>
      </w:r>
      <w:r w:rsidR="005A0A3F" w:rsidRPr="004B7A01">
        <w:rPr>
          <w:rFonts w:cs="Arial"/>
          <w:i/>
          <w:iCs/>
          <w:sz w:val="22"/>
          <w:lang w:eastAsia="en-GB"/>
        </w:rPr>
        <w:t xml:space="preserve"> </w:t>
      </w:r>
      <w:r w:rsidR="003D4BD9" w:rsidRPr="004B7A01">
        <w:rPr>
          <w:rFonts w:cs="Arial"/>
          <w:i/>
          <w:iCs/>
          <w:sz w:val="22"/>
          <w:lang w:eastAsia="en-GB"/>
        </w:rPr>
        <w:t xml:space="preserve">instead of </w:t>
      </w:r>
      <w:r w:rsidR="009B0357" w:rsidRPr="004B7A01">
        <w:rPr>
          <w:rFonts w:cs="Arial"/>
          <w:i/>
          <w:iCs/>
          <w:sz w:val="22"/>
          <w:lang w:eastAsia="en-GB"/>
        </w:rPr>
        <w:t>an unduly low nicotine content limit</w:t>
      </w:r>
      <w:r w:rsidR="0068083F" w:rsidRPr="004B7A01">
        <w:rPr>
          <w:rFonts w:cs="Arial"/>
          <w:i/>
          <w:iCs/>
          <w:sz w:val="22"/>
          <w:lang w:eastAsia="en-GB"/>
        </w:rPr>
        <w:t xml:space="preserve"> that by any definition will miss the target of </w:t>
      </w:r>
      <w:bookmarkStart w:id="8" w:name="_Hlk181035095"/>
      <w:r w:rsidR="0079513C" w:rsidRPr="004B7A01">
        <w:rPr>
          <w:rFonts w:cs="Arial"/>
          <w:i/>
          <w:iCs/>
          <w:sz w:val="22"/>
          <w:lang w:eastAsia="en-GB"/>
        </w:rPr>
        <w:t>improving the protection of public health.</w:t>
      </w:r>
      <w:r w:rsidR="0079513C" w:rsidRPr="004B7A01">
        <w:rPr>
          <w:rFonts w:ascii="Segoe UI" w:hAnsi="Segoe UI" w:cs="Segoe UI"/>
          <w:color w:val="0D0D0D"/>
          <w:shd w:val="clear" w:color="auto" w:fill="FFFFFF"/>
        </w:rPr>
        <w:t xml:space="preserve"> </w:t>
      </w:r>
      <w:r w:rsidR="0079513C" w:rsidRPr="004B7A01">
        <w:rPr>
          <w:rFonts w:cs="Arial"/>
          <w:i/>
          <w:iCs/>
          <w:sz w:val="22"/>
          <w:lang w:eastAsia="en-GB"/>
        </w:rPr>
        <w:t xml:space="preserve">Policies should focus on incentivizing and facilitating </w:t>
      </w:r>
      <w:r w:rsidR="006D5F85" w:rsidRPr="004B7A01">
        <w:rPr>
          <w:rFonts w:cs="Arial"/>
          <w:i/>
          <w:iCs/>
          <w:sz w:val="22"/>
          <w:lang w:eastAsia="en-GB"/>
        </w:rPr>
        <w:t xml:space="preserve">smokers </w:t>
      </w:r>
      <w:r w:rsidR="0079513C" w:rsidRPr="004B7A01">
        <w:rPr>
          <w:rFonts w:cs="Arial"/>
          <w:i/>
          <w:iCs/>
          <w:sz w:val="22"/>
          <w:lang w:eastAsia="en-GB"/>
        </w:rPr>
        <w:t>switch</w:t>
      </w:r>
      <w:r w:rsidR="006D5F85" w:rsidRPr="004B7A01">
        <w:rPr>
          <w:rFonts w:cs="Arial"/>
          <w:i/>
          <w:iCs/>
          <w:sz w:val="22"/>
          <w:lang w:eastAsia="en-GB"/>
        </w:rPr>
        <w:t xml:space="preserve">ing to </w:t>
      </w:r>
      <w:r w:rsidR="00D0017B" w:rsidRPr="004B7A01">
        <w:rPr>
          <w:rFonts w:cs="Arial"/>
          <w:i/>
          <w:iCs/>
          <w:sz w:val="22"/>
          <w:lang w:eastAsia="en-GB"/>
        </w:rPr>
        <w:t>nicotine pouches</w:t>
      </w:r>
      <w:r w:rsidR="0079513C" w:rsidRPr="004B7A01">
        <w:rPr>
          <w:rFonts w:cs="Arial"/>
          <w:i/>
          <w:iCs/>
          <w:sz w:val="22"/>
          <w:lang w:eastAsia="en-GB"/>
        </w:rPr>
        <w:t xml:space="preserve"> rather than restricting access, as this would maximize public health benefits and provide a clear pathway for smokers to adopt less harmful alternatives, potentially saving countless lives and reducing healthcare burdens.</w:t>
      </w:r>
    </w:p>
    <w:p w14:paraId="7BED2F45" w14:textId="77777777" w:rsidR="00312CA0" w:rsidRPr="00312CA0" w:rsidRDefault="00312CA0" w:rsidP="00312CA0">
      <w:pPr>
        <w:pStyle w:val="ListParagraph"/>
        <w:rPr>
          <w:rFonts w:cs="Arial"/>
          <w:sz w:val="22"/>
          <w:lang w:eastAsia="en-GB"/>
        </w:rPr>
      </w:pPr>
    </w:p>
    <w:p w14:paraId="7AC89446" w14:textId="14C0F5A5" w:rsidR="00312CA0" w:rsidRPr="00DE2502" w:rsidRDefault="00870BEC">
      <w:pPr>
        <w:pStyle w:val="ListParagraph"/>
        <w:numPr>
          <w:ilvl w:val="0"/>
          <w:numId w:val="7"/>
        </w:numPr>
        <w:rPr>
          <w:rFonts w:cs="Arial"/>
          <w:i/>
          <w:iCs/>
          <w:sz w:val="22"/>
          <w:lang w:eastAsia="en-GB"/>
        </w:rPr>
      </w:pPr>
      <w:r>
        <w:rPr>
          <w:rFonts w:cs="Arial"/>
          <w:i/>
          <w:iCs/>
          <w:sz w:val="22"/>
          <w:lang w:eastAsia="en-GB"/>
        </w:rPr>
        <w:t>Targeted</w:t>
      </w:r>
      <w:r w:rsidR="00932545" w:rsidRPr="00DE2502">
        <w:rPr>
          <w:rFonts w:cs="Arial"/>
          <w:i/>
          <w:iCs/>
          <w:sz w:val="22"/>
          <w:lang w:eastAsia="en-GB"/>
        </w:rPr>
        <w:t xml:space="preserve"> </w:t>
      </w:r>
      <w:r>
        <w:rPr>
          <w:rFonts w:cs="Arial"/>
          <w:i/>
          <w:iCs/>
          <w:sz w:val="22"/>
          <w:lang w:eastAsia="en-GB"/>
        </w:rPr>
        <w:t xml:space="preserve">restrictions </w:t>
      </w:r>
      <w:r w:rsidR="00932545" w:rsidRPr="00DE2502">
        <w:rPr>
          <w:rFonts w:cs="Arial"/>
          <w:i/>
          <w:iCs/>
          <w:sz w:val="22"/>
          <w:lang w:eastAsia="en-GB"/>
        </w:rPr>
        <w:t xml:space="preserve">on </w:t>
      </w:r>
      <w:r w:rsidR="0045241D" w:rsidRPr="00DE2502">
        <w:rPr>
          <w:rFonts w:cs="Arial"/>
          <w:i/>
          <w:iCs/>
          <w:sz w:val="22"/>
          <w:lang w:eastAsia="en-GB"/>
        </w:rPr>
        <w:t>descriptors</w:t>
      </w:r>
      <w:r w:rsidR="00132311" w:rsidRPr="00DE2502">
        <w:rPr>
          <w:rFonts w:cs="Arial"/>
          <w:i/>
          <w:iCs/>
          <w:sz w:val="22"/>
          <w:lang w:eastAsia="en-GB"/>
        </w:rPr>
        <w:t xml:space="preserve">, marketing and design can be motivated to </w:t>
      </w:r>
      <w:r w:rsidR="00022182" w:rsidRPr="00DE2502">
        <w:rPr>
          <w:rFonts w:cs="Arial"/>
          <w:i/>
          <w:iCs/>
          <w:sz w:val="22"/>
          <w:lang w:eastAsia="en-GB"/>
        </w:rPr>
        <w:t xml:space="preserve">limit </w:t>
      </w:r>
      <w:r w:rsidR="008E00E6" w:rsidRPr="00DE2502">
        <w:rPr>
          <w:rFonts w:cs="Arial"/>
          <w:i/>
          <w:iCs/>
          <w:sz w:val="22"/>
          <w:lang w:eastAsia="en-GB"/>
        </w:rPr>
        <w:t xml:space="preserve">attracting underage </w:t>
      </w:r>
      <w:r w:rsidR="00BA2987" w:rsidRPr="00DE2502">
        <w:rPr>
          <w:rFonts w:cs="Arial"/>
          <w:i/>
          <w:iCs/>
          <w:sz w:val="22"/>
          <w:lang w:eastAsia="en-GB"/>
        </w:rPr>
        <w:t xml:space="preserve">persons, </w:t>
      </w:r>
      <w:r w:rsidR="00415BF4">
        <w:rPr>
          <w:rFonts w:cs="Arial"/>
          <w:i/>
          <w:iCs/>
          <w:sz w:val="22"/>
          <w:lang w:eastAsia="en-GB"/>
        </w:rPr>
        <w:t xml:space="preserve">as </w:t>
      </w:r>
      <w:r w:rsidR="00BA2987" w:rsidRPr="00DE2502">
        <w:rPr>
          <w:rFonts w:cs="Arial"/>
          <w:i/>
          <w:iCs/>
          <w:sz w:val="22"/>
          <w:lang w:eastAsia="en-GB"/>
        </w:rPr>
        <w:t xml:space="preserve">the main </w:t>
      </w:r>
      <w:r w:rsidR="00530422" w:rsidRPr="00DE2502">
        <w:rPr>
          <w:rFonts w:cs="Arial"/>
          <w:i/>
          <w:iCs/>
          <w:sz w:val="22"/>
          <w:lang w:eastAsia="en-GB"/>
        </w:rPr>
        <w:t xml:space="preserve">line of </w:t>
      </w:r>
      <w:r w:rsidR="00700455">
        <w:rPr>
          <w:rFonts w:cs="Arial"/>
          <w:i/>
          <w:iCs/>
          <w:sz w:val="22"/>
          <w:lang w:eastAsia="en-GB"/>
        </w:rPr>
        <w:t xml:space="preserve">public health </w:t>
      </w:r>
      <w:r w:rsidR="00530422" w:rsidRPr="00DE2502">
        <w:rPr>
          <w:rFonts w:cs="Arial"/>
          <w:i/>
          <w:iCs/>
          <w:sz w:val="22"/>
          <w:lang w:eastAsia="en-GB"/>
        </w:rPr>
        <w:t xml:space="preserve">defence </w:t>
      </w:r>
      <w:r w:rsidR="00415BF4">
        <w:rPr>
          <w:rFonts w:cs="Arial"/>
          <w:i/>
          <w:iCs/>
          <w:sz w:val="22"/>
          <w:lang w:eastAsia="en-GB"/>
        </w:rPr>
        <w:t xml:space="preserve">should be </w:t>
      </w:r>
      <w:r w:rsidR="00513B64" w:rsidRPr="00DE2502">
        <w:rPr>
          <w:rFonts w:cs="Arial"/>
          <w:i/>
          <w:iCs/>
          <w:sz w:val="22"/>
          <w:lang w:eastAsia="en-GB"/>
        </w:rPr>
        <w:t xml:space="preserve">to limit access </w:t>
      </w:r>
      <w:r w:rsidR="0037146F">
        <w:rPr>
          <w:rFonts w:cs="Arial"/>
          <w:i/>
          <w:iCs/>
          <w:sz w:val="22"/>
          <w:lang w:eastAsia="en-GB"/>
        </w:rPr>
        <w:t>(</w:t>
      </w:r>
      <w:r w:rsidR="00145D29" w:rsidRPr="00DE2502">
        <w:rPr>
          <w:rFonts w:cs="Arial"/>
          <w:i/>
          <w:iCs/>
          <w:sz w:val="22"/>
          <w:lang w:eastAsia="en-GB"/>
        </w:rPr>
        <w:t xml:space="preserve">for example </w:t>
      </w:r>
      <w:r w:rsidR="0037146F">
        <w:rPr>
          <w:rFonts w:cs="Arial"/>
          <w:i/>
          <w:iCs/>
          <w:sz w:val="22"/>
          <w:lang w:eastAsia="en-GB"/>
        </w:rPr>
        <w:t xml:space="preserve">effective </w:t>
      </w:r>
      <w:r w:rsidR="00145D29" w:rsidRPr="00DE2502">
        <w:rPr>
          <w:rFonts w:cs="Arial"/>
          <w:i/>
          <w:iCs/>
          <w:sz w:val="22"/>
          <w:lang w:eastAsia="en-GB"/>
        </w:rPr>
        <w:t xml:space="preserve">age </w:t>
      </w:r>
      <w:r w:rsidR="0037146F">
        <w:rPr>
          <w:rFonts w:cs="Arial"/>
          <w:i/>
          <w:iCs/>
          <w:sz w:val="22"/>
          <w:lang w:eastAsia="en-GB"/>
        </w:rPr>
        <w:t>verification)</w:t>
      </w:r>
      <w:r w:rsidR="00145D29" w:rsidRPr="00DE2502">
        <w:rPr>
          <w:rFonts w:cs="Arial"/>
          <w:i/>
          <w:iCs/>
          <w:sz w:val="22"/>
          <w:lang w:eastAsia="en-GB"/>
        </w:rPr>
        <w:t xml:space="preserve">, </w:t>
      </w:r>
      <w:r w:rsidR="0037146F">
        <w:rPr>
          <w:rFonts w:cs="Arial"/>
          <w:i/>
          <w:iCs/>
          <w:sz w:val="22"/>
          <w:lang w:eastAsia="en-GB"/>
        </w:rPr>
        <w:t xml:space="preserve">and </w:t>
      </w:r>
      <w:r w:rsidR="00145D29" w:rsidRPr="00DE2502">
        <w:rPr>
          <w:rFonts w:cs="Arial"/>
          <w:i/>
          <w:iCs/>
          <w:sz w:val="22"/>
          <w:lang w:eastAsia="en-GB"/>
        </w:rPr>
        <w:t xml:space="preserve">not </w:t>
      </w:r>
      <w:r w:rsidR="00A26AA4">
        <w:rPr>
          <w:rFonts w:cs="Arial"/>
          <w:i/>
          <w:iCs/>
          <w:sz w:val="22"/>
          <w:lang w:eastAsia="en-GB"/>
        </w:rPr>
        <w:t xml:space="preserve">broad bans on </w:t>
      </w:r>
      <w:proofErr w:type="gramStart"/>
      <w:r w:rsidR="00D44382">
        <w:rPr>
          <w:rFonts w:cs="Arial"/>
          <w:i/>
          <w:iCs/>
          <w:sz w:val="22"/>
          <w:lang w:eastAsia="en-GB"/>
        </w:rPr>
        <w:t xml:space="preserve">the </w:t>
      </w:r>
      <w:r w:rsidR="00A26AA4">
        <w:rPr>
          <w:rFonts w:cs="Arial"/>
          <w:i/>
          <w:iCs/>
          <w:sz w:val="22"/>
          <w:lang w:eastAsia="en-GB"/>
        </w:rPr>
        <w:t>vast majority of</w:t>
      </w:r>
      <w:proofErr w:type="gramEnd"/>
      <w:r w:rsidR="00A26AA4">
        <w:rPr>
          <w:rFonts w:cs="Arial"/>
          <w:i/>
          <w:iCs/>
          <w:sz w:val="22"/>
          <w:lang w:eastAsia="en-GB"/>
        </w:rPr>
        <w:t xml:space="preserve"> flavours</w:t>
      </w:r>
      <w:r w:rsidR="00A26AA4" w:rsidRPr="00DE2502">
        <w:rPr>
          <w:rFonts w:cs="Arial"/>
          <w:i/>
          <w:iCs/>
          <w:sz w:val="22"/>
          <w:lang w:eastAsia="en-GB"/>
        </w:rPr>
        <w:t xml:space="preserve">. </w:t>
      </w:r>
      <w:r w:rsidR="00145D29" w:rsidRPr="00DE2502">
        <w:rPr>
          <w:rFonts w:cs="Arial"/>
          <w:i/>
          <w:iCs/>
          <w:sz w:val="22"/>
          <w:lang w:eastAsia="en-GB"/>
        </w:rPr>
        <w:t xml:space="preserve">to </w:t>
      </w:r>
      <w:r w:rsidR="00DE2502" w:rsidRPr="00DE2502">
        <w:rPr>
          <w:rFonts w:cs="Arial"/>
          <w:i/>
          <w:iCs/>
          <w:sz w:val="22"/>
          <w:lang w:eastAsia="en-GB"/>
        </w:rPr>
        <w:t>make the product</w:t>
      </w:r>
      <w:r w:rsidR="00A26AA4">
        <w:rPr>
          <w:rFonts w:cs="Arial"/>
          <w:i/>
          <w:iCs/>
          <w:sz w:val="22"/>
          <w:lang w:eastAsia="en-GB"/>
        </w:rPr>
        <w:t xml:space="preserve"> category</w:t>
      </w:r>
      <w:r w:rsidR="00803D16">
        <w:rPr>
          <w:rFonts w:cs="Arial"/>
          <w:i/>
          <w:iCs/>
          <w:sz w:val="22"/>
          <w:lang w:eastAsia="en-GB"/>
        </w:rPr>
        <w:t xml:space="preserve"> less attractive o</w:t>
      </w:r>
      <w:r w:rsidR="002C5361">
        <w:rPr>
          <w:rFonts w:cs="Arial"/>
          <w:i/>
          <w:iCs/>
          <w:sz w:val="22"/>
          <w:lang w:eastAsia="en-GB"/>
        </w:rPr>
        <w:t>r</w:t>
      </w:r>
      <w:r w:rsidR="00DE2502" w:rsidRPr="00DE2502">
        <w:rPr>
          <w:rFonts w:cs="Arial"/>
          <w:i/>
          <w:iCs/>
          <w:sz w:val="22"/>
          <w:lang w:eastAsia="en-GB"/>
        </w:rPr>
        <w:t xml:space="preserve"> less competitive </w:t>
      </w:r>
      <w:r w:rsidR="001139D0">
        <w:rPr>
          <w:rFonts w:cs="Arial"/>
          <w:i/>
          <w:iCs/>
          <w:sz w:val="22"/>
          <w:lang w:eastAsia="en-GB"/>
        </w:rPr>
        <w:t xml:space="preserve">than </w:t>
      </w:r>
      <w:r w:rsidR="00DE2502" w:rsidRPr="00DE2502">
        <w:rPr>
          <w:rFonts w:cs="Arial"/>
          <w:i/>
          <w:iCs/>
          <w:sz w:val="22"/>
          <w:lang w:eastAsia="en-GB"/>
        </w:rPr>
        <w:t>cigarettes</w:t>
      </w:r>
      <w:r w:rsidR="00F4424F">
        <w:rPr>
          <w:rFonts w:cs="Arial"/>
          <w:i/>
          <w:iCs/>
          <w:sz w:val="22"/>
          <w:lang w:eastAsia="en-GB"/>
        </w:rPr>
        <w:t xml:space="preserve"> </w:t>
      </w:r>
      <w:r w:rsidR="00A26AA4">
        <w:rPr>
          <w:rFonts w:cs="Arial"/>
          <w:i/>
          <w:iCs/>
          <w:sz w:val="22"/>
          <w:lang w:eastAsia="en-GB"/>
        </w:rPr>
        <w:t xml:space="preserve">to any </w:t>
      </w:r>
      <w:r w:rsidR="000364FE">
        <w:rPr>
          <w:rFonts w:cs="Arial"/>
          <w:i/>
          <w:iCs/>
          <w:sz w:val="22"/>
          <w:lang w:eastAsia="en-GB"/>
        </w:rPr>
        <w:t xml:space="preserve">nicotine </w:t>
      </w:r>
      <w:r w:rsidR="00A26AA4">
        <w:rPr>
          <w:rFonts w:cs="Arial"/>
          <w:i/>
          <w:iCs/>
          <w:sz w:val="22"/>
          <w:lang w:eastAsia="en-GB"/>
        </w:rPr>
        <w:t>consumer</w:t>
      </w:r>
      <w:r w:rsidR="000364FE">
        <w:rPr>
          <w:rFonts w:cs="Arial"/>
          <w:i/>
          <w:iCs/>
          <w:sz w:val="22"/>
          <w:lang w:eastAsia="en-GB"/>
        </w:rPr>
        <w:t>.</w:t>
      </w:r>
    </w:p>
    <w:p w14:paraId="20E0798C" w14:textId="78F97272" w:rsidR="00E41D07" w:rsidRPr="006D65F5" w:rsidRDefault="003B136C" w:rsidP="006D65F5">
      <w:pPr>
        <w:rPr>
          <w:rFonts w:cs="Arial"/>
          <w:sz w:val="22"/>
          <w:lang w:eastAsia="en-GB"/>
        </w:rPr>
      </w:pPr>
      <w:bookmarkStart w:id="9" w:name="_Hlk183785082"/>
      <w:r w:rsidRPr="006D65F5">
        <w:rPr>
          <w:rFonts w:cs="Arial"/>
          <w:sz w:val="22"/>
          <w:lang w:eastAsia="en-GB"/>
        </w:rPr>
        <w:t>We</w:t>
      </w:r>
      <w:r w:rsidR="00F6116C" w:rsidRPr="006D65F5">
        <w:rPr>
          <w:rFonts w:cs="Arial"/>
          <w:sz w:val="22"/>
          <w:lang w:eastAsia="en-GB"/>
        </w:rPr>
        <w:t xml:space="preserve"> </w:t>
      </w:r>
      <w:r w:rsidRPr="006D65F5">
        <w:rPr>
          <w:rFonts w:cs="Arial"/>
          <w:sz w:val="22"/>
          <w:lang w:eastAsia="en-GB"/>
        </w:rPr>
        <w:t>consider th</w:t>
      </w:r>
      <w:r w:rsidR="00F6116C" w:rsidRPr="006D65F5">
        <w:rPr>
          <w:rFonts w:cs="Arial"/>
          <w:sz w:val="22"/>
          <w:lang w:eastAsia="en-GB"/>
        </w:rPr>
        <w:t xml:space="preserve">at the proposed restrictions </w:t>
      </w:r>
      <w:r w:rsidR="008D3D6D" w:rsidRPr="006D65F5">
        <w:rPr>
          <w:rFonts w:cs="Arial"/>
          <w:sz w:val="22"/>
          <w:lang w:eastAsia="en-GB"/>
        </w:rPr>
        <w:t>pre-empt</w:t>
      </w:r>
      <w:r w:rsidR="00E06773" w:rsidRPr="006D65F5">
        <w:rPr>
          <w:rFonts w:cs="Arial"/>
          <w:sz w:val="22"/>
          <w:lang w:eastAsia="en-GB"/>
        </w:rPr>
        <w:t xml:space="preserve"> the revision of the </w:t>
      </w:r>
      <w:r w:rsidR="00FA77E2" w:rsidRPr="006D65F5">
        <w:rPr>
          <w:rFonts w:cs="Arial"/>
          <w:sz w:val="22"/>
          <w:lang w:eastAsia="en-GB"/>
        </w:rPr>
        <w:t xml:space="preserve">Tobacco Products Directive, </w:t>
      </w:r>
      <w:r w:rsidR="00F6116C" w:rsidRPr="006D65F5">
        <w:rPr>
          <w:rFonts w:cs="Arial"/>
          <w:sz w:val="22"/>
          <w:lang w:eastAsia="en-GB"/>
        </w:rPr>
        <w:t>violate the principle of non-discrimination and the freedom of trade and industry (Article 36 TFEU)</w:t>
      </w:r>
      <w:r w:rsidR="006350BA" w:rsidRPr="006D65F5">
        <w:rPr>
          <w:rFonts w:cs="Arial"/>
          <w:sz w:val="22"/>
          <w:lang w:eastAsia="en-GB"/>
        </w:rPr>
        <w:t xml:space="preserve">, </w:t>
      </w:r>
      <w:r w:rsidR="00D23540" w:rsidRPr="006D65F5">
        <w:rPr>
          <w:rFonts w:cs="Arial"/>
          <w:sz w:val="22"/>
          <w:lang w:eastAsia="en-GB"/>
        </w:rPr>
        <w:t xml:space="preserve">and </w:t>
      </w:r>
      <w:r w:rsidR="006350BA" w:rsidRPr="006D65F5">
        <w:rPr>
          <w:rFonts w:cs="Arial"/>
          <w:sz w:val="22"/>
          <w:lang w:eastAsia="en-GB"/>
        </w:rPr>
        <w:t xml:space="preserve">that they without due justification contradict legislation recently introduced in other EU Member </w:t>
      </w:r>
      <w:r w:rsidR="00EC56F6" w:rsidRPr="006D65F5">
        <w:rPr>
          <w:rFonts w:cs="Arial"/>
          <w:sz w:val="22"/>
          <w:lang w:eastAsia="en-GB"/>
        </w:rPr>
        <w:t>States.</w:t>
      </w:r>
      <w:bookmarkEnd w:id="8"/>
      <w:bookmarkEnd w:id="9"/>
    </w:p>
    <w:p w14:paraId="79E35DD4" w14:textId="6549111B" w:rsidR="006D12FB" w:rsidRPr="004B7A01" w:rsidRDefault="006D12FB" w:rsidP="00737337">
      <w:pPr>
        <w:rPr>
          <w:rFonts w:cs="Arial"/>
          <w:b/>
          <w:bCs/>
          <w:sz w:val="22"/>
          <w:lang w:eastAsia="en-GB"/>
        </w:rPr>
      </w:pPr>
      <w:r w:rsidRPr="004B7A01">
        <w:rPr>
          <w:rFonts w:cs="Arial"/>
          <w:b/>
          <w:bCs/>
          <w:sz w:val="22"/>
          <w:lang w:eastAsia="en-GB"/>
        </w:rPr>
        <w:t>In conclusion, we strongly oppose the proposed restrictions and urge the Spanish government to base its policies on robust evidence,</w:t>
      </w:r>
      <w:r w:rsidR="00AF51D6">
        <w:rPr>
          <w:rFonts w:cs="Arial"/>
          <w:b/>
          <w:bCs/>
          <w:sz w:val="22"/>
          <w:lang w:eastAsia="en-GB"/>
        </w:rPr>
        <w:t xml:space="preserve"> to</w:t>
      </w:r>
      <w:r w:rsidRPr="004B7A01">
        <w:rPr>
          <w:rFonts w:cs="Arial"/>
          <w:b/>
          <w:bCs/>
          <w:sz w:val="22"/>
          <w:lang w:eastAsia="en-GB"/>
        </w:rPr>
        <w:t xml:space="preserve"> conduct a thorough and objective impact assessment, and </w:t>
      </w:r>
      <w:r w:rsidR="00AF51D6">
        <w:rPr>
          <w:rFonts w:cs="Arial"/>
          <w:b/>
          <w:bCs/>
          <w:sz w:val="22"/>
          <w:lang w:eastAsia="en-GB"/>
        </w:rPr>
        <w:t xml:space="preserve">to </w:t>
      </w:r>
      <w:r w:rsidRPr="004B7A01">
        <w:rPr>
          <w:rFonts w:cs="Arial"/>
          <w:b/>
          <w:bCs/>
          <w:sz w:val="22"/>
          <w:lang w:eastAsia="en-GB"/>
        </w:rPr>
        <w:t>take into consideration the latest research demonstrating the significant public health benefits of harm reduction strategies, including the use of nicotine pouches as a safer alternative for smokers</w:t>
      </w:r>
      <w:r w:rsidR="00F51DCB">
        <w:rPr>
          <w:rFonts w:cs="Arial"/>
          <w:b/>
          <w:bCs/>
          <w:sz w:val="22"/>
          <w:lang w:eastAsia="en-GB"/>
        </w:rPr>
        <w:t>.</w:t>
      </w:r>
    </w:p>
    <w:p w14:paraId="6FF866C7" w14:textId="0A234D5E" w:rsidR="00737337" w:rsidRPr="004B7A01" w:rsidRDefault="00737337" w:rsidP="00737337">
      <w:pPr>
        <w:rPr>
          <w:rFonts w:cs="Arial"/>
          <w:sz w:val="22"/>
          <w:lang w:eastAsia="en-GB"/>
        </w:rPr>
      </w:pPr>
      <w:r w:rsidRPr="004B7A01">
        <w:rPr>
          <w:rFonts w:cs="Arial"/>
          <w:sz w:val="22"/>
          <w:lang w:eastAsia="en-GB"/>
        </w:rPr>
        <w:t>F</w:t>
      </w:r>
      <w:r w:rsidR="005D024F">
        <w:rPr>
          <w:rFonts w:cs="Arial"/>
          <w:sz w:val="22"/>
          <w:lang w:eastAsia="en-GB"/>
        </w:rPr>
        <w:t>o</w:t>
      </w:r>
      <w:r w:rsidRPr="004B7A01">
        <w:rPr>
          <w:rFonts w:cs="Arial"/>
          <w:sz w:val="22"/>
          <w:lang w:eastAsia="en-GB"/>
        </w:rPr>
        <w:t>r NNPA, Robert Casinge</w:t>
      </w:r>
    </w:p>
    <w:p w14:paraId="26889BF9" w14:textId="3A21D920" w:rsidR="005001C5" w:rsidRPr="004B7A01" w:rsidRDefault="00737337" w:rsidP="00737337">
      <w:pPr>
        <w:rPr>
          <w:rFonts w:cs="Arial"/>
          <w:sz w:val="22"/>
        </w:rPr>
      </w:pPr>
      <w:r w:rsidRPr="004B7A01">
        <w:rPr>
          <w:rFonts w:cs="Arial"/>
          <w:sz w:val="22"/>
          <w:lang w:eastAsia="en-GB"/>
        </w:rPr>
        <w:t>Senior partner, regulatory affairs</w:t>
      </w:r>
      <w:r w:rsidR="00220949" w:rsidRPr="004B7A01">
        <w:rPr>
          <w:rFonts w:cs="Arial"/>
          <w:sz w:val="22"/>
        </w:rPr>
        <w:t xml:space="preserve"> </w:t>
      </w:r>
      <w:r w:rsidR="0055425C" w:rsidRPr="004B7A01">
        <w:rPr>
          <w:rFonts w:cs="Arial"/>
          <w:sz w:val="22"/>
        </w:rPr>
        <w:tab/>
      </w:r>
      <w:r w:rsidR="00220949" w:rsidRPr="004B7A01">
        <w:rPr>
          <w:rFonts w:cs="Arial"/>
          <w:sz w:val="22"/>
        </w:rPr>
        <w:t>Brussels 202</w:t>
      </w:r>
      <w:r w:rsidR="00A1403E">
        <w:rPr>
          <w:rFonts w:cs="Arial"/>
          <w:sz w:val="22"/>
        </w:rPr>
        <w:t>5-03-20</w:t>
      </w:r>
    </w:p>
    <w:sectPr w:rsidR="005001C5" w:rsidRPr="004B7A0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1B38" w14:textId="77777777" w:rsidR="00016C89" w:rsidRDefault="00016C89" w:rsidP="008E4FDB">
      <w:pPr>
        <w:spacing w:before="0" w:after="0"/>
      </w:pPr>
      <w:r>
        <w:separator/>
      </w:r>
    </w:p>
  </w:endnote>
  <w:endnote w:type="continuationSeparator" w:id="0">
    <w:p w14:paraId="08297BB8" w14:textId="77777777" w:rsidR="00016C89" w:rsidRDefault="00016C89" w:rsidP="008E4FDB">
      <w:pPr>
        <w:spacing w:before="0" w:after="0"/>
      </w:pPr>
      <w:r>
        <w:continuationSeparator/>
      </w:r>
    </w:p>
  </w:endnote>
  <w:endnote w:type="continuationNotice" w:id="1">
    <w:p w14:paraId="3ECA301E" w14:textId="77777777" w:rsidR="00016C89" w:rsidRDefault="00016C8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B952" w14:textId="77777777" w:rsidR="006C6791" w:rsidRDefault="006C6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F9437" w14:textId="77777777" w:rsidR="00016C89" w:rsidRDefault="00016C89" w:rsidP="008E4FDB">
      <w:pPr>
        <w:spacing w:before="0" w:after="0"/>
      </w:pPr>
      <w:r>
        <w:separator/>
      </w:r>
    </w:p>
  </w:footnote>
  <w:footnote w:type="continuationSeparator" w:id="0">
    <w:p w14:paraId="08B7AA3D" w14:textId="77777777" w:rsidR="00016C89" w:rsidRDefault="00016C89" w:rsidP="008E4FDB">
      <w:pPr>
        <w:spacing w:before="0" w:after="0"/>
      </w:pPr>
      <w:r>
        <w:continuationSeparator/>
      </w:r>
    </w:p>
  </w:footnote>
  <w:footnote w:type="continuationNotice" w:id="1">
    <w:p w14:paraId="76393972" w14:textId="77777777" w:rsidR="00016C89" w:rsidRDefault="00016C89">
      <w:pPr>
        <w:spacing w:before="0" w:after="0"/>
      </w:pPr>
    </w:p>
  </w:footnote>
  <w:footnote w:id="2">
    <w:p w14:paraId="188B4954" w14:textId="77777777" w:rsidR="00A00560" w:rsidRPr="008E54F0" w:rsidRDefault="00A00560" w:rsidP="00A00560">
      <w:pPr>
        <w:pStyle w:val="FootnoteText"/>
        <w:rPr>
          <w:lang w:val="en-US"/>
        </w:rPr>
      </w:pPr>
      <w:r w:rsidRPr="008E54F0">
        <w:rPr>
          <w:rStyle w:val="FootnoteReference"/>
        </w:rPr>
        <w:footnoteRef/>
      </w:r>
      <w:r w:rsidRPr="008E54F0">
        <w:t xml:space="preserve"> </w:t>
      </w:r>
      <w:hyperlink r:id="rId1" w:history="1">
        <w:r w:rsidRPr="008E54F0">
          <w:rPr>
            <w:rStyle w:val="Hyperlink"/>
            <w:rFonts w:cs="Arial"/>
          </w:rPr>
          <w:t>https://www.bfr.bund.de/cm/349/health-risk-assessment-of-nicotine-pouches.pdf</w:t>
        </w:r>
      </w:hyperlink>
    </w:p>
  </w:footnote>
  <w:footnote w:id="3">
    <w:p w14:paraId="3288DA9B" w14:textId="77777777" w:rsidR="00A00560" w:rsidRPr="008E54F0" w:rsidRDefault="00A00560" w:rsidP="00A00560">
      <w:pPr>
        <w:pStyle w:val="FootnoteText"/>
        <w:rPr>
          <w:rFonts w:ascii="Montserrat" w:hAnsi="Montserrat"/>
          <w:lang w:val="en-US"/>
        </w:rPr>
      </w:pPr>
      <w:r w:rsidRPr="008E54F0">
        <w:rPr>
          <w:rStyle w:val="FootnoteReference"/>
        </w:rPr>
        <w:footnoteRef/>
      </w:r>
      <w:r w:rsidRPr="008E54F0">
        <w:t xml:space="preserve"> </w:t>
      </w:r>
      <w:hyperlink r:id="rId2" w:history="1">
        <w:r w:rsidRPr="008E54F0">
          <w:rPr>
            <w:rStyle w:val="Hyperlink"/>
            <w:rFonts w:cs="Arial"/>
            <w:lang w:val="en-US"/>
          </w:rPr>
          <w:t>https://cot.food.gov.uk/sites/default/files/2023-04/Publishable%20%20COT%20Oral%20nicotine%20pouches%20-%20final%20v1-0%20Acc%20V.pdf</w:t>
        </w:r>
      </w:hyperlink>
      <w:r w:rsidRPr="008E54F0">
        <w:rPr>
          <w:lang w:val="en-US"/>
        </w:rPr>
        <w:t xml:space="preserve"> </w:t>
      </w:r>
    </w:p>
  </w:footnote>
  <w:footnote w:id="4">
    <w:p w14:paraId="473743E6" w14:textId="77777777" w:rsidR="00A00560" w:rsidRPr="001772B8" w:rsidRDefault="00A00560" w:rsidP="00A00560">
      <w:pPr>
        <w:pStyle w:val="FootnoteText"/>
        <w:rPr>
          <w:lang w:val="en-US"/>
        </w:rPr>
      </w:pPr>
      <w:r w:rsidRPr="008E54F0">
        <w:rPr>
          <w:rStyle w:val="FootnoteReference"/>
        </w:rPr>
        <w:footnoteRef/>
      </w:r>
      <w:r w:rsidRPr="008E54F0">
        <w:rPr>
          <w:lang w:val="en-US"/>
        </w:rPr>
        <w:t xml:space="preserve"> </w:t>
      </w:r>
      <w:hyperlink r:id="rId3" w:history="1">
        <w:r w:rsidRPr="008E54F0">
          <w:rPr>
            <w:rStyle w:val="Hyperlink"/>
            <w:rFonts w:cs="Arial"/>
            <w:lang w:val="en-US"/>
          </w:rPr>
          <w:t>https://www.rivm.nl/publicaties/nicotineproducten-zonder-tabak-voor-recreatief-gebruik</w:t>
        </w:r>
      </w:hyperlink>
    </w:p>
  </w:footnote>
  <w:footnote w:id="5">
    <w:p w14:paraId="11A9FF4C" w14:textId="51A96DC5" w:rsidR="00F54FF1" w:rsidRPr="005028CD" w:rsidRDefault="001878B5" w:rsidP="00AF59F2">
      <w:pPr>
        <w:pStyle w:val="FootnoteText"/>
        <w:spacing w:beforeAutospacing="0" w:afterAutospacing="0"/>
        <w:rPr>
          <w:sz w:val="12"/>
          <w:szCs w:val="12"/>
        </w:rPr>
      </w:pPr>
      <w:r w:rsidRPr="005028CD">
        <w:rPr>
          <w:rStyle w:val="FootnoteReference"/>
        </w:rPr>
        <w:footnoteRef/>
      </w:r>
      <w:r w:rsidRPr="00F54FF1">
        <w:rPr>
          <w:sz w:val="12"/>
          <w:szCs w:val="12"/>
        </w:rPr>
        <w:t xml:space="preserve"> </w:t>
      </w:r>
      <w:hyperlink r:id="rId4" w:history="1">
        <w:r w:rsidR="008E54F0" w:rsidRPr="00A06AE4">
          <w:rPr>
            <w:rStyle w:val="Hyperlink"/>
          </w:rPr>
          <w:t>https://www.sis.se/en/produkter/agriculture/tobacco-tobacco-products-and-related-equipment/sists-722020/</w:t>
        </w:r>
      </w:hyperlink>
    </w:p>
  </w:footnote>
  <w:footnote w:id="6">
    <w:p w14:paraId="2B534F1B" w14:textId="50E5C810" w:rsidR="003D0285" w:rsidRPr="004E5D0B" w:rsidRDefault="003D0285" w:rsidP="004E5D0B">
      <w:pPr>
        <w:pStyle w:val="FootnoteText"/>
        <w:rPr>
          <w:lang w:val="sv-SE"/>
        </w:rPr>
      </w:pPr>
      <w:r>
        <w:rPr>
          <w:rStyle w:val="FootnoteReference"/>
        </w:rPr>
        <w:footnoteRef/>
      </w:r>
      <w:r w:rsidRPr="004E5D0B">
        <w:rPr>
          <w:lang w:val="sv-SE"/>
        </w:rPr>
        <w:t xml:space="preserve"> </w:t>
      </w:r>
      <w:r w:rsidRPr="004E5D0B">
        <w:rPr>
          <w:lang w:val="sv-SE"/>
        </w:rPr>
        <w:t>Iceland (20mg/gram)</w:t>
      </w:r>
      <w:r w:rsidR="005B2AD4">
        <w:rPr>
          <w:lang w:val="sv-SE"/>
        </w:rPr>
        <w:t>,</w:t>
      </w:r>
      <w:r w:rsidR="004E5D0B" w:rsidRPr="004E5D0B">
        <w:rPr>
          <w:lang w:val="sv-SE"/>
        </w:rPr>
        <w:t xml:space="preserve"> </w:t>
      </w:r>
      <w:r w:rsidR="005B2AD4">
        <w:rPr>
          <w:lang w:val="sv-SE"/>
        </w:rPr>
        <w:t xml:space="preserve">Latvia </w:t>
      </w:r>
      <w:r w:rsidR="004E5D0B" w:rsidRPr="004E5D0B">
        <w:rPr>
          <w:lang w:val="sv-SE"/>
        </w:rPr>
        <w:t>(20 mg/gram), Slovakia (20 mg/</w:t>
      </w:r>
      <w:r w:rsidR="004E5D0B" w:rsidRPr="005B2AD4">
        <w:rPr>
          <w:lang w:val="sv-SE"/>
        </w:rPr>
        <w:t>pouch)</w:t>
      </w:r>
      <w:r w:rsidR="00483426">
        <w:rPr>
          <w:lang w:val="sv-SE"/>
        </w:rPr>
        <w:t>Finland (16,6 mg/gram)</w:t>
      </w:r>
    </w:p>
  </w:footnote>
  <w:footnote w:id="7">
    <w:p w14:paraId="6E038E80" w14:textId="77777777" w:rsidR="000745AE" w:rsidRPr="001772B8" w:rsidRDefault="000745AE" w:rsidP="000745AE">
      <w:pPr>
        <w:pStyle w:val="FootnoteText"/>
        <w:rPr>
          <w:lang w:val="en-US"/>
        </w:rPr>
      </w:pPr>
      <w:r>
        <w:rPr>
          <w:rStyle w:val="FootnoteReference"/>
        </w:rPr>
        <w:footnoteRef/>
      </w:r>
      <w:r>
        <w:t xml:space="preserve"> </w:t>
      </w:r>
      <w:r w:rsidRPr="00E85858">
        <w:t>Global Burden o</w:t>
      </w:r>
      <w:r>
        <w:t>f</w:t>
      </w:r>
      <w:r w:rsidRPr="00E85858">
        <w:t xml:space="preserve"> Disease, survey:</w:t>
      </w:r>
      <w:r>
        <w:t xml:space="preserve"> </w:t>
      </w:r>
      <w:hyperlink r:id="rId5" w:history="1">
        <w:r w:rsidRPr="00E85858">
          <w:rPr>
            <w:rStyle w:val="Hyperlink"/>
          </w:rPr>
          <w:t>VizHub - GBD Compare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A48C" w14:textId="77777777" w:rsidR="006C6791" w:rsidRDefault="006C6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69AC"/>
    <w:multiLevelType w:val="hybridMultilevel"/>
    <w:tmpl w:val="B492C4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15222B"/>
    <w:multiLevelType w:val="hybridMultilevel"/>
    <w:tmpl w:val="1988F9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D0E4C3E"/>
    <w:multiLevelType w:val="hybridMultilevel"/>
    <w:tmpl w:val="5B52C1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734038"/>
    <w:multiLevelType w:val="hybridMultilevel"/>
    <w:tmpl w:val="67CC5C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5757D05"/>
    <w:multiLevelType w:val="hybridMultilevel"/>
    <w:tmpl w:val="FC3E9548"/>
    <w:lvl w:ilvl="0" w:tplc="82BE4DA0">
      <w:start w:val="1"/>
      <w:numFmt w:val="bullet"/>
      <w:lvlText w:val=""/>
      <w:lvlJc w:val="left"/>
      <w:pPr>
        <w:ind w:left="720" w:hanging="360"/>
      </w:pPr>
      <w:rPr>
        <w:rFonts w:ascii="Symbol" w:hAnsi="Symbol"/>
      </w:rPr>
    </w:lvl>
    <w:lvl w:ilvl="1" w:tplc="6CEC1D6A">
      <w:start w:val="1"/>
      <w:numFmt w:val="bullet"/>
      <w:lvlText w:val=""/>
      <w:lvlJc w:val="left"/>
      <w:pPr>
        <w:ind w:left="720" w:hanging="360"/>
      </w:pPr>
      <w:rPr>
        <w:rFonts w:ascii="Symbol" w:hAnsi="Symbol"/>
      </w:rPr>
    </w:lvl>
    <w:lvl w:ilvl="2" w:tplc="BDDA0E2C">
      <w:start w:val="1"/>
      <w:numFmt w:val="bullet"/>
      <w:lvlText w:val=""/>
      <w:lvlJc w:val="left"/>
      <w:pPr>
        <w:ind w:left="720" w:hanging="360"/>
      </w:pPr>
      <w:rPr>
        <w:rFonts w:ascii="Symbol" w:hAnsi="Symbol"/>
      </w:rPr>
    </w:lvl>
    <w:lvl w:ilvl="3" w:tplc="F15E3090">
      <w:start w:val="1"/>
      <w:numFmt w:val="bullet"/>
      <w:lvlText w:val=""/>
      <w:lvlJc w:val="left"/>
      <w:pPr>
        <w:ind w:left="720" w:hanging="360"/>
      </w:pPr>
      <w:rPr>
        <w:rFonts w:ascii="Symbol" w:hAnsi="Symbol"/>
      </w:rPr>
    </w:lvl>
    <w:lvl w:ilvl="4" w:tplc="4A448E6C">
      <w:start w:val="1"/>
      <w:numFmt w:val="bullet"/>
      <w:lvlText w:val=""/>
      <w:lvlJc w:val="left"/>
      <w:pPr>
        <w:ind w:left="720" w:hanging="360"/>
      </w:pPr>
      <w:rPr>
        <w:rFonts w:ascii="Symbol" w:hAnsi="Symbol"/>
      </w:rPr>
    </w:lvl>
    <w:lvl w:ilvl="5" w:tplc="6E949752">
      <w:start w:val="1"/>
      <w:numFmt w:val="bullet"/>
      <w:lvlText w:val=""/>
      <w:lvlJc w:val="left"/>
      <w:pPr>
        <w:ind w:left="720" w:hanging="360"/>
      </w:pPr>
      <w:rPr>
        <w:rFonts w:ascii="Symbol" w:hAnsi="Symbol"/>
      </w:rPr>
    </w:lvl>
    <w:lvl w:ilvl="6" w:tplc="C06A4D96">
      <w:start w:val="1"/>
      <w:numFmt w:val="bullet"/>
      <w:lvlText w:val=""/>
      <w:lvlJc w:val="left"/>
      <w:pPr>
        <w:ind w:left="720" w:hanging="360"/>
      </w:pPr>
      <w:rPr>
        <w:rFonts w:ascii="Symbol" w:hAnsi="Symbol"/>
      </w:rPr>
    </w:lvl>
    <w:lvl w:ilvl="7" w:tplc="DD2803E2">
      <w:start w:val="1"/>
      <w:numFmt w:val="bullet"/>
      <w:lvlText w:val=""/>
      <w:lvlJc w:val="left"/>
      <w:pPr>
        <w:ind w:left="720" w:hanging="360"/>
      </w:pPr>
      <w:rPr>
        <w:rFonts w:ascii="Symbol" w:hAnsi="Symbol"/>
      </w:rPr>
    </w:lvl>
    <w:lvl w:ilvl="8" w:tplc="668EE3D6">
      <w:start w:val="1"/>
      <w:numFmt w:val="bullet"/>
      <w:lvlText w:val=""/>
      <w:lvlJc w:val="left"/>
      <w:pPr>
        <w:ind w:left="720" w:hanging="360"/>
      </w:pPr>
      <w:rPr>
        <w:rFonts w:ascii="Symbol" w:hAnsi="Symbol"/>
      </w:rPr>
    </w:lvl>
  </w:abstractNum>
  <w:abstractNum w:abstractNumId="5" w15:restartNumberingAfterBreak="0">
    <w:nsid w:val="661803A2"/>
    <w:multiLevelType w:val="multilevel"/>
    <w:tmpl w:val="C678615C"/>
    <w:lvl w:ilvl="0">
      <w:start w:val="1"/>
      <w:numFmt w:val="decimal"/>
      <w:pStyle w:val="FWBL1"/>
      <w:lvlText w:val="%1."/>
      <w:lvlJc w:val="left"/>
      <w:pPr>
        <w:tabs>
          <w:tab w:val="num" w:pos="720"/>
        </w:tabs>
        <w:ind w:left="0" w:firstLine="0"/>
      </w:pPr>
      <w:rPr>
        <w:rFonts w:ascii="Arial" w:hAnsi="Arial" w:cs="Arial" w:hint="default"/>
        <w:b/>
        <w:i w:val="0"/>
        <w:caps w:val="0"/>
        <w:strike w:val="0"/>
        <w:dstrike w:val="0"/>
        <w:color w:val="auto"/>
        <w:u w:val="none"/>
        <w:effect w:val="none"/>
      </w:rPr>
    </w:lvl>
    <w:lvl w:ilvl="1">
      <w:start w:val="1"/>
      <w:numFmt w:val="decimal"/>
      <w:pStyle w:val="FWBL2"/>
      <w:lvlText w:val="%1.%2"/>
      <w:lvlJc w:val="left"/>
      <w:pPr>
        <w:tabs>
          <w:tab w:val="num" w:pos="1995"/>
        </w:tabs>
        <w:ind w:left="1275" w:firstLine="0"/>
      </w:pPr>
      <w:rPr>
        <w:rFonts w:ascii="Arial" w:hAnsi="Arial" w:cs="Arial" w:hint="default"/>
        <w:b/>
        <w:i w:val="0"/>
        <w:caps w:val="0"/>
        <w:strike w:val="0"/>
        <w:dstrike w:val="0"/>
        <w:color w:val="auto"/>
        <w:sz w:val="28"/>
        <w:szCs w:val="28"/>
        <w:u w:val="none"/>
        <w:effect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strike w:val="0"/>
        <w:dstrike w:val="0"/>
        <w:color w:val="auto"/>
        <w:u w:val="none"/>
        <w:effect w:val="none"/>
      </w:rPr>
    </w:lvl>
    <w:lvl w:ilvl="3">
      <w:start w:val="1"/>
      <w:numFmt w:val="lowerRoman"/>
      <w:pStyle w:val="FWBL4"/>
      <w:lvlText w:val="(%4)"/>
      <w:lvlJc w:val="right"/>
      <w:pPr>
        <w:tabs>
          <w:tab w:val="num" w:pos="216"/>
        </w:tabs>
        <w:ind w:left="216" w:hanging="216"/>
      </w:pPr>
      <w:rPr>
        <w:rFonts w:ascii="Times New Roman" w:hAnsi="Times New Roman" w:cs="Times New Roman"/>
        <w:b w:val="0"/>
        <w:i w:val="0"/>
        <w:caps w:val="0"/>
        <w:strike w:val="0"/>
        <w:dstrike w:val="0"/>
        <w:color w:val="auto"/>
        <w:u w:val="none"/>
        <w:effect w:val="none"/>
      </w:rPr>
    </w:lvl>
    <w:lvl w:ilvl="4">
      <w:start w:val="1"/>
      <w:numFmt w:val="lowerLetter"/>
      <w:pStyle w:val="FWBL5"/>
      <w:lvlText w:val="%5)"/>
      <w:lvlJc w:val="left"/>
      <w:pPr>
        <w:tabs>
          <w:tab w:val="num" w:pos="2160"/>
        </w:tabs>
        <w:ind w:left="2160" w:hanging="720"/>
      </w:pPr>
      <w:rPr>
        <w:b w:val="0"/>
        <w:i w:val="0"/>
        <w:caps w:val="0"/>
        <w:strike w:val="0"/>
        <w:dstrike w:val="0"/>
        <w:color w:val="auto"/>
        <w:u w:val="none"/>
        <w:effect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strike w:val="0"/>
        <w:dstrike w:val="0"/>
        <w:color w:val="auto"/>
        <w:u w:val="none"/>
        <w:effect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strike w:val="0"/>
        <w:dstrike w:val="0"/>
        <w:color w:val="auto"/>
        <w:u w:val="none"/>
        <w:effect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b w:val="0"/>
        <w:i w:val="0"/>
        <w:caps w:val="0"/>
        <w:strike w:val="0"/>
        <w:dstrike w:val="0"/>
        <w:color w:val="auto"/>
        <w:u w:val="none"/>
        <w:effect w:val="none"/>
      </w:rPr>
    </w:lvl>
  </w:abstractNum>
  <w:num w:numId="1" w16cid:durableId="15463316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 w16cid:durableId="529103164">
    <w:abstractNumId w:val="3"/>
  </w:num>
  <w:num w:numId="3" w16cid:durableId="575432839">
    <w:abstractNumId w:val="4"/>
  </w:num>
  <w:num w:numId="4" w16cid:durableId="5890475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3457417">
    <w:abstractNumId w:val="2"/>
  </w:num>
  <w:num w:numId="6" w16cid:durableId="50159060">
    <w:abstractNumId w:val="0"/>
  </w:num>
  <w:num w:numId="7" w16cid:durableId="307827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6B"/>
    <w:rsid w:val="00000E0F"/>
    <w:rsid w:val="00002113"/>
    <w:rsid w:val="0000645F"/>
    <w:rsid w:val="00010288"/>
    <w:rsid w:val="000112E1"/>
    <w:rsid w:val="00011E84"/>
    <w:rsid w:val="00013A5F"/>
    <w:rsid w:val="0001513D"/>
    <w:rsid w:val="00016C89"/>
    <w:rsid w:val="00017ED9"/>
    <w:rsid w:val="0002148A"/>
    <w:rsid w:val="00022182"/>
    <w:rsid w:val="00023BA2"/>
    <w:rsid w:val="000249D5"/>
    <w:rsid w:val="00025F07"/>
    <w:rsid w:val="00030575"/>
    <w:rsid w:val="000319A9"/>
    <w:rsid w:val="000321AF"/>
    <w:rsid w:val="00033163"/>
    <w:rsid w:val="000364FE"/>
    <w:rsid w:val="00037FEE"/>
    <w:rsid w:val="00040A55"/>
    <w:rsid w:val="00041EA8"/>
    <w:rsid w:val="00043320"/>
    <w:rsid w:val="0004343A"/>
    <w:rsid w:val="00043852"/>
    <w:rsid w:val="00043EA5"/>
    <w:rsid w:val="000441EC"/>
    <w:rsid w:val="00044811"/>
    <w:rsid w:val="00045436"/>
    <w:rsid w:val="00045B7C"/>
    <w:rsid w:val="00045BA4"/>
    <w:rsid w:val="00046A6B"/>
    <w:rsid w:val="00046B9C"/>
    <w:rsid w:val="0005125A"/>
    <w:rsid w:val="0005238C"/>
    <w:rsid w:val="00055B57"/>
    <w:rsid w:val="00060C15"/>
    <w:rsid w:val="0006159C"/>
    <w:rsid w:val="0006311D"/>
    <w:rsid w:val="000642B9"/>
    <w:rsid w:val="0006432B"/>
    <w:rsid w:val="000645F2"/>
    <w:rsid w:val="000654FA"/>
    <w:rsid w:val="0006701D"/>
    <w:rsid w:val="00067882"/>
    <w:rsid w:val="00067ACC"/>
    <w:rsid w:val="00071493"/>
    <w:rsid w:val="00072157"/>
    <w:rsid w:val="000745AE"/>
    <w:rsid w:val="00076BA6"/>
    <w:rsid w:val="000779BE"/>
    <w:rsid w:val="00082657"/>
    <w:rsid w:val="00082D6E"/>
    <w:rsid w:val="00082E5F"/>
    <w:rsid w:val="00083F56"/>
    <w:rsid w:val="00086959"/>
    <w:rsid w:val="00086BB3"/>
    <w:rsid w:val="00093D72"/>
    <w:rsid w:val="000948CE"/>
    <w:rsid w:val="00094DF1"/>
    <w:rsid w:val="00095B5C"/>
    <w:rsid w:val="00095C0C"/>
    <w:rsid w:val="0009610B"/>
    <w:rsid w:val="00096830"/>
    <w:rsid w:val="000971AF"/>
    <w:rsid w:val="000A2E0B"/>
    <w:rsid w:val="000A41BE"/>
    <w:rsid w:val="000A6ED4"/>
    <w:rsid w:val="000A7927"/>
    <w:rsid w:val="000A7CE3"/>
    <w:rsid w:val="000B05C7"/>
    <w:rsid w:val="000B1632"/>
    <w:rsid w:val="000B2194"/>
    <w:rsid w:val="000B2D44"/>
    <w:rsid w:val="000B313B"/>
    <w:rsid w:val="000B52CC"/>
    <w:rsid w:val="000B72D3"/>
    <w:rsid w:val="000C24E0"/>
    <w:rsid w:val="000D2386"/>
    <w:rsid w:val="000D3868"/>
    <w:rsid w:val="000D67C1"/>
    <w:rsid w:val="000D6B05"/>
    <w:rsid w:val="000F4AC9"/>
    <w:rsid w:val="000F4ADF"/>
    <w:rsid w:val="000F5823"/>
    <w:rsid w:val="000F6220"/>
    <w:rsid w:val="000F6DD4"/>
    <w:rsid w:val="0010058C"/>
    <w:rsid w:val="00100835"/>
    <w:rsid w:val="0010176F"/>
    <w:rsid w:val="00101777"/>
    <w:rsid w:val="00101B32"/>
    <w:rsid w:val="00101CF8"/>
    <w:rsid w:val="0010452C"/>
    <w:rsid w:val="00105152"/>
    <w:rsid w:val="00105FC8"/>
    <w:rsid w:val="001078C5"/>
    <w:rsid w:val="001139D0"/>
    <w:rsid w:val="0011500C"/>
    <w:rsid w:val="001157A6"/>
    <w:rsid w:val="00115F23"/>
    <w:rsid w:val="0011748D"/>
    <w:rsid w:val="00117FC3"/>
    <w:rsid w:val="00120837"/>
    <w:rsid w:val="00120C7A"/>
    <w:rsid w:val="00120C9F"/>
    <w:rsid w:val="00121B12"/>
    <w:rsid w:val="00122663"/>
    <w:rsid w:val="001236A0"/>
    <w:rsid w:val="001246F4"/>
    <w:rsid w:val="00125263"/>
    <w:rsid w:val="001266A0"/>
    <w:rsid w:val="00132311"/>
    <w:rsid w:val="0013437E"/>
    <w:rsid w:val="00142C77"/>
    <w:rsid w:val="001454FD"/>
    <w:rsid w:val="00145CA7"/>
    <w:rsid w:val="00145D29"/>
    <w:rsid w:val="001501E9"/>
    <w:rsid w:val="00151F19"/>
    <w:rsid w:val="00152B70"/>
    <w:rsid w:val="001540AD"/>
    <w:rsid w:val="00155CD2"/>
    <w:rsid w:val="00156A4F"/>
    <w:rsid w:val="00156EFD"/>
    <w:rsid w:val="00157905"/>
    <w:rsid w:val="00162EF5"/>
    <w:rsid w:val="001630B3"/>
    <w:rsid w:val="00163895"/>
    <w:rsid w:val="00164A7C"/>
    <w:rsid w:val="00170FC7"/>
    <w:rsid w:val="00172A5F"/>
    <w:rsid w:val="00172E88"/>
    <w:rsid w:val="00174849"/>
    <w:rsid w:val="001752C4"/>
    <w:rsid w:val="001763B3"/>
    <w:rsid w:val="00176F6C"/>
    <w:rsid w:val="001772B8"/>
    <w:rsid w:val="00177EC8"/>
    <w:rsid w:val="001814A1"/>
    <w:rsid w:val="00184962"/>
    <w:rsid w:val="00186A19"/>
    <w:rsid w:val="001878B5"/>
    <w:rsid w:val="00191767"/>
    <w:rsid w:val="00191C7E"/>
    <w:rsid w:val="00192089"/>
    <w:rsid w:val="001968A0"/>
    <w:rsid w:val="001A1BCD"/>
    <w:rsid w:val="001A26BD"/>
    <w:rsid w:val="001A2770"/>
    <w:rsid w:val="001A3714"/>
    <w:rsid w:val="001A4247"/>
    <w:rsid w:val="001A4ABD"/>
    <w:rsid w:val="001A53D2"/>
    <w:rsid w:val="001A78DF"/>
    <w:rsid w:val="001B08C4"/>
    <w:rsid w:val="001B0DFC"/>
    <w:rsid w:val="001B1600"/>
    <w:rsid w:val="001B1DB2"/>
    <w:rsid w:val="001B4AD9"/>
    <w:rsid w:val="001B61D4"/>
    <w:rsid w:val="001B626F"/>
    <w:rsid w:val="001C06E8"/>
    <w:rsid w:val="001C1909"/>
    <w:rsid w:val="001C313D"/>
    <w:rsid w:val="001D36D9"/>
    <w:rsid w:val="001D5487"/>
    <w:rsid w:val="001E15C2"/>
    <w:rsid w:val="001E1BE0"/>
    <w:rsid w:val="001E2648"/>
    <w:rsid w:val="001E55D7"/>
    <w:rsid w:val="001E5B6B"/>
    <w:rsid w:val="001E74AF"/>
    <w:rsid w:val="001F2518"/>
    <w:rsid w:val="001F4665"/>
    <w:rsid w:val="001F5B45"/>
    <w:rsid w:val="001F7FD3"/>
    <w:rsid w:val="002001D6"/>
    <w:rsid w:val="00200D9A"/>
    <w:rsid w:val="00200EA7"/>
    <w:rsid w:val="0020343B"/>
    <w:rsid w:val="00204392"/>
    <w:rsid w:val="00206810"/>
    <w:rsid w:val="00207182"/>
    <w:rsid w:val="002074D2"/>
    <w:rsid w:val="002077FF"/>
    <w:rsid w:val="002136D0"/>
    <w:rsid w:val="00214868"/>
    <w:rsid w:val="002164A0"/>
    <w:rsid w:val="002200DF"/>
    <w:rsid w:val="002208D4"/>
    <w:rsid w:val="00220949"/>
    <w:rsid w:val="002215FC"/>
    <w:rsid w:val="00222741"/>
    <w:rsid w:val="00222839"/>
    <w:rsid w:val="00222B23"/>
    <w:rsid w:val="00224A1C"/>
    <w:rsid w:val="002263A7"/>
    <w:rsid w:val="002269C7"/>
    <w:rsid w:val="0022777F"/>
    <w:rsid w:val="002279E7"/>
    <w:rsid w:val="00227B28"/>
    <w:rsid w:val="00227F7E"/>
    <w:rsid w:val="00232725"/>
    <w:rsid w:val="00233E27"/>
    <w:rsid w:val="0023708E"/>
    <w:rsid w:val="00237C94"/>
    <w:rsid w:val="00237CAB"/>
    <w:rsid w:val="0024182F"/>
    <w:rsid w:val="00243DA2"/>
    <w:rsid w:val="00245767"/>
    <w:rsid w:val="00246575"/>
    <w:rsid w:val="00246579"/>
    <w:rsid w:val="00246630"/>
    <w:rsid w:val="002475D6"/>
    <w:rsid w:val="0025366D"/>
    <w:rsid w:val="00253B08"/>
    <w:rsid w:val="002545F3"/>
    <w:rsid w:val="00260A9B"/>
    <w:rsid w:val="00261ACA"/>
    <w:rsid w:val="00263BCC"/>
    <w:rsid w:val="00265092"/>
    <w:rsid w:val="00266968"/>
    <w:rsid w:val="00266F28"/>
    <w:rsid w:val="002762BE"/>
    <w:rsid w:val="002768DF"/>
    <w:rsid w:val="00276EE7"/>
    <w:rsid w:val="00277450"/>
    <w:rsid w:val="00277FE4"/>
    <w:rsid w:val="00281391"/>
    <w:rsid w:val="00285D49"/>
    <w:rsid w:val="00285D93"/>
    <w:rsid w:val="002865B9"/>
    <w:rsid w:val="00286B3E"/>
    <w:rsid w:val="00290485"/>
    <w:rsid w:val="002909F6"/>
    <w:rsid w:val="00292698"/>
    <w:rsid w:val="002963F2"/>
    <w:rsid w:val="00297E03"/>
    <w:rsid w:val="002A137A"/>
    <w:rsid w:val="002A5450"/>
    <w:rsid w:val="002B13D5"/>
    <w:rsid w:val="002B290C"/>
    <w:rsid w:val="002B50B5"/>
    <w:rsid w:val="002B6D67"/>
    <w:rsid w:val="002B73B5"/>
    <w:rsid w:val="002B7F84"/>
    <w:rsid w:val="002C263D"/>
    <w:rsid w:val="002C4AA9"/>
    <w:rsid w:val="002C5361"/>
    <w:rsid w:val="002C7CAD"/>
    <w:rsid w:val="002D37DA"/>
    <w:rsid w:val="002D3968"/>
    <w:rsid w:val="002D5784"/>
    <w:rsid w:val="002E1B40"/>
    <w:rsid w:val="002E3C76"/>
    <w:rsid w:val="002F0B72"/>
    <w:rsid w:val="002F3D1A"/>
    <w:rsid w:val="002F3E78"/>
    <w:rsid w:val="002F401D"/>
    <w:rsid w:val="002F5379"/>
    <w:rsid w:val="00301F58"/>
    <w:rsid w:val="00302A41"/>
    <w:rsid w:val="00303085"/>
    <w:rsid w:val="0030485C"/>
    <w:rsid w:val="00304A2D"/>
    <w:rsid w:val="00304C50"/>
    <w:rsid w:val="00304D97"/>
    <w:rsid w:val="00306A2C"/>
    <w:rsid w:val="00307C49"/>
    <w:rsid w:val="0031180F"/>
    <w:rsid w:val="00312CA0"/>
    <w:rsid w:val="003134DE"/>
    <w:rsid w:val="00316424"/>
    <w:rsid w:val="0031705C"/>
    <w:rsid w:val="00320102"/>
    <w:rsid w:val="0032058B"/>
    <w:rsid w:val="003218F2"/>
    <w:rsid w:val="0032264B"/>
    <w:rsid w:val="00324B1B"/>
    <w:rsid w:val="00325E25"/>
    <w:rsid w:val="0033379F"/>
    <w:rsid w:val="0033427B"/>
    <w:rsid w:val="003349EF"/>
    <w:rsid w:val="0034067A"/>
    <w:rsid w:val="00342538"/>
    <w:rsid w:val="003428E5"/>
    <w:rsid w:val="00342B41"/>
    <w:rsid w:val="00343786"/>
    <w:rsid w:val="00343E6E"/>
    <w:rsid w:val="00345566"/>
    <w:rsid w:val="00350848"/>
    <w:rsid w:val="00351D60"/>
    <w:rsid w:val="0035393D"/>
    <w:rsid w:val="003549E0"/>
    <w:rsid w:val="00354B4B"/>
    <w:rsid w:val="0035526B"/>
    <w:rsid w:val="00355BE6"/>
    <w:rsid w:val="003606B8"/>
    <w:rsid w:val="00360ABD"/>
    <w:rsid w:val="00361338"/>
    <w:rsid w:val="003615E0"/>
    <w:rsid w:val="00361C37"/>
    <w:rsid w:val="00367838"/>
    <w:rsid w:val="00370031"/>
    <w:rsid w:val="0037146F"/>
    <w:rsid w:val="00372698"/>
    <w:rsid w:val="00377F06"/>
    <w:rsid w:val="003807FA"/>
    <w:rsid w:val="0038380F"/>
    <w:rsid w:val="00383FA5"/>
    <w:rsid w:val="00384309"/>
    <w:rsid w:val="003869A7"/>
    <w:rsid w:val="00390935"/>
    <w:rsid w:val="003929EE"/>
    <w:rsid w:val="003935AD"/>
    <w:rsid w:val="00394243"/>
    <w:rsid w:val="003A063C"/>
    <w:rsid w:val="003A228A"/>
    <w:rsid w:val="003A2550"/>
    <w:rsid w:val="003A2778"/>
    <w:rsid w:val="003A2F7B"/>
    <w:rsid w:val="003A5BCE"/>
    <w:rsid w:val="003A6008"/>
    <w:rsid w:val="003A605A"/>
    <w:rsid w:val="003A7B9A"/>
    <w:rsid w:val="003B0CEA"/>
    <w:rsid w:val="003B136C"/>
    <w:rsid w:val="003B3D87"/>
    <w:rsid w:val="003B7595"/>
    <w:rsid w:val="003C035A"/>
    <w:rsid w:val="003C1426"/>
    <w:rsid w:val="003C166F"/>
    <w:rsid w:val="003C45A3"/>
    <w:rsid w:val="003C54FA"/>
    <w:rsid w:val="003C7333"/>
    <w:rsid w:val="003D0285"/>
    <w:rsid w:val="003D14DD"/>
    <w:rsid w:val="003D27D9"/>
    <w:rsid w:val="003D4495"/>
    <w:rsid w:val="003D4BD9"/>
    <w:rsid w:val="003D4F15"/>
    <w:rsid w:val="003D4F59"/>
    <w:rsid w:val="003D64AB"/>
    <w:rsid w:val="003D6987"/>
    <w:rsid w:val="003D6D90"/>
    <w:rsid w:val="003E0D63"/>
    <w:rsid w:val="003E225D"/>
    <w:rsid w:val="003E2EEB"/>
    <w:rsid w:val="003E3B79"/>
    <w:rsid w:val="003E43B8"/>
    <w:rsid w:val="003E465F"/>
    <w:rsid w:val="003F0E5E"/>
    <w:rsid w:val="003F1959"/>
    <w:rsid w:val="003F2793"/>
    <w:rsid w:val="003F70D6"/>
    <w:rsid w:val="003F7896"/>
    <w:rsid w:val="00404846"/>
    <w:rsid w:val="004060DE"/>
    <w:rsid w:val="00410190"/>
    <w:rsid w:val="00413A4D"/>
    <w:rsid w:val="00415BF4"/>
    <w:rsid w:val="004168F0"/>
    <w:rsid w:val="00416FAD"/>
    <w:rsid w:val="00427190"/>
    <w:rsid w:val="00427EF2"/>
    <w:rsid w:val="00430FD5"/>
    <w:rsid w:val="0043195E"/>
    <w:rsid w:val="00431B99"/>
    <w:rsid w:val="004332EA"/>
    <w:rsid w:val="0043438C"/>
    <w:rsid w:val="00435530"/>
    <w:rsid w:val="00436305"/>
    <w:rsid w:val="00441774"/>
    <w:rsid w:val="00442576"/>
    <w:rsid w:val="00445503"/>
    <w:rsid w:val="0044551D"/>
    <w:rsid w:val="00445555"/>
    <w:rsid w:val="0045241D"/>
    <w:rsid w:val="00452932"/>
    <w:rsid w:val="00455515"/>
    <w:rsid w:val="00456212"/>
    <w:rsid w:val="00456861"/>
    <w:rsid w:val="00456918"/>
    <w:rsid w:val="0045748D"/>
    <w:rsid w:val="00460B99"/>
    <w:rsid w:val="0046169C"/>
    <w:rsid w:val="004634A4"/>
    <w:rsid w:val="00463F3B"/>
    <w:rsid w:val="004731A3"/>
    <w:rsid w:val="00476FD1"/>
    <w:rsid w:val="00480409"/>
    <w:rsid w:val="00480AE7"/>
    <w:rsid w:val="00483426"/>
    <w:rsid w:val="0048384E"/>
    <w:rsid w:val="0048591C"/>
    <w:rsid w:val="0049093E"/>
    <w:rsid w:val="00493EBB"/>
    <w:rsid w:val="00495CF6"/>
    <w:rsid w:val="00496FFB"/>
    <w:rsid w:val="00497A61"/>
    <w:rsid w:val="004A058D"/>
    <w:rsid w:val="004A1B61"/>
    <w:rsid w:val="004A3780"/>
    <w:rsid w:val="004A6D6D"/>
    <w:rsid w:val="004B0BDF"/>
    <w:rsid w:val="004B3E12"/>
    <w:rsid w:val="004B59D3"/>
    <w:rsid w:val="004B7A01"/>
    <w:rsid w:val="004C08AB"/>
    <w:rsid w:val="004C3981"/>
    <w:rsid w:val="004C3DD5"/>
    <w:rsid w:val="004C49CA"/>
    <w:rsid w:val="004C5540"/>
    <w:rsid w:val="004C5804"/>
    <w:rsid w:val="004D04DB"/>
    <w:rsid w:val="004E0C0A"/>
    <w:rsid w:val="004E201C"/>
    <w:rsid w:val="004E23A1"/>
    <w:rsid w:val="004E2700"/>
    <w:rsid w:val="004E2B2C"/>
    <w:rsid w:val="004E5D0B"/>
    <w:rsid w:val="004F1705"/>
    <w:rsid w:val="004F1820"/>
    <w:rsid w:val="004F1AE1"/>
    <w:rsid w:val="004F1BEC"/>
    <w:rsid w:val="004F59BB"/>
    <w:rsid w:val="004F70D4"/>
    <w:rsid w:val="005001C5"/>
    <w:rsid w:val="005028CD"/>
    <w:rsid w:val="00503C5A"/>
    <w:rsid w:val="00503E02"/>
    <w:rsid w:val="005071BD"/>
    <w:rsid w:val="00510268"/>
    <w:rsid w:val="0051171C"/>
    <w:rsid w:val="00513B64"/>
    <w:rsid w:val="005143F6"/>
    <w:rsid w:val="005175B9"/>
    <w:rsid w:val="00517D64"/>
    <w:rsid w:val="00517FB5"/>
    <w:rsid w:val="00522ADD"/>
    <w:rsid w:val="005237FF"/>
    <w:rsid w:val="005275CF"/>
    <w:rsid w:val="00530422"/>
    <w:rsid w:val="005320BF"/>
    <w:rsid w:val="0054174D"/>
    <w:rsid w:val="0055010F"/>
    <w:rsid w:val="005512EB"/>
    <w:rsid w:val="005515BA"/>
    <w:rsid w:val="00551B17"/>
    <w:rsid w:val="00553B63"/>
    <w:rsid w:val="00553D02"/>
    <w:rsid w:val="0055425C"/>
    <w:rsid w:val="00554649"/>
    <w:rsid w:val="00556206"/>
    <w:rsid w:val="00556438"/>
    <w:rsid w:val="005620E7"/>
    <w:rsid w:val="00577515"/>
    <w:rsid w:val="005777E1"/>
    <w:rsid w:val="00583F99"/>
    <w:rsid w:val="00584491"/>
    <w:rsid w:val="005846E9"/>
    <w:rsid w:val="00585B10"/>
    <w:rsid w:val="00587C24"/>
    <w:rsid w:val="00590144"/>
    <w:rsid w:val="005910C0"/>
    <w:rsid w:val="00591AA7"/>
    <w:rsid w:val="0059616B"/>
    <w:rsid w:val="005973DC"/>
    <w:rsid w:val="005A0A3F"/>
    <w:rsid w:val="005A0BFA"/>
    <w:rsid w:val="005A1C08"/>
    <w:rsid w:val="005A37E3"/>
    <w:rsid w:val="005B0991"/>
    <w:rsid w:val="005B1C36"/>
    <w:rsid w:val="005B2AD4"/>
    <w:rsid w:val="005B313B"/>
    <w:rsid w:val="005C05A5"/>
    <w:rsid w:val="005C14C6"/>
    <w:rsid w:val="005C400D"/>
    <w:rsid w:val="005C4222"/>
    <w:rsid w:val="005D024F"/>
    <w:rsid w:val="005D0467"/>
    <w:rsid w:val="005D391F"/>
    <w:rsid w:val="005D434B"/>
    <w:rsid w:val="005D4C60"/>
    <w:rsid w:val="005D54A5"/>
    <w:rsid w:val="005D6F31"/>
    <w:rsid w:val="005D79C1"/>
    <w:rsid w:val="005E022E"/>
    <w:rsid w:val="005E0B3C"/>
    <w:rsid w:val="005E44AE"/>
    <w:rsid w:val="005E7369"/>
    <w:rsid w:val="005E7939"/>
    <w:rsid w:val="005F0245"/>
    <w:rsid w:val="005F29CB"/>
    <w:rsid w:val="005F4B13"/>
    <w:rsid w:val="0060169F"/>
    <w:rsid w:val="006027FC"/>
    <w:rsid w:val="00604D1F"/>
    <w:rsid w:val="00605636"/>
    <w:rsid w:val="0060576C"/>
    <w:rsid w:val="00613E2F"/>
    <w:rsid w:val="00615FF8"/>
    <w:rsid w:val="0062392F"/>
    <w:rsid w:val="0062690E"/>
    <w:rsid w:val="00627541"/>
    <w:rsid w:val="00627BFA"/>
    <w:rsid w:val="006308D8"/>
    <w:rsid w:val="00630ECA"/>
    <w:rsid w:val="006310C7"/>
    <w:rsid w:val="0063128D"/>
    <w:rsid w:val="0063176B"/>
    <w:rsid w:val="0063465B"/>
    <w:rsid w:val="006350BA"/>
    <w:rsid w:val="00635367"/>
    <w:rsid w:val="006354DD"/>
    <w:rsid w:val="006431D3"/>
    <w:rsid w:val="00645A4E"/>
    <w:rsid w:val="0064711F"/>
    <w:rsid w:val="006510AA"/>
    <w:rsid w:val="0065161E"/>
    <w:rsid w:val="00652B56"/>
    <w:rsid w:val="006534DC"/>
    <w:rsid w:val="00653A07"/>
    <w:rsid w:val="006543B1"/>
    <w:rsid w:val="00655A6B"/>
    <w:rsid w:val="00657334"/>
    <w:rsid w:val="00661A0F"/>
    <w:rsid w:val="00663033"/>
    <w:rsid w:val="00663E5F"/>
    <w:rsid w:val="00664822"/>
    <w:rsid w:val="006724ED"/>
    <w:rsid w:val="00674314"/>
    <w:rsid w:val="00676671"/>
    <w:rsid w:val="0068083F"/>
    <w:rsid w:val="00680F4C"/>
    <w:rsid w:val="00681D8E"/>
    <w:rsid w:val="0068251A"/>
    <w:rsid w:val="00682B87"/>
    <w:rsid w:val="00682F48"/>
    <w:rsid w:val="006845D9"/>
    <w:rsid w:val="00684D9D"/>
    <w:rsid w:val="00685743"/>
    <w:rsid w:val="0068640C"/>
    <w:rsid w:val="00687DFA"/>
    <w:rsid w:val="0069006C"/>
    <w:rsid w:val="006A0DC6"/>
    <w:rsid w:val="006A1B23"/>
    <w:rsid w:val="006A3810"/>
    <w:rsid w:val="006A4B85"/>
    <w:rsid w:val="006A7825"/>
    <w:rsid w:val="006A7BAA"/>
    <w:rsid w:val="006B24BD"/>
    <w:rsid w:val="006B2B76"/>
    <w:rsid w:val="006B3FF9"/>
    <w:rsid w:val="006B40CF"/>
    <w:rsid w:val="006C4EC7"/>
    <w:rsid w:val="006C5BA6"/>
    <w:rsid w:val="006C5CB0"/>
    <w:rsid w:val="006C5D62"/>
    <w:rsid w:val="006C6791"/>
    <w:rsid w:val="006D12FB"/>
    <w:rsid w:val="006D536D"/>
    <w:rsid w:val="006D5F85"/>
    <w:rsid w:val="006D65F5"/>
    <w:rsid w:val="006D7EFD"/>
    <w:rsid w:val="006E0C2E"/>
    <w:rsid w:val="006E3303"/>
    <w:rsid w:val="006E7127"/>
    <w:rsid w:val="006F1099"/>
    <w:rsid w:val="006F1C38"/>
    <w:rsid w:val="006F2732"/>
    <w:rsid w:val="006F3A67"/>
    <w:rsid w:val="006F3CDA"/>
    <w:rsid w:val="006F3F75"/>
    <w:rsid w:val="006F63C3"/>
    <w:rsid w:val="006F71D8"/>
    <w:rsid w:val="00700455"/>
    <w:rsid w:val="007015CC"/>
    <w:rsid w:val="0070513B"/>
    <w:rsid w:val="00705804"/>
    <w:rsid w:val="00706098"/>
    <w:rsid w:val="0071698E"/>
    <w:rsid w:val="007175AE"/>
    <w:rsid w:val="00720A8D"/>
    <w:rsid w:val="0072167E"/>
    <w:rsid w:val="0072389E"/>
    <w:rsid w:val="00723DED"/>
    <w:rsid w:val="00733408"/>
    <w:rsid w:val="00734500"/>
    <w:rsid w:val="00737337"/>
    <w:rsid w:val="00740941"/>
    <w:rsid w:val="00740973"/>
    <w:rsid w:val="00745C1B"/>
    <w:rsid w:val="007472EE"/>
    <w:rsid w:val="0075021E"/>
    <w:rsid w:val="00753330"/>
    <w:rsid w:val="00753A20"/>
    <w:rsid w:val="0075776C"/>
    <w:rsid w:val="0076071B"/>
    <w:rsid w:val="00760756"/>
    <w:rsid w:val="00764151"/>
    <w:rsid w:val="00764D79"/>
    <w:rsid w:val="00765950"/>
    <w:rsid w:val="00765FC6"/>
    <w:rsid w:val="00766DB8"/>
    <w:rsid w:val="0077511F"/>
    <w:rsid w:val="007756CE"/>
    <w:rsid w:val="00776D78"/>
    <w:rsid w:val="00777D8F"/>
    <w:rsid w:val="00783B0C"/>
    <w:rsid w:val="007841B9"/>
    <w:rsid w:val="00784A41"/>
    <w:rsid w:val="00785400"/>
    <w:rsid w:val="007858CC"/>
    <w:rsid w:val="00791029"/>
    <w:rsid w:val="0079378A"/>
    <w:rsid w:val="007946AC"/>
    <w:rsid w:val="0079513C"/>
    <w:rsid w:val="00795D96"/>
    <w:rsid w:val="007A1024"/>
    <w:rsid w:val="007A4031"/>
    <w:rsid w:val="007A4C23"/>
    <w:rsid w:val="007A728A"/>
    <w:rsid w:val="007A7C85"/>
    <w:rsid w:val="007B1C33"/>
    <w:rsid w:val="007B5EAB"/>
    <w:rsid w:val="007C061A"/>
    <w:rsid w:val="007C2334"/>
    <w:rsid w:val="007C5A08"/>
    <w:rsid w:val="007D0047"/>
    <w:rsid w:val="007D1180"/>
    <w:rsid w:val="007D1449"/>
    <w:rsid w:val="007D1A87"/>
    <w:rsid w:val="007D4C25"/>
    <w:rsid w:val="007D4D72"/>
    <w:rsid w:val="007D5971"/>
    <w:rsid w:val="007D784F"/>
    <w:rsid w:val="007E0450"/>
    <w:rsid w:val="007E37CC"/>
    <w:rsid w:val="007E731D"/>
    <w:rsid w:val="007F00FB"/>
    <w:rsid w:val="007F0199"/>
    <w:rsid w:val="007F20E2"/>
    <w:rsid w:val="007F3456"/>
    <w:rsid w:val="007F44D5"/>
    <w:rsid w:val="007F471F"/>
    <w:rsid w:val="007F64AB"/>
    <w:rsid w:val="00802E15"/>
    <w:rsid w:val="00803D16"/>
    <w:rsid w:val="008104F8"/>
    <w:rsid w:val="0081098D"/>
    <w:rsid w:val="008114FC"/>
    <w:rsid w:val="00813ADE"/>
    <w:rsid w:val="00813D8A"/>
    <w:rsid w:val="008202DA"/>
    <w:rsid w:val="00820D80"/>
    <w:rsid w:val="0082116F"/>
    <w:rsid w:val="008222B2"/>
    <w:rsid w:val="00822EF1"/>
    <w:rsid w:val="00822FE4"/>
    <w:rsid w:val="00823B8A"/>
    <w:rsid w:val="008259CE"/>
    <w:rsid w:val="00826517"/>
    <w:rsid w:val="00826943"/>
    <w:rsid w:val="00833B6C"/>
    <w:rsid w:val="00833CF1"/>
    <w:rsid w:val="00840426"/>
    <w:rsid w:val="0084200D"/>
    <w:rsid w:val="0084509A"/>
    <w:rsid w:val="008460B5"/>
    <w:rsid w:val="00846437"/>
    <w:rsid w:val="008468ED"/>
    <w:rsid w:val="00846A50"/>
    <w:rsid w:val="00846BB1"/>
    <w:rsid w:val="00846FBE"/>
    <w:rsid w:val="0084723D"/>
    <w:rsid w:val="00853515"/>
    <w:rsid w:val="00854D23"/>
    <w:rsid w:val="0085544E"/>
    <w:rsid w:val="00856B77"/>
    <w:rsid w:val="00860848"/>
    <w:rsid w:val="008618C4"/>
    <w:rsid w:val="00863BBE"/>
    <w:rsid w:val="008671C6"/>
    <w:rsid w:val="00870BEC"/>
    <w:rsid w:val="0087178A"/>
    <w:rsid w:val="00871940"/>
    <w:rsid w:val="00871DCC"/>
    <w:rsid w:val="008742A0"/>
    <w:rsid w:val="00881AFD"/>
    <w:rsid w:val="00883842"/>
    <w:rsid w:val="00884159"/>
    <w:rsid w:val="00884ECD"/>
    <w:rsid w:val="00885760"/>
    <w:rsid w:val="00886C8C"/>
    <w:rsid w:val="00886DDC"/>
    <w:rsid w:val="00891891"/>
    <w:rsid w:val="00892378"/>
    <w:rsid w:val="00894559"/>
    <w:rsid w:val="008959E5"/>
    <w:rsid w:val="008969E9"/>
    <w:rsid w:val="00897EBD"/>
    <w:rsid w:val="008A18DB"/>
    <w:rsid w:val="008A5642"/>
    <w:rsid w:val="008A5A6D"/>
    <w:rsid w:val="008A60DF"/>
    <w:rsid w:val="008B13CA"/>
    <w:rsid w:val="008B224D"/>
    <w:rsid w:val="008C0D29"/>
    <w:rsid w:val="008C277F"/>
    <w:rsid w:val="008C28BE"/>
    <w:rsid w:val="008C44B6"/>
    <w:rsid w:val="008C6AFE"/>
    <w:rsid w:val="008D05C1"/>
    <w:rsid w:val="008D0797"/>
    <w:rsid w:val="008D2B34"/>
    <w:rsid w:val="008D3D6D"/>
    <w:rsid w:val="008D45D6"/>
    <w:rsid w:val="008E00E6"/>
    <w:rsid w:val="008E234B"/>
    <w:rsid w:val="008E3270"/>
    <w:rsid w:val="008E3884"/>
    <w:rsid w:val="008E4274"/>
    <w:rsid w:val="008E4FDB"/>
    <w:rsid w:val="008E54F0"/>
    <w:rsid w:val="008F3452"/>
    <w:rsid w:val="008F3CB5"/>
    <w:rsid w:val="008F414F"/>
    <w:rsid w:val="008F4A0A"/>
    <w:rsid w:val="008F576D"/>
    <w:rsid w:val="008F7957"/>
    <w:rsid w:val="008F7CF7"/>
    <w:rsid w:val="00900EC2"/>
    <w:rsid w:val="00901C85"/>
    <w:rsid w:val="00903A25"/>
    <w:rsid w:val="009116C6"/>
    <w:rsid w:val="00912553"/>
    <w:rsid w:val="009132A4"/>
    <w:rsid w:val="00913708"/>
    <w:rsid w:val="00913A70"/>
    <w:rsid w:val="00913E06"/>
    <w:rsid w:val="009160FD"/>
    <w:rsid w:val="0091757D"/>
    <w:rsid w:val="00922AD6"/>
    <w:rsid w:val="009238A1"/>
    <w:rsid w:val="0092548E"/>
    <w:rsid w:val="00925971"/>
    <w:rsid w:val="00926754"/>
    <w:rsid w:val="00926CA5"/>
    <w:rsid w:val="009273F5"/>
    <w:rsid w:val="00927CE7"/>
    <w:rsid w:val="009300D0"/>
    <w:rsid w:val="00930D2B"/>
    <w:rsid w:val="00931BE9"/>
    <w:rsid w:val="00932545"/>
    <w:rsid w:val="00933455"/>
    <w:rsid w:val="00933858"/>
    <w:rsid w:val="009346BB"/>
    <w:rsid w:val="00934E35"/>
    <w:rsid w:val="00935216"/>
    <w:rsid w:val="009371FF"/>
    <w:rsid w:val="0094021E"/>
    <w:rsid w:val="00940371"/>
    <w:rsid w:val="009404E6"/>
    <w:rsid w:val="009468E0"/>
    <w:rsid w:val="00947845"/>
    <w:rsid w:val="00951F0B"/>
    <w:rsid w:val="00952F77"/>
    <w:rsid w:val="0095331A"/>
    <w:rsid w:val="009542AA"/>
    <w:rsid w:val="00954E4F"/>
    <w:rsid w:val="00956CBB"/>
    <w:rsid w:val="009612A6"/>
    <w:rsid w:val="0096153A"/>
    <w:rsid w:val="00963D9A"/>
    <w:rsid w:val="00964300"/>
    <w:rsid w:val="00964D08"/>
    <w:rsid w:val="00965A0E"/>
    <w:rsid w:val="00970619"/>
    <w:rsid w:val="0097291D"/>
    <w:rsid w:val="00972E04"/>
    <w:rsid w:val="009735FF"/>
    <w:rsid w:val="009766DA"/>
    <w:rsid w:val="00976ABA"/>
    <w:rsid w:val="00981C37"/>
    <w:rsid w:val="00983556"/>
    <w:rsid w:val="009861C3"/>
    <w:rsid w:val="00987867"/>
    <w:rsid w:val="00990197"/>
    <w:rsid w:val="009903F3"/>
    <w:rsid w:val="00990A75"/>
    <w:rsid w:val="00994A5C"/>
    <w:rsid w:val="009963FF"/>
    <w:rsid w:val="009970E4"/>
    <w:rsid w:val="00997542"/>
    <w:rsid w:val="009A0DDB"/>
    <w:rsid w:val="009A0EB0"/>
    <w:rsid w:val="009A1B84"/>
    <w:rsid w:val="009A443D"/>
    <w:rsid w:val="009B0357"/>
    <w:rsid w:val="009B04D6"/>
    <w:rsid w:val="009B26B9"/>
    <w:rsid w:val="009B38BE"/>
    <w:rsid w:val="009B3AFE"/>
    <w:rsid w:val="009B4B0C"/>
    <w:rsid w:val="009B5429"/>
    <w:rsid w:val="009B6683"/>
    <w:rsid w:val="009C0071"/>
    <w:rsid w:val="009C0393"/>
    <w:rsid w:val="009C200E"/>
    <w:rsid w:val="009C2211"/>
    <w:rsid w:val="009C422B"/>
    <w:rsid w:val="009C5857"/>
    <w:rsid w:val="009C5D27"/>
    <w:rsid w:val="009C7184"/>
    <w:rsid w:val="009D37B6"/>
    <w:rsid w:val="009D7329"/>
    <w:rsid w:val="009E0865"/>
    <w:rsid w:val="009E0EAE"/>
    <w:rsid w:val="009E20E8"/>
    <w:rsid w:val="009E26F1"/>
    <w:rsid w:val="009E4F9A"/>
    <w:rsid w:val="009F11B7"/>
    <w:rsid w:val="009F2751"/>
    <w:rsid w:val="009F3A52"/>
    <w:rsid w:val="009F5788"/>
    <w:rsid w:val="00A0040C"/>
    <w:rsid w:val="00A00560"/>
    <w:rsid w:val="00A00C87"/>
    <w:rsid w:val="00A027F3"/>
    <w:rsid w:val="00A0307D"/>
    <w:rsid w:val="00A05DE9"/>
    <w:rsid w:val="00A0618C"/>
    <w:rsid w:val="00A108CD"/>
    <w:rsid w:val="00A1090C"/>
    <w:rsid w:val="00A1131B"/>
    <w:rsid w:val="00A11C4A"/>
    <w:rsid w:val="00A1273C"/>
    <w:rsid w:val="00A135F5"/>
    <w:rsid w:val="00A1403E"/>
    <w:rsid w:val="00A1510D"/>
    <w:rsid w:val="00A165C4"/>
    <w:rsid w:val="00A17FA2"/>
    <w:rsid w:val="00A2055D"/>
    <w:rsid w:val="00A21968"/>
    <w:rsid w:val="00A21B77"/>
    <w:rsid w:val="00A21BF8"/>
    <w:rsid w:val="00A2435D"/>
    <w:rsid w:val="00A24FA3"/>
    <w:rsid w:val="00A26AA4"/>
    <w:rsid w:val="00A30917"/>
    <w:rsid w:val="00A34F37"/>
    <w:rsid w:val="00A35686"/>
    <w:rsid w:val="00A35DEC"/>
    <w:rsid w:val="00A36701"/>
    <w:rsid w:val="00A40028"/>
    <w:rsid w:val="00A40378"/>
    <w:rsid w:val="00A43C90"/>
    <w:rsid w:val="00A46043"/>
    <w:rsid w:val="00A464B7"/>
    <w:rsid w:val="00A5213F"/>
    <w:rsid w:val="00A53544"/>
    <w:rsid w:val="00A60862"/>
    <w:rsid w:val="00A62EFB"/>
    <w:rsid w:val="00A652D7"/>
    <w:rsid w:val="00A66C1C"/>
    <w:rsid w:val="00A715C7"/>
    <w:rsid w:val="00A7256D"/>
    <w:rsid w:val="00A72859"/>
    <w:rsid w:val="00A73075"/>
    <w:rsid w:val="00A74082"/>
    <w:rsid w:val="00A75513"/>
    <w:rsid w:val="00A86774"/>
    <w:rsid w:val="00A93559"/>
    <w:rsid w:val="00A93C1C"/>
    <w:rsid w:val="00A93D84"/>
    <w:rsid w:val="00A944D6"/>
    <w:rsid w:val="00A9568E"/>
    <w:rsid w:val="00A95EE9"/>
    <w:rsid w:val="00A965CA"/>
    <w:rsid w:val="00AA4342"/>
    <w:rsid w:val="00AA4A6C"/>
    <w:rsid w:val="00AA4D43"/>
    <w:rsid w:val="00AA76EA"/>
    <w:rsid w:val="00AB121D"/>
    <w:rsid w:val="00AB247E"/>
    <w:rsid w:val="00AB5538"/>
    <w:rsid w:val="00AB5F9B"/>
    <w:rsid w:val="00AB5FB2"/>
    <w:rsid w:val="00AC0F07"/>
    <w:rsid w:val="00AC13EA"/>
    <w:rsid w:val="00AC29A3"/>
    <w:rsid w:val="00AC3765"/>
    <w:rsid w:val="00AC3784"/>
    <w:rsid w:val="00AC7E68"/>
    <w:rsid w:val="00AD2730"/>
    <w:rsid w:val="00AD3285"/>
    <w:rsid w:val="00AD34BB"/>
    <w:rsid w:val="00AD5A3C"/>
    <w:rsid w:val="00AD7608"/>
    <w:rsid w:val="00AD7743"/>
    <w:rsid w:val="00AD77D3"/>
    <w:rsid w:val="00AE0ED8"/>
    <w:rsid w:val="00AE2667"/>
    <w:rsid w:val="00AE4B99"/>
    <w:rsid w:val="00AE6C14"/>
    <w:rsid w:val="00AF51D6"/>
    <w:rsid w:val="00AF59F2"/>
    <w:rsid w:val="00AF608D"/>
    <w:rsid w:val="00AF6758"/>
    <w:rsid w:val="00AF6816"/>
    <w:rsid w:val="00AF6FE3"/>
    <w:rsid w:val="00AF7B18"/>
    <w:rsid w:val="00AF7FFA"/>
    <w:rsid w:val="00B001C3"/>
    <w:rsid w:val="00B00DDE"/>
    <w:rsid w:val="00B0336A"/>
    <w:rsid w:val="00B034BA"/>
    <w:rsid w:val="00B04AB0"/>
    <w:rsid w:val="00B05FC7"/>
    <w:rsid w:val="00B06289"/>
    <w:rsid w:val="00B07529"/>
    <w:rsid w:val="00B07C69"/>
    <w:rsid w:val="00B10563"/>
    <w:rsid w:val="00B108E2"/>
    <w:rsid w:val="00B118C8"/>
    <w:rsid w:val="00B120C7"/>
    <w:rsid w:val="00B13EF4"/>
    <w:rsid w:val="00B159B9"/>
    <w:rsid w:val="00B2107B"/>
    <w:rsid w:val="00B2142C"/>
    <w:rsid w:val="00B21DFB"/>
    <w:rsid w:val="00B22C9C"/>
    <w:rsid w:val="00B22DA2"/>
    <w:rsid w:val="00B24022"/>
    <w:rsid w:val="00B24D47"/>
    <w:rsid w:val="00B24FC3"/>
    <w:rsid w:val="00B25BCD"/>
    <w:rsid w:val="00B27E9D"/>
    <w:rsid w:val="00B27F16"/>
    <w:rsid w:val="00B30EBD"/>
    <w:rsid w:val="00B30EFF"/>
    <w:rsid w:val="00B31CD8"/>
    <w:rsid w:val="00B35EFC"/>
    <w:rsid w:val="00B43051"/>
    <w:rsid w:val="00B439DA"/>
    <w:rsid w:val="00B44ECB"/>
    <w:rsid w:val="00B45D14"/>
    <w:rsid w:val="00B46471"/>
    <w:rsid w:val="00B47AF5"/>
    <w:rsid w:val="00B5103E"/>
    <w:rsid w:val="00B51686"/>
    <w:rsid w:val="00B51EAC"/>
    <w:rsid w:val="00B53181"/>
    <w:rsid w:val="00B53748"/>
    <w:rsid w:val="00B54733"/>
    <w:rsid w:val="00B56045"/>
    <w:rsid w:val="00B56D71"/>
    <w:rsid w:val="00B57FD0"/>
    <w:rsid w:val="00B612B3"/>
    <w:rsid w:val="00B61414"/>
    <w:rsid w:val="00B63AE2"/>
    <w:rsid w:val="00B64E4E"/>
    <w:rsid w:val="00B65F7B"/>
    <w:rsid w:val="00B6618F"/>
    <w:rsid w:val="00B67D39"/>
    <w:rsid w:val="00B7262B"/>
    <w:rsid w:val="00B75342"/>
    <w:rsid w:val="00B769A4"/>
    <w:rsid w:val="00B80705"/>
    <w:rsid w:val="00B80D88"/>
    <w:rsid w:val="00B83E93"/>
    <w:rsid w:val="00B84FF1"/>
    <w:rsid w:val="00B85FCE"/>
    <w:rsid w:val="00B86364"/>
    <w:rsid w:val="00B907FA"/>
    <w:rsid w:val="00B93534"/>
    <w:rsid w:val="00B93EAC"/>
    <w:rsid w:val="00B96103"/>
    <w:rsid w:val="00B97513"/>
    <w:rsid w:val="00BA2987"/>
    <w:rsid w:val="00BA3097"/>
    <w:rsid w:val="00BA6973"/>
    <w:rsid w:val="00BB2E91"/>
    <w:rsid w:val="00BB44A3"/>
    <w:rsid w:val="00BB4DCF"/>
    <w:rsid w:val="00BB64A2"/>
    <w:rsid w:val="00BC21A7"/>
    <w:rsid w:val="00BC5DE8"/>
    <w:rsid w:val="00BD0764"/>
    <w:rsid w:val="00BD09A2"/>
    <w:rsid w:val="00BD5375"/>
    <w:rsid w:val="00BD5A16"/>
    <w:rsid w:val="00BD6C41"/>
    <w:rsid w:val="00BE10DB"/>
    <w:rsid w:val="00BE2172"/>
    <w:rsid w:val="00BE62B4"/>
    <w:rsid w:val="00BF0261"/>
    <w:rsid w:val="00BF09C3"/>
    <w:rsid w:val="00BF1A6D"/>
    <w:rsid w:val="00BF59AF"/>
    <w:rsid w:val="00BF5FCF"/>
    <w:rsid w:val="00C00FD3"/>
    <w:rsid w:val="00C03DA4"/>
    <w:rsid w:val="00C04355"/>
    <w:rsid w:val="00C10BBB"/>
    <w:rsid w:val="00C12B56"/>
    <w:rsid w:val="00C133A4"/>
    <w:rsid w:val="00C20727"/>
    <w:rsid w:val="00C24255"/>
    <w:rsid w:val="00C2488B"/>
    <w:rsid w:val="00C24A68"/>
    <w:rsid w:val="00C2664C"/>
    <w:rsid w:val="00C268D4"/>
    <w:rsid w:val="00C3073E"/>
    <w:rsid w:val="00C348F6"/>
    <w:rsid w:val="00C35108"/>
    <w:rsid w:val="00C36ACD"/>
    <w:rsid w:val="00C41B69"/>
    <w:rsid w:val="00C46A7F"/>
    <w:rsid w:val="00C47048"/>
    <w:rsid w:val="00C5194E"/>
    <w:rsid w:val="00C528D0"/>
    <w:rsid w:val="00C575F2"/>
    <w:rsid w:val="00C60EFC"/>
    <w:rsid w:val="00C631A7"/>
    <w:rsid w:val="00C63739"/>
    <w:rsid w:val="00C67242"/>
    <w:rsid w:val="00C67BDA"/>
    <w:rsid w:val="00C72942"/>
    <w:rsid w:val="00C743A3"/>
    <w:rsid w:val="00C752F9"/>
    <w:rsid w:val="00C7654A"/>
    <w:rsid w:val="00C76CE9"/>
    <w:rsid w:val="00C81FBB"/>
    <w:rsid w:val="00C8253F"/>
    <w:rsid w:val="00C83EFB"/>
    <w:rsid w:val="00C83F33"/>
    <w:rsid w:val="00C84EA3"/>
    <w:rsid w:val="00C87AEC"/>
    <w:rsid w:val="00C95843"/>
    <w:rsid w:val="00C96FF6"/>
    <w:rsid w:val="00C972BA"/>
    <w:rsid w:val="00C97E0C"/>
    <w:rsid w:val="00CA1392"/>
    <w:rsid w:val="00CA13D0"/>
    <w:rsid w:val="00CA20D6"/>
    <w:rsid w:val="00CA2BF0"/>
    <w:rsid w:val="00CA3004"/>
    <w:rsid w:val="00CA622F"/>
    <w:rsid w:val="00CA65E2"/>
    <w:rsid w:val="00CA6C83"/>
    <w:rsid w:val="00CB3CC5"/>
    <w:rsid w:val="00CB73E1"/>
    <w:rsid w:val="00CC0ED3"/>
    <w:rsid w:val="00CC155B"/>
    <w:rsid w:val="00CC1A23"/>
    <w:rsid w:val="00CC3141"/>
    <w:rsid w:val="00CC3D13"/>
    <w:rsid w:val="00CC562E"/>
    <w:rsid w:val="00CD107C"/>
    <w:rsid w:val="00CD1AFC"/>
    <w:rsid w:val="00CD1EE5"/>
    <w:rsid w:val="00CD2DC9"/>
    <w:rsid w:val="00CD595C"/>
    <w:rsid w:val="00CD6F32"/>
    <w:rsid w:val="00CE09E2"/>
    <w:rsid w:val="00CE1D3C"/>
    <w:rsid w:val="00CE31AB"/>
    <w:rsid w:val="00CE35BE"/>
    <w:rsid w:val="00CE5B23"/>
    <w:rsid w:val="00CF359D"/>
    <w:rsid w:val="00CF3FE3"/>
    <w:rsid w:val="00CF54C1"/>
    <w:rsid w:val="00CF683B"/>
    <w:rsid w:val="00D0017B"/>
    <w:rsid w:val="00D01849"/>
    <w:rsid w:val="00D01B58"/>
    <w:rsid w:val="00D01DA4"/>
    <w:rsid w:val="00D01E50"/>
    <w:rsid w:val="00D11C9D"/>
    <w:rsid w:val="00D13B42"/>
    <w:rsid w:val="00D159F5"/>
    <w:rsid w:val="00D161F3"/>
    <w:rsid w:val="00D165F2"/>
    <w:rsid w:val="00D17D9D"/>
    <w:rsid w:val="00D22136"/>
    <w:rsid w:val="00D231FA"/>
    <w:rsid w:val="00D23540"/>
    <w:rsid w:val="00D24548"/>
    <w:rsid w:val="00D24A14"/>
    <w:rsid w:val="00D303AD"/>
    <w:rsid w:val="00D31471"/>
    <w:rsid w:val="00D31DDB"/>
    <w:rsid w:val="00D37A2A"/>
    <w:rsid w:val="00D37F7B"/>
    <w:rsid w:val="00D40CF7"/>
    <w:rsid w:val="00D421B1"/>
    <w:rsid w:val="00D42746"/>
    <w:rsid w:val="00D4289D"/>
    <w:rsid w:val="00D44233"/>
    <w:rsid w:val="00D44382"/>
    <w:rsid w:val="00D44619"/>
    <w:rsid w:val="00D45741"/>
    <w:rsid w:val="00D458A0"/>
    <w:rsid w:val="00D475B0"/>
    <w:rsid w:val="00D50C88"/>
    <w:rsid w:val="00D52DC7"/>
    <w:rsid w:val="00D54ADD"/>
    <w:rsid w:val="00D57893"/>
    <w:rsid w:val="00D603F3"/>
    <w:rsid w:val="00D60AAE"/>
    <w:rsid w:val="00D635C1"/>
    <w:rsid w:val="00D63D05"/>
    <w:rsid w:val="00D63F67"/>
    <w:rsid w:val="00D65144"/>
    <w:rsid w:val="00D65896"/>
    <w:rsid w:val="00D70809"/>
    <w:rsid w:val="00D71660"/>
    <w:rsid w:val="00D723D0"/>
    <w:rsid w:val="00D73873"/>
    <w:rsid w:val="00D752CA"/>
    <w:rsid w:val="00D75F91"/>
    <w:rsid w:val="00D86152"/>
    <w:rsid w:val="00D936D2"/>
    <w:rsid w:val="00D937CD"/>
    <w:rsid w:val="00D968FD"/>
    <w:rsid w:val="00DA39DB"/>
    <w:rsid w:val="00DA426F"/>
    <w:rsid w:val="00DA5FE0"/>
    <w:rsid w:val="00DA78AB"/>
    <w:rsid w:val="00DB0F00"/>
    <w:rsid w:val="00DB1280"/>
    <w:rsid w:val="00DB38F2"/>
    <w:rsid w:val="00DB3C85"/>
    <w:rsid w:val="00DB5F83"/>
    <w:rsid w:val="00DC0616"/>
    <w:rsid w:val="00DC0FE6"/>
    <w:rsid w:val="00DC2390"/>
    <w:rsid w:val="00DC3D93"/>
    <w:rsid w:val="00DC3FAA"/>
    <w:rsid w:val="00DC3FF2"/>
    <w:rsid w:val="00DC669D"/>
    <w:rsid w:val="00DD0E17"/>
    <w:rsid w:val="00DD350C"/>
    <w:rsid w:val="00DD353F"/>
    <w:rsid w:val="00DD460B"/>
    <w:rsid w:val="00DD485C"/>
    <w:rsid w:val="00DE2502"/>
    <w:rsid w:val="00DE576E"/>
    <w:rsid w:val="00DE5C4C"/>
    <w:rsid w:val="00DE7592"/>
    <w:rsid w:val="00DF18E8"/>
    <w:rsid w:val="00DF236D"/>
    <w:rsid w:val="00DF2A3C"/>
    <w:rsid w:val="00DF3946"/>
    <w:rsid w:val="00DF599E"/>
    <w:rsid w:val="00DF5B69"/>
    <w:rsid w:val="00E00E5D"/>
    <w:rsid w:val="00E014D4"/>
    <w:rsid w:val="00E01E7E"/>
    <w:rsid w:val="00E03971"/>
    <w:rsid w:val="00E06773"/>
    <w:rsid w:val="00E107A5"/>
    <w:rsid w:val="00E173B8"/>
    <w:rsid w:val="00E2070F"/>
    <w:rsid w:val="00E222FA"/>
    <w:rsid w:val="00E22A5E"/>
    <w:rsid w:val="00E254B2"/>
    <w:rsid w:val="00E25680"/>
    <w:rsid w:val="00E2580D"/>
    <w:rsid w:val="00E31580"/>
    <w:rsid w:val="00E31DB6"/>
    <w:rsid w:val="00E3256F"/>
    <w:rsid w:val="00E3271A"/>
    <w:rsid w:val="00E34AB6"/>
    <w:rsid w:val="00E37863"/>
    <w:rsid w:val="00E40EA8"/>
    <w:rsid w:val="00E41D07"/>
    <w:rsid w:val="00E4433F"/>
    <w:rsid w:val="00E45E68"/>
    <w:rsid w:val="00E474A8"/>
    <w:rsid w:val="00E47A00"/>
    <w:rsid w:val="00E47F31"/>
    <w:rsid w:val="00E5226E"/>
    <w:rsid w:val="00E52306"/>
    <w:rsid w:val="00E55714"/>
    <w:rsid w:val="00E57B82"/>
    <w:rsid w:val="00E57D4D"/>
    <w:rsid w:val="00E60CCF"/>
    <w:rsid w:val="00E62332"/>
    <w:rsid w:val="00E64871"/>
    <w:rsid w:val="00E66C01"/>
    <w:rsid w:val="00E70A1C"/>
    <w:rsid w:val="00E71689"/>
    <w:rsid w:val="00E7330F"/>
    <w:rsid w:val="00E7386F"/>
    <w:rsid w:val="00E73B0C"/>
    <w:rsid w:val="00E74427"/>
    <w:rsid w:val="00E74670"/>
    <w:rsid w:val="00E75FEE"/>
    <w:rsid w:val="00E7774D"/>
    <w:rsid w:val="00E807B0"/>
    <w:rsid w:val="00E8092D"/>
    <w:rsid w:val="00E82C86"/>
    <w:rsid w:val="00E83761"/>
    <w:rsid w:val="00E84107"/>
    <w:rsid w:val="00E84C33"/>
    <w:rsid w:val="00E85858"/>
    <w:rsid w:val="00E861FD"/>
    <w:rsid w:val="00E8662F"/>
    <w:rsid w:val="00E90449"/>
    <w:rsid w:val="00E925AA"/>
    <w:rsid w:val="00E925E9"/>
    <w:rsid w:val="00E941FD"/>
    <w:rsid w:val="00E959A2"/>
    <w:rsid w:val="00E95B6A"/>
    <w:rsid w:val="00E96153"/>
    <w:rsid w:val="00E966B0"/>
    <w:rsid w:val="00E97C40"/>
    <w:rsid w:val="00EA37E2"/>
    <w:rsid w:val="00EB07D9"/>
    <w:rsid w:val="00EB10EF"/>
    <w:rsid w:val="00EB213E"/>
    <w:rsid w:val="00EB347C"/>
    <w:rsid w:val="00EB67F0"/>
    <w:rsid w:val="00EB6DC4"/>
    <w:rsid w:val="00EB79A0"/>
    <w:rsid w:val="00EC0339"/>
    <w:rsid w:val="00EC1536"/>
    <w:rsid w:val="00EC1D13"/>
    <w:rsid w:val="00EC1E87"/>
    <w:rsid w:val="00EC3370"/>
    <w:rsid w:val="00EC5512"/>
    <w:rsid w:val="00EC56F6"/>
    <w:rsid w:val="00EC63B6"/>
    <w:rsid w:val="00EC7858"/>
    <w:rsid w:val="00ED04A4"/>
    <w:rsid w:val="00ED0801"/>
    <w:rsid w:val="00ED169C"/>
    <w:rsid w:val="00ED3987"/>
    <w:rsid w:val="00ED43B0"/>
    <w:rsid w:val="00ED454E"/>
    <w:rsid w:val="00ED779C"/>
    <w:rsid w:val="00EE160A"/>
    <w:rsid w:val="00EE17F2"/>
    <w:rsid w:val="00EE617B"/>
    <w:rsid w:val="00EF0760"/>
    <w:rsid w:val="00EF4AEA"/>
    <w:rsid w:val="00EF5E94"/>
    <w:rsid w:val="00F02382"/>
    <w:rsid w:val="00F0561C"/>
    <w:rsid w:val="00F05F61"/>
    <w:rsid w:val="00F0759D"/>
    <w:rsid w:val="00F10288"/>
    <w:rsid w:val="00F11253"/>
    <w:rsid w:val="00F12C46"/>
    <w:rsid w:val="00F1371A"/>
    <w:rsid w:val="00F141F4"/>
    <w:rsid w:val="00F14598"/>
    <w:rsid w:val="00F15E07"/>
    <w:rsid w:val="00F15EAD"/>
    <w:rsid w:val="00F16023"/>
    <w:rsid w:val="00F16379"/>
    <w:rsid w:val="00F16D7C"/>
    <w:rsid w:val="00F16F84"/>
    <w:rsid w:val="00F20A65"/>
    <w:rsid w:val="00F213F8"/>
    <w:rsid w:val="00F24080"/>
    <w:rsid w:val="00F27691"/>
    <w:rsid w:val="00F3707E"/>
    <w:rsid w:val="00F406B3"/>
    <w:rsid w:val="00F40B45"/>
    <w:rsid w:val="00F40B47"/>
    <w:rsid w:val="00F411C9"/>
    <w:rsid w:val="00F435B8"/>
    <w:rsid w:val="00F4424F"/>
    <w:rsid w:val="00F447A4"/>
    <w:rsid w:val="00F44866"/>
    <w:rsid w:val="00F44CE1"/>
    <w:rsid w:val="00F45E82"/>
    <w:rsid w:val="00F472DE"/>
    <w:rsid w:val="00F51DCB"/>
    <w:rsid w:val="00F54FF1"/>
    <w:rsid w:val="00F5594F"/>
    <w:rsid w:val="00F55AB1"/>
    <w:rsid w:val="00F57006"/>
    <w:rsid w:val="00F5756E"/>
    <w:rsid w:val="00F6116C"/>
    <w:rsid w:val="00F61B1E"/>
    <w:rsid w:val="00F64247"/>
    <w:rsid w:val="00F64C9F"/>
    <w:rsid w:val="00F6526A"/>
    <w:rsid w:val="00F76F69"/>
    <w:rsid w:val="00F77514"/>
    <w:rsid w:val="00F77A17"/>
    <w:rsid w:val="00F81339"/>
    <w:rsid w:val="00F83392"/>
    <w:rsid w:val="00F84E77"/>
    <w:rsid w:val="00F86FBB"/>
    <w:rsid w:val="00F90BE5"/>
    <w:rsid w:val="00F91138"/>
    <w:rsid w:val="00F92FAD"/>
    <w:rsid w:val="00F94A48"/>
    <w:rsid w:val="00F957ED"/>
    <w:rsid w:val="00F95BCA"/>
    <w:rsid w:val="00F96F6C"/>
    <w:rsid w:val="00F97710"/>
    <w:rsid w:val="00F97C23"/>
    <w:rsid w:val="00F97E86"/>
    <w:rsid w:val="00FA2A3B"/>
    <w:rsid w:val="00FA596A"/>
    <w:rsid w:val="00FA6902"/>
    <w:rsid w:val="00FA7158"/>
    <w:rsid w:val="00FA730B"/>
    <w:rsid w:val="00FA736A"/>
    <w:rsid w:val="00FA77E2"/>
    <w:rsid w:val="00FB1952"/>
    <w:rsid w:val="00FB1DD2"/>
    <w:rsid w:val="00FB20E2"/>
    <w:rsid w:val="00FB2150"/>
    <w:rsid w:val="00FB2802"/>
    <w:rsid w:val="00FB6E55"/>
    <w:rsid w:val="00FB7C8D"/>
    <w:rsid w:val="00FC03AA"/>
    <w:rsid w:val="00FC304B"/>
    <w:rsid w:val="00FC4569"/>
    <w:rsid w:val="00FC5C6B"/>
    <w:rsid w:val="00FC75C8"/>
    <w:rsid w:val="00FC7E7C"/>
    <w:rsid w:val="00FD28BD"/>
    <w:rsid w:val="00FD32D3"/>
    <w:rsid w:val="00FD386D"/>
    <w:rsid w:val="00FD3FEE"/>
    <w:rsid w:val="00FD417A"/>
    <w:rsid w:val="00FE1462"/>
    <w:rsid w:val="00FE1CCC"/>
    <w:rsid w:val="00FE5B26"/>
    <w:rsid w:val="00FF0027"/>
    <w:rsid w:val="00FF11B7"/>
    <w:rsid w:val="00FF25A6"/>
    <w:rsid w:val="00FF3F8A"/>
    <w:rsid w:val="00FF4D7F"/>
    <w:rsid w:val="00FF4F1B"/>
    <w:rsid w:val="026D765A"/>
    <w:rsid w:val="02BDE2F2"/>
    <w:rsid w:val="03D5CD18"/>
    <w:rsid w:val="0A7692D7"/>
    <w:rsid w:val="0AF373D3"/>
    <w:rsid w:val="0E6939BD"/>
    <w:rsid w:val="1531872A"/>
    <w:rsid w:val="1D7C04C1"/>
    <w:rsid w:val="1F346B41"/>
    <w:rsid w:val="2287EA93"/>
    <w:rsid w:val="2DB9BAE6"/>
    <w:rsid w:val="3301165B"/>
    <w:rsid w:val="3FC00564"/>
    <w:rsid w:val="47AFFE87"/>
    <w:rsid w:val="516CD7CD"/>
    <w:rsid w:val="562EDA45"/>
    <w:rsid w:val="58A5AEB8"/>
    <w:rsid w:val="5F6D5230"/>
    <w:rsid w:val="675DEC71"/>
    <w:rsid w:val="6BFB3087"/>
    <w:rsid w:val="7071E8DF"/>
    <w:rsid w:val="778A3B1B"/>
    <w:rsid w:val="77E620C3"/>
    <w:rsid w:val="783F3D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E6C8A"/>
  <w15:chartTrackingRefBased/>
  <w15:docId w15:val="{FB292853-82F1-486B-B7E2-ED560D93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048"/>
    <w:pPr>
      <w:spacing w:before="100" w:beforeAutospacing="1" w:after="100" w:afterAutospacing="1" w:line="240" w:lineRule="auto"/>
    </w:pPr>
    <w:rPr>
      <w:rFonts w:ascii="Arial" w:hAnsi="Arial"/>
      <w:kern w:val="0"/>
      <w:sz w:val="18"/>
      <w:lang w:val="en-GB"/>
      <w14:ligatures w14:val="none"/>
    </w:rPr>
  </w:style>
  <w:style w:type="paragraph" w:styleId="Heading1">
    <w:name w:val="heading 1"/>
    <w:basedOn w:val="Normal"/>
    <w:next w:val="Normal"/>
    <w:link w:val="Heading1Char"/>
    <w:uiPriority w:val="9"/>
    <w:qFormat/>
    <w:rsid w:val="00046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6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46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46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A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6A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46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46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A6B"/>
    <w:rPr>
      <w:rFonts w:eastAsiaTheme="majorEastAsia" w:cstheme="majorBidi"/>
      <w:color w:val="272727" w:themeColor="text1" w:themeTint="D8"/>
    </w:rPr>
  </w:style>
  <w:style w:type="paragraph" w:styleId="Title">
    <w:name w:val="Title"/>
    <w:basedOn w:val="Normal"/>
    <w:next w:val="Normal"/>
    <w:link w:val="TitleChar"/>
    <w:uiPriority w:val="10"/>
    <w:qFormat/>
    <w:rsid w:val="00046A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A6B"/>
    <w:rPr>
      <w:rFonts w:asciiTheme="majorHAnsi" w:eastAsiaTheme="majorEastAsia" w:hAnsiTheme="majorHAnsi" w:cstheme="majorBidi"/>
      <w:spacing w:val="-10"/>
      <w:kern w:val="28"/>
      <w:sz w:val="56"/>
      <w:szCs w:val="56"/>
      <w:lang w:val="en-GB"/>
      <w14:ligatures w14:val="none"/>
    </w:rPr>
  </w:style>
  <w:style w:type="paragraph" w:styleId="Subtitle">
    <w:name w:val="Subtitle"/>
    <w:basedOn w:val="Normal"/>
    <w:next w:val="Normal"/>
    <w:link w:val="SubtitleChar"/>
    <w:uiPriority w:val="11"/>
    <w:qFormat/>
    <w:rsid w:val="00046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A6B"/>
    <w:pPr>
      <w:spacing w:before="160"/>
      <w:jc w:val="center"/>
    </w:pPr>
    <w:rPr>
      <w:i/>
      <w:iCs/>
      <w:color w:val="404040" w:themeColor="text1" w:themeTint="BF"/>
    </w:rPr>
  </w:style>
  <w:style w:type="character" w:customStyle="1" w:styleId="QuoteChar">
    <w:name w:val="Quote Char"/>
    <w:basedOn w:val="DefaultParagraphFont"/>
    <w:link w:val="Quote"/>
    <w:uiPriority w:val="29"/>
    <w:rsid w:val="00046A6B"/>
    <w:rPr>
      <w:i/>
      <w:iCs/>
      <w:color w:val="404040" w:themeColor="text1" w:themeTint="BF"/>
    </w:rPr>
  </w:style>
  <w:style w:type="paragraph" w:styleId="ListParagraph">
    <w:name w:val="List Paragraph"/>
    <w:basedOn w:val="Normal"/>
    <w:uiPriority w:val="34"/>
    <w:qFormat/>
    <w:rsid w:val="00046A6B"/>
    <w:pPr>
      <w:ind w:left="720"/>
      <w:contextualSpacing/>
    </w:pPr>
  </w:style>
  <w:style w:type="character" w:styleId="IntenseEmphasis">
    <w:name w:val="Intense Emphasis"/>
    <w:basedOn w:val="DefaultParagraphFont"/>
    <w:uiPriority w:val="21"/>
    <w:qFormat/>
    <w:rsid w:val="00046A6B"/>
    <w:rPr>
      <w:i/>
      <w:iCs/>
      <w:color w:val="0F4761" w:themeColor="accent1" w:themeShade="BF"/>
    </w:rPr>
  </w:style>
  <w:style w:type="paragraph" w:styleId="IntenseQuote">
    <w:name w:val="Intense Quote"/>
    <w:basedOn w:val="Normal"/>
    <w:next w:val="Normal"/>
    <w:link w:val="IntenseQuoteChar"/>
    <w:uiPriority w:val="30"/>
    <w:qFormat/>
    <w:rsid w:val="00046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A6B"/>
    <w:rPr>
      <w:i/>
      <w:iCs/>
      <w:color w:val="0F4761" w:themeColor="accent1" w:themeShade="BF"/>
    </w:rPr>
  </w:style>
  <w:style w:type="character" w:styleId="IntenseReference">
    <w:name w:val="Intense Reference"/>
    <w:basedOn w:val="DefaultParagraphFont"/>
    <w:uiPriority w:val="32"/>
    <w:qFormat/>
    <w:rsid w:val="00046A6B"/>
    <w:rPr>
      <w:b/>
      <w:bCs/>
      <w:smallCaps/>
      <w:color w:val="0F4761" w:themeColor="accent1" w:themeShade="BF"/>
      <w:spacing w:val="5"/>
    </w:rPr>
  </w:style>
  <w:style w:type="character" w:styleId="Hyperlink">
    <w:name w:val="Hyperlink"/>
    <w:basedOn w:val="DefaultParagraphFont"/>
    <w:uiPriority w:val="99"/>
    <w:unhideWhenUsed/>
    <w:rsid w:val="00046A6B"/>
    <w:rPr>
      <w:color w:val="467886" w:themeColor="hyperlink"/>
      <w:u w:val="single"/>
    </w:rPr>
  </w:style>
  <w:style w:type="paragraph" w:styleId="NormalWeb">
    <w:name w:val="Normal (Web)"/>
    <w:basedOn w:val="Normal"/>
    <w:uiPriority w:val="99"/>
    <w:semiHidden/>
    <w:unhideWhenUsed/>
    <w:rsid w:val="00046A6B"/>
    <w:rPr>
      <w:rFonts w:ascii="Calibri" w:hAnsi="Calibri" w:cs="Calibri"/>
      <w:sz w:val="22"/>
      <w:lang w:val="sv-SE" w:eastAsia="sv-SE"/>
    </w:rPr>
  </w:style>
  <w:style w:type="paragraph" w:customStyle="1" w:styleId="FWBL2">
    <w:name w:val="FWB_L2"/>
    <w:basedOn w:val="FWBL1"/>
    <w:link w:val="FWBL2CharChar1"/>
    <w:uiPriority w:val="99"/>
    <w:rsid w:val="00046A6B"/>
    <w:pPr>
      <w:keepNext w:val="0"/>
      <w:keepLines w:val="0"/>
      <w:numPr>
        <w:ilvl w:val="1"/>
      </w:numPr>
      <w:tabs>
        <w:tab w:val="num" w:pos="720"/>
      </w:tabs>
      <w:ind w:left="0"/>
      <w:jc w:val="both"/>
      <w:outlineLvl w:val="9"/>
    </w:pPr>
    <w:rPr>
      <w:b w:val="0"/>
      <w:smallCaps w:val="0"/>
    </w:rPr>
  </w:style>
  <w:style w:type="paragraph" w:customStyle="1" w:styleId="FWBL1">
    <w:name w:val="FWB_L1"/>
    <w:basedOn w:val="Normal"/>
    <w:next w:val="FWBL2"/>
    <w:uiPriority w:val="99"/>
    <w:rsid w:val="00046A6B"/>
    <w:pPr>
      <w:keepNext/>
      <w:keepLines/>
      <w:numPr>
        <w:numId w:val="1"/>
      </w:numPr>
      <w:spacing w:before="0" w:beforeAutospacing="0" w:after="240" w:afterAutospacing="0"/>
      <w:outlineLvl w:val="0"/>
    </w:pPr>
    <w:rPr>
      <w:rFonts w:ascii="Times New Roman" w:eastAsia="Times New Roman" w:hAnsi="Times New Roman" w:cs="Times New Roman"/>
      <w:b/>
      <w:smallCaps/>
      <w:sz w:val="24"/>
      <w:szCs w:val="20"/>
      <w:lang w:val="sv-SE"/>
    </w:rPr>
  </w:style>
  <w:style w:type="character" w:customStyle="1" w:styleId="FWBL2CharChar1">
    <w:name w:val="FWB_L2 Char Char1"/>
    <w:link w:val="FWBL2"/>
    <w:uiPriority w:val="99"/>
    <w:locked/>
    <w:rsid w:val="00046A6B"/>
    <w:rPr>
      <w:rFonts w:ascii="Times New Roman" w:eastAsia="Times New Roman" w:hAnsi="Times New Roman" w:cs="Times New Roman"/>
      <w:kern w:val="0"/>
      <w:sz w:val="24"/>
      <w:szCs w:val="20"/>
      <w:lang w:val="sv-SE"/>
      <w14:ligatures w14:val="none"/>
    </w:rPr>
  </w:style>
  <w:style w:type="paragraph" w:customStyle="1" w:styleId="FWBL3">
    <w:name w:val="FWB_L3"/>
    <w:basedOn w:val="FWBL2"/>
    <w:uiPriority w:val="99"/>
    <w:rsid w:val="00046A6B"/>
    <w:pPr>
      <w:numPr>
        <w:ilvl w:val="2"/>
      </w:numPr>
      <w:tabs>
        <w:tab w:val="clear" w:pos="720"/>
        <w:tab w:val="clear" w:pos="1995"/>
        <w:tab w:val="num" w:pos="360"/>
      </w:tabs>
      <w:ind w:left="1224" w:hanging="504"/>
    </w:pPr>
  </w:style>
  <w:style w:type="paragraph" w:customStyle="1" w:styleId="FWBL4">
    <w:name w:val="FWB_L4"/>
    <w:basedOn w:val="FWBL3"/>
    <w:uiPriority w:val="99"/>
    <w:rsid w:val="00046A6B"/>
    <w:pPr>
      <w:numPr>
        <w:ilvl w:val="3"/>
      </w:numPr>
      <w:tabs>
        <w:tab w:val="clear" w:pos="216"/>
        <w:tab w:val="num" w:pos="360"/>
      </w:tabs>
      <w:ind w:left="1728" w:hanging="648"/>
    </w:pPr>
  </w:style>
  <w:style w:type="paragraph" w:customStyle="1" w:styleId="FWBL5">
    <w:name w:val="FWB_L5"/>
    <w:basedOn w:val="FWBL4"/>
    <w:uiPriority w:val="99"/>
    <w:rsid w:val="00046A6B"/>
    <w:pPr>
      <w:numPr>
        <w:ilvl w:val="4"/>
      </w:numPr>
      <w:tabs>
        <w:tab w:val="clear" w:pos="2160"/>
        <w:tab w:val="num" w:pos="360"/>
      </w:tabs>
      <w:ind w:left="2232" w:hanging="792"/>
    </w:pPr>
  </w:style>
  <w:style w:type="paragraph" w:customStyle="1" w:styleId="FWBL6">
    <w:name w:val="FWB_L6"/>
    <w:basedOn w:val="FWBL5"/>
    <w:uiPriority w:val="99"/>
    <w:rsid w:val="00046A6B"/>
    <w:pPr>
      <w:numPr>
        <w:ilvl w:val="5"/>
      </w:numPr>
      <w:tabs>
        <w:tab w:val="clear" w:pos="2880"/>
        <w:tab w:val="num" w:pos="360"/>
      </w:tabs>
      <w:ind w:left="2736" w:hanging="936"/>
    </w:pPr>
  </w:style>
  <w:style w:type="paragraph" w:customStyle="1" w:styleId="FWBL7">
    <w:name w:val="FWB_L7"/>
    <w:basedOn w:val="FWBL6"/>
    <w:uiPriority w:val="99"/>
    <w:rsid w:val="00046A6B"/>
    <w:pPr>
      <w:numPr>
        <w:ilvl w:val="6"/>
      </w:numPr>
      <w:tabs>
        <w:tab w:val="clear" w:pos="3600"/>
        <w:tab w:val="num" w:pos="360"/>
      </w:tabs>
      <w:ind w:left="3240" w:hanging="1080"/>
    </w:pPr>
  </w:style>
  <w:style w:type="paragraph" w:customStyle="1" w:styleId="FWBL8">
    <w:name w:val="FWB_L8"/>
    <w:basedOn w:val="FWBL7"/>
    <w:uiPriority w:val="99"/>
    <w:rsid w:val="00046A6B"/>
    <w:pPr>
      <w:numPr>
        <w:ilvl w:val="7"/>
      </w:numPr>
      <w:tabs>
        <w:tab w:val="clear" w:pos="4320"/>
        <w:tab w:val="num" w:pos="360"/>
      </w:tabs>
      <w:ind w:left="3744" w:hanging="1224"/>
    </w:pPr>
  </w:style>
  <w:style w:type="character" w:styleId="CommentReference">
    <w:name w:val="annotation reference"/>
    <w:basedOn w:val="DefaultParagraphFont"/>
    <w:uiPriority w:val="99"/>
    <w:semiHidden/>
    <w:unhideWhenUsed/>
    <w:rsid w:val="0030485C"/>
    <w:rPr>
      <w:sz w:val="16"/>
      <w:szCs w:val="16"/>
    </w:rPr>
  </w:style>
  <w:style w:type="paragraph" w:styleId="CommentText">
    <w:name w:val="annotation text"/>
    <w:basedOn w:val="Normal"/>
    <w:link w:val="CommentTextChar"/>
    <w:uiPriority w:val="99"/>
    <w:unhideWhenUsed/>
    <w:rsid w:val="0030485C"/>
    <w:rPr>
      <w:sz w:val="20"/>
      <w:szCs w:val="20"/>
    </w:rPr>
  </w:style>
  <w:style w:type="character" w:customStyle="1" w:styleId="CommentTextChar">
    <w:name w:val="Comment Text Char"/>
    <w:basedOn w:val="DefaultParagraphFont"/>
    <w:link w:val="CommentText"/>
    <w:uiPriority w:val="99"/>
    <w:rsid w:val="0030485C"/>
    <w:rPr>
      <w:rFonts w:ascii="Arial" w:hAnsi="Arial"/>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0485C"/>
    <w:rPr>
      <w:b/>
      <w:bCs/>
    </w:rPr>
  </w:style>
  <w:style w:type="character" w:customStyle="1" w:styleId="CommentSubjectChar">
    <w:name w:val="Comment Subject Char"/>
    <w:basedOn w:val="CommentTextChar"/>
    <w:link w:val="CommentSubject"/>
    <w:uiPriority w:val="99"/>
    <w:semiHidden/>
    <w:rsid w:val="0030485C"/>
    <w:rPr>
      <w:rFonts w:ascii="Arial" w:hAnsi="Arial"/>
      <w:b/>
      <w:bCs/>
      <w:kern w:val="0"/>
      <w:sz w:val="20"/>
      <w:szCs w:val="20"/>
      <w:lang w:val="en-GB"/>
      <w14:ligatures w14:val="none"/>
    </w:rPr>
  </w:style>
  <w:style w:type="paragraph" w:styleId="Revision">
    <w:name w:val="Revision"/>
    <w:hidden/>
    <w:uiPriority w:val="99"/>
    <w:semiHidden/>
    <w:rsid w:val="0030485C"/>
    <w:pPr>
      <w:spacing w:after="0" w:line="240" w:lineRule="auto"/>
    </w:pPr>
    <w:rPr>
      <w:rFonts w:ascii="Arial" w:hAnsi="Arial"/>
      <w:kern w:val="0"/>
      <w:sz w:val="18"/>
      <w:lang w:val="en-GB"/>
      <w14:ligatures w14:val="none"/>
    </w:rPr>
  </w:style>
  <w:style w:type="character" w:styleId="UnresolvedMention">
    <w:name w:val="Unresolved Mention"/>
    <w:basedOn w:val="DefaultParagraphFont"/>
    <w:uiPriority w:val="99"/>
    <w:semiHidden/>
    <w:unhideWhenUsed/>
    <w:rsid w:val="0030485C"/>
    <w:rPr>
      <w:color w:val="605E5C"/>
      <w:shd w:val="clear" w:color="auto" w:fill="E1DFDD"/>
    </w:rPr>
  </w:style>
  <w:style w:type="character" w:customStyle="1" w:styleId="BATHeading3Char">
    <w:name w:val="BAT Heading 3 Char"/>
    <w:basedOn w:val="DefaultParagraphFont"/>
    <w:link w:val="BATHeading3"/>
    <w:locked/>
    <w:rsid w:val="007F20E2"/>
    <w:rPr>
      <w:rFonts w:ascii="Montserrat SemiBold" w:hAnsi="Montserrat SemiBold"/>
      <w:color w:val="156082" w:themeColor="accent1"/>
      <w:szCs w:val="18"/>
    </w:rPr>
  </w:style>
  <w:style w:type="paragraph" w:customStyle="1" w:styleId="BATHeading3">
    <w:name w:val="BAT Heading 3"/>
    <w:basedOn w:val="Normal"/>
    <w:link w:val="BATHeading3Char"/>
    <w:qFormat/>
    <w:rsid w:val="007F20E2"/>
    <w:pPr>
      <w:tabs>
        <w:tab w:val="left" w:pos="425"/>
        <w:tab w:val="left" w:pos="851"/>
      </w:tabs>
      <w:spacing w:before="0" w:beforeAutospacing="0" w:after="160" w:afterAutospacing="0" w:line="256" w:lineRule="auto"/>
      <w:jc w:val="both"/>
    </w:pPr>
    <w:rPr>
      <w:rFonts w:ascii="Montserrat SemiBold" w:hAnsi="Montserrat SemiBold"/>
      <w:color w:val="156082" w:themeColor="accent1"/>
      <w:kern w:val="2"/>
      <w:sz w:val="22"/>
      <w:szCs w:val="18"/>
      <w:lang w:val="en-US"/>
      <w14:ligatures w14:val="standardContextual"/>
    </w:rPr>
  </w:style>
  <w:style w:type="character" w:styleId="Mention">
    <w:name w:val="Mention"/>
    <w:basedOn w:val="DefaultParagraphFont"/>
    <w:uiPriority w:val="99"/>
    <w:unhideWhenUsed/>
    <w:rsid w:val="00D24A14"/>
    <w:rPr>
      <w:color w:val="2B579A"/>
      <w:shd w:val="clear" w:color="auto" w:fill="E1DFDD"/>
    </w:rPr>
  </w:style>
  <w:style w:type="paragraph" w:styleId="FootnoteText">
    <w:name w:val="footnote text"/>
    <w:basedOn w:val="Normal"/>
    <w:link w:val="FootnoteTextChar"/>
    <w:uiPriority w:val="99"/>
    <w:semiHidden/>
    <w:unhideWhenUsed/>
    <w:rsid w:val="008E4FDB"/>
    <w:pPr>
      <w:spacing w:before="0" w:after="0"/>
    </w:pPr>
    <w:rPr>
      <w:sz w:val="20"/>
      <w:szCs w:val="20"/>
    </w:rPr>
  </w:style>
  <w:style w:type="character" w:customStyle="1" w:styleId="FootnoteTextChar">
    <w:name w:val="Footnote Text Char"/>
    <w:basedOn w:val="DefaultParagraphFont"/>
    <w:link w:val="FootnoteText"/>
    <w:uiPriority w:val="99"/>
    <w:semiHidden/>
    <w:rsid w:val="008E4FDB"/>
    <w:rPr>
      <w:rFonts w:ascii="Arial" w:hAnsi="Arial"/>
      <w:kern w:val="0"/>
      <w:sz w:val="20"/>
      <w:szCs w:val="20"/>
      <w:lang w:val="en-GB"/>
      <w14:ligatures w14:val="none"/>
    </w:rPr>
  </w:style>
  <w:style w:type="character" w:styleId="FootnoteReference">
    <w:name w:val="footnote reference"/>
    <w:basedOn w:val="DefaultParagraphFont"/>
    <w:uiPriority w:val="99"/>
    <w:semiHidden/>
    <w:unhideWhenUsed/>
    <w:rsid w:val="008E4FDB"/>
    <w:rPr>
      <w:vertAlign w:val="superscript"/>
    </w:rPr>
  </w:style>
  <w:style w:type="paragraph" w:styleId="Header">
    <w:name w:val="header"/>
    <w:basedOn w:val="Normal"/>
    <w:link w:val="HeaderChar"/>
    <w:uiPriority w:val="99"/>
    <w:unhideWhenUsed/>
    <w:rsid w:val="0065161E"/>
    <w:pPr>
      <w:tabs>
        <w:tab w:val="center" w:pos="4680"/>
        <w:tab w:val="right" w:pos="9360"/>
      </w:tabs>
      <w:spacing w:before="0" w:after="0"/>
    </w:pPr>
  </w:style>
  <w:style w:type="character" w:customStyle="1" w:styleId="HeaderChar">
    <w:name w:val="Header Char"/>
    <w:basedOn w:val="DefaultParagraphFont"/>
    <w:link w:val="Header"/>
    <w:uiPriority w:val="99"/>
    <w:rsid w:val="0065161E"/>
    <w:rPr>
      <w:rFonts w:ascii="Arial" w:hAnsi="Arial"/>
      <w:kern w:val="0"/>
      <w:sz w:val="18"/>
      <w:lang w:val="en-GB"/>
      <w14:ligatures w14:val="none"/>
    </w:rPr>
  </w:style>
  <w:style w:type="paragraph" w:styleId="Footer">
    <w:name w:val="footer"/>
    <w:basedOn w:val="Normal"/>
    <w:link w:val="FooterChar"/>
    <w:uiPriority w:val="99"/>
    <w:unhideWhenUsed/>
    <w:rsid w:val="0065161E"/>
    <w:pPr>
      <w:tabs>
        <w:tab w:val="center" w:pos="4680"/>
        <w:tab w:val="right" w:pos="9360"/>
      </w:tabs>
      <w:spacing w:before="0" w:after="0"/>
    </w:pPr>
  </w:style>
  <w:style w:type="character" w:customStyle="1" w:styleId="FooterChar">
    <w:name w:val="Footer Char"/>
    <w:basedOn w:val="DefaultParagraphFont"/>
    <w:link w:val="Footer"/>
    <w:uiPriority w:val="99"/>
    <w:rsid w:val="0065161E"/>
    <w:rPr>
      <w:rFonts w:ascii="Arial" w:hAnsi="Arial"/>
      <w:kern w:val="0"/>
      <w:sz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3660">
      <w:bodyDiv w:val="1"/>
      <w:marLeft w:val="0"/>
      <w:marRight w:val="0"/>
      <w:marTop w:val="0"/>
      <w:marBottom w:val="0"/>
      <w:divBdr>
        <w:top w:val="none" w:sz="0" w:space="0" w:color="auto"/>
        <w:left w:val="none" w:sz="0" w:space="0" w:color="auto"/>
        <w:bottom w:val="none" w:sz="0" w:space="0" w:color="auto"/>
        <w:right w:val="none" w:sz="0" w:space="0" w:color="auto"/>
      </w:divBdr>
    </w:div>
    <w:div w:id="551042695">
      <w:bodyDiv w:val="1"/>
      <w:marLeft w:val="0"/>
      <w:marRight w:val="0"/>
      <w:marTop w:val="0"/>
      <w:marBottom w:val="0"/>
      <w:divBdr>
        <w:top w:val="none" w:sz="0" w:space="0" w:color="auto"/>
        <w:left w:val="none" w:sz="0" w:space="0" w:color="auto"/>
        <w:bottom w:val="none" w:sz="0" w:space="0" w:color="auto"/>
        <w:right w:val="none" w:sz="0" w:space="0" w:color="auto"/>
      </w:divBdr>
    </w:div>
    <w:div w:id="1256132655">
      <w:bodyDiv w:val="1"/>
      <w:marLeft w:val="0"/>
      <w:marRight w:val="0"/>
      <w:marTop w:val="0"/>
      <w:marBottom w:val="0"/>
      <w:divBdr>
        <w:top w:val="none" w:sz="0" w:space="0" w:color="auto"/>
        <w:left w:val="none" w:sz="0" w:space="0" w:color="auto"/>
        <w:bottom w:val="none" w:sz="0" w:space="0" w:color="auto"/>
        <w:right w:val="none" w:sz="0" w:space="0" w:color="auto"/>
      </w:divBdr>
    </w:div>
    <w:div w:id="1613782507">
      <w:bodyDiv w:val="1"/>
      <w:marLeft w:val="0"/>
      <w:marRight w:val="0"/>
      <w:marTop w:val="0"/>
      <w:marBottom w:val="0"/>
      <w:divBdr>
        <w:top w:val="none" w:sz="0" w:space="0" w:color="auto"/>
        <w:left w:val="none" w:sz="0" w:space="0" w:color="auto"/>
        <w:bottom w:val="none" w:sz="0" w:space="0" w:color="auto"/>
        <w:right w:val="none" w:sz="0" w:space="0" w:color="auto"/>
      </w:divBdr>
    </w:div>
    <w:div w:id="187900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ivm.nl/publicaties/nicotineproducten-zonder-tabak-voor-recreatief-gebruik" TargetMode="External"/><Relationship Id="rId2" Type="http://schemas.openxmlformats.org/officeDocument/2006/relationships/hyperlink" Target="https://cot.food.gov.uk/sites/default/files/2023-04/Publishable%20%20COT%20Oral%20nicotine%20pouches%20-%20final%20v1-0%20Acc%20V.pdf" TargetMode="External"/><Relationship Id="rId1" Type="http://schemas.openxmlformats.org/officeDocument/2006/relationships/hyperlink" Target="https://www.bfr.bund.de/cm/349/health-risk-assessment-of-nicotine-pouches.pdf" TargetMode="External"/><Relationship Id="rId5" Type="http://schemas.openxmlformats.org/officeDocument/2006/relationships/hyperlink" Target="https://vizhub.healthdata.org/gbd-compare/" TargetMode="External"/><Relationship Id="rId4" Type="http://schemas.openxmlformats.org/officeDocument/2006/relationships/hyperlink" Target="https://www.sis.se/en/produkter/agriculture/tobacco-tobacco-products-and-related-equipment/sists-72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D17561885014498CDD94894BF3948" ma:contentTypeVersion="15" ma:contentTypeDescription="Create a new document." ma:contentTypeScope="" ma:versionID="66f7cdbf034b8c764a2153cc97f6fc95">
  <xsd:schema xmlns:xsd="http://www.w3.org/2001/XMLSchema" xmlns:xs="http://www.w3.org/2001/XMLSchema" xmlns:p="http://schemas.microsoft.com/office/2006/metadata/properties" xmlns:ns2="1a108f4e-c297-4235-86f7-5984d4569d02" xmlns:ns3="a6a3c2f0-8e04-4728-a282-4f6d649480ce" targetNamespace="http://schemas.microsoft.com/office/2006/metadata/properties" ma:root="true" ma:fieldsID="63a2a71c4a4dd5d1a5d947223c7e5558" ns2:_="" ns3:_="">
    <xsd:import namespace="1a108f4e-c297-4235-86f7-5984d4569d02"/>
    <xsd:import namespace="a6a3c2f0-8e04-4728-a282-4f6d649480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08f4e-c297-4235-86f7-5984d4569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3dfe741-475c-44cf-bcd4-46bfd3fd06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3c2f0-8e04-4728-a282-4f6d649480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68056ee-24b0-4fee-abf5-cf35ddd2ff57}" ma:internalName="TaxCatchAll" ma:showField="CatchAllData" ma:web="a6a3c2f0-8e04-4728-a282-4f6d649480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a3c2f0-8e04-4728-a282-4f6d649480ce" xsi:nil="true"/>
    <lcf76f155ced4ddcb4097134ff3c332f xmlns="1a108f4e-c297-4235-86f7-5984d4569d0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9D5AE-EE0E-48AA-A4D9-7F5573A40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08f4e-c297-4235-86f7-5984d4569d02"/>
    <ds:schemaRef ds:uri="a6a3c2f0-8e04-4728-a282-4f6d64948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032E7-DC45-431D-85ED-7D5B45661CDC}">
  <ds:schemaRefs>
    <ds:schemaRef ds:uri="http://schemas.microsoft.com/office/2006/metadata/properties"/>
    <ds:schemaRef ds:uri="http://schemas.microsoft.com/office/infopath/2007/PartnerControls"/>
    <ds:schemaRef ds:uri="a6a3c2f0-8e04-4728-a282-4f6d649480ce"/>
    <ds:schemaRef ds:uri="1a108f4e-c297-4235-86f7-5984d4569d02"/>
  </ds:schemaRefs>
</ds:datastoreItem>
</file>

<file path=customXml/itemProps3.xml><?xml version="1.0" encoding="utf-8"?>
<ds:datastoreItem xmlns:ds="http://schemas.openxmlformats.org/officeDocument/2006/customXml" ds:itemID="{E2BF9936-DE33-43F9-BC69-2C5899A16E13}">
  <ds:schemaRefs>
    <ds:schemaRef ds:uri="http://schemas.openxmlformats.org/officeDocument/2006/bibliography"/>
  </ds:schemaRefs>
</ds:datastoreItem>
</file>

<file path=customXml/itemProps4.xml><?xml version="1.0" encoding="utf-8"?>
<ds:datastoreItem xmlns:ds="http://schemas.openxmlformats.org/officeDocument/2006/customXml" ds:itemID="{54D115A9-88A7-465D-B087-B653185C775C}">
  <ds:schemaRefs>
    <ds:schemaRef ds:uri="http://schemas.microsoft.com/sharepoint/v3/contenttype/forms"/>
  </ds:schemaRefs>
</ds:datastoreItem>
</file>

<file path=docMetadata/LabelInfo.xml><?xml version="1.0" encoding="utf-8"?>
<clbl:labelList xmlns:clbl="http://schemas.microsoft.com/office/2020/mipLabelMetadata">
  <clbl:label id="{b020b37f-db72-473e-ae54-fb16df408069}" enabled="1" method="Standard" siteId="{705d07a3-2eea-4f3b-ab59-65ca29abeb26}"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2579</Words>
  <Characters>14471</Characters>
  <Application>Microsoft Office Word</Application>
  <DocSecurity>4</DocSecurity>
  <Lines>222</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Casinge</dc:creator>
  <cp:keywords/>
  <dc:description/>
  <cp:lastModifiedBy>ANTOSOVA Sarka (GROW)</cp:lastModifiedBy>
  <cp:revision>2</cp:revision>
  <dcterms:created xsi:type="dcterms:W3CDTF">2025-04-23T09:01:00Z</dcterms:created>
  <dcterms:modified xsi:type="dcterms:W3CDTF">2025-04-23T09:01:00Z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fea72e-161c-48c8-8e82-3fc1e9b3162c_Enabled">
    <vt:lpwstr>true</vt:lpwstr>
  </property>
  <property fmtid="{D5CDD505-2E9C-101B-9397-08002B2CF9AE}" pid="3" name="MSIP_Label_e9fea72e-161c-48c8-8e82-3fc1e9b3162c_SetDate">
    <vt:lpwstr>2024-08-23T13:18:02Z</vt:lpwstr>
  </property>
  <property fmtid="{D5CDD505-2E9C-101B-9397-08002B2CF9AE}" pid="4" name="MSIP_Label_e9fea72e-161c-48c8-8e82-3fc1e9b3162c_Method">
    <vt:lpwstr>Standard</vt:lpwstr>
  </property>
  <property fmtid="{D5CDD505-2E9C-101B-9397-08002B2CF9AE}" pid="5" name="MSIP_Label_e9fea72e-161c-48c8-8e82-3fc1e9b3162c_Name">
    <vt:lpwstr>Normal sensitivity label</vt:lpwstr>
  </property>
  <property fmtid="{D5CDD505-2E9C-101B-9397-08002B2CF9AE}" pid="6" name="MSIP_Label_e9fea72e-161c-48c8-8e82-3fc1e9b3162c_SiteId">
    <vt:lpwstr>ff9c7474-421d-4957-8d47-c4b64dec87b5</vt:lpwstr>
  </property>
  <property fmtid="{D5CDD505-2E9C-101B-9397-08002B2CF9AE}" pid="7" name="MSIP_Label_e9fea72e-161c-48c8-8e82-3fc1e9b3162c_ActionId">
    <vt:lpwstr>281a6690-205e-4e7b-b689-bc604224b335</vt:lpwstr>
  </property>
  <property fmtid="{D5CDD505-2E9C-101B-9397-08002B2CF9AE}" pid="8" name="MSIP_Label_e9fea72e-161c-48c8-8e82-3fc1e9b3162c_ContentBits">
    <vt:lpwstr>0</vt:lpwstr>
  </property>
  <property fmtid="{D5CDD505-2E9C-101B-9397-08002B2CF9AE}" pid="9" name="ContentTypeId">
    <vt:lpwstr>0x010100C1AD17561885014498CDD94894BF3948</vt:lpwstr>
  </property>
  <property fmtid="{D5CDD505-2E9C-101B-9397-08002B2CF9AE}" pid="10" name="MediaServiceImageTags">
    <vt:lpwstr/>
  </property>
  <property fmtid="{D5CDD505-2E9C-101B-9397-08002B2CF9AE}" pid="11" name="MSIP_Label_6bd9ddd1-4d20-43f6-abfa-fc3c07406f94_Enabled">
    <vt:lpwstr>true</vt:lpwstr>
  </property>
  <property fmtid="{D5CDD505-2E9C-101B-9397-08002B2CF9AE}" pid="12" name="MSIP_Label_6bd9ddd1-4d20-43f6-abfa-fc3c07406f94_SetDate">
    <vt:lpwstr>2025-04-23T09:01:06Z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063aee40-d4f2-48c8-b14d-570f24cbb915</vt:lpwstr>
  </property>
  <property fmtid="{D5CDD505-2E9C-101B-9397-08002B2CF9AE}" pid="17" name="MSIP_Label_6bd9ddd1-4d20-43f6-abfa-fc3c07406f94_ContentBits">
    <vt:lpwstr>0</vt:lpwstr>
  </property>
</Properties>
</file>