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Ez egy gépi fordítás.</w:t>
      </w:r>
    </w:p>
    <w:p w14:paraId="48A46481" w14:textId="77777777">
      <w:pPr>
        <w:pStyle w:val="P68B1DB1-Title1"/>
        <w:spacing w:before="0"/>
        <w:ind w:left="0"/>
      </w:pPr>
    </w:p>
    <w:p w14:paraId="5DDBFD33" w14:textId="3AD4A40E">
      <w:pPr>
        <w:pStyle w:val="P68B1DB1-Title1"/>
        <w:spacing w:before="0"/>
        <w:ind w:left="0"/>
      </w:pPr>
      <w:r>
        <w:t xml:space="preserve">Az (EU) 2015/1535 irányelvvel kapcsolatos ítélkezési gyakorlat</w:t>
      </w:r>
    </w:p>
    <w:p w14:paraId="5AFCD03C" w14:textId="77777777">
      <w:pPr>
        <w:pStyle w:val="BodyText"/>
      </w:pPr>
    </w:p>
    <w:p w14:paraId="55805DA1" w14:textId="3A3D4AA9">
      <w:pPr>
        <w:pStyle w:val="BodyText"/>
      </w:pPr>
      <w:r>
        <w:t xml:space="preserve">Ez a dokumentum az Európai Unió Bíróságának a műszaki szabályokkal és az információs társadalommal összefüggő szolgáltatásokra vonatkozó szabályokkal kapcsolatos információszolgáltatási eljárást létrehozó (EU) 2015/1535 irányelv hatályával és alkalmazásával kapcsolatos főbb ítéleteit és végzéseit határozza meg. Célja, hogy iránymutatásként szolgáljon a tagállami közigazgatások, az ipar és a polgárok számára.</w:t>
      </w:r>
    </w:p>
    <w:p w14:paraId="4F3E66AE" w14:textId="77777777">
      <w:pPr>
        <w:pStyle w:val="BodyText"/>
        <w:rPr>
          <w:sz w:val="22"/>
          <w:szCs w:val="18"/>
        </w:rPr>
      </w:pPr>
    </w:p>
    <w:p w14:paraId="53D6EBA0" w14:textId="77777777">
      <w:pPr>
        <w:pStyle w:val="BodyText"/>
      </w:pPr>
      <w:r>
        <w:t xml:space="preserve">Mivel ez a dokumentum nem kimerítő jellegű, előfordulhat, hogy egyes vonatkozó határozatokat nem tartalmaz.</w:t>
      </w:r>
    </w:p>
    <w:p w14:paraId="771A43E5" w14:textId="77777777">
      <w:pPr>
        <w:pStyle w:val="BodyText"/>
      </w:pPr>
    </w:p>
    <w:p w14:paraId="45186CE0" w14:textId="45ABA22D">
      <w:pPr>
        <w:pStyle w:val="BodyText"/>
      </w:pPr>
      <w:r>
        <w:t xml:space="preserve">Az ítéletek időrendi sorrendben szerepelnek, és a dokumentum négy részre tagolódik:</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Azok a határozatok, amelyek kivonatait e dokumentum tartalmazza, a műszaki szabályokkal kapcsolatos információszolgáltatási eljárás megállapításáról szóló egymást követő irányelvekre hivatkoznak. Az alábbi egyenértékűségi táblázat a főbb rendelkezéseik folytonosságát szemlélteti</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A főbb rendelkezések egyenértékűségi táblázata </w:t>
      </w:r>
    </w:p>
    <w:p w14:paraId="74F41B86" w14:textId="7258661E">
      <w:pPr>
        <w:pStyle w:val="P68B1DB1-Normal5"/>
        <w:spacing w:after="0" w:line="240" w:lineRule="auto"/>
        <w:jc w:val="center"/>
        <w:rPr>
          <w:bCs/>
        </w:rPr>
      </w:pPr>
      <w:r>
        <w:t xml:space="preserve">Az (EU) 2015/1535, a 98/34/EK és a 83/189/EGK irányelv</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A rendelkezések tartalma</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(EU) 2015/1535 irányelv</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98/34/EK irányelv</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83/189/EGK irányelv</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A „termékek” meghatározása</w:t>
            </w:r>
          </w:p>
        </w:tc>
        <w:tc>
          <w:tcPr>
            <w:tcW w:w="2457" w:type="dxa"/>
          </w:tcPr>
          <w:p w14:paraId="4A418F3D" w14:textId="11CADE6C">
            <w:pPr>
              <w:pStyle w:val="P68B1DB1-Normal7"/>
              <w:spacing w:line="240" w:lineRule="auto"/>
            </w:pPr>
            <w:r>
              <w:t xml:space="preserve">1. cikk (1) bekezdés a) pont</w:t>
            </w:r>
          </w:p>
        </w:tc>
        <w:tc>
          <w:tcPr>
            <w:tcW w:w="2315" w:type="dxa"/>
          </w:tcPr>
          <w:p w14:paraId="5020F0EC" w14:textId="29FBC8B8">
            <w:pPr>
              <w:pStyle w:val="P68B1DB1-Normal7"/>
              <w:spacing w:line="240" w:lineRule="auto"/>
            </w:pPr>
            <w:r>
              <w:t xml:space="preserve">1. cikk (1) bekezdés</w:t>
            </w:r>
          </w:p>
        </w:tc>
        <w:tc>
          <w:tcPr>
            <w:tcW w:w="2315" w:type="dxa"/>
          </w:tcPr>
          <w:p w14:paraId="1AC77ECE" w14:textId="6BC392C6">
            <w:pPr>
              <w:pStyle w:val="P68B1DB1-Normal7"/>
              <w:spacing w:line="240" w:lineRule="auto"/>
            </w:pPr>
            <w:r>
              <w:t xml:space="preserve">1. cikk (7) bekezdés</w:t>
            </w:r>
          </w:p>
        </w:tc>
      </w:tr>
      <w:tr w14:paraId="4F3F95AF" w14:textId="77777777">
        <w:trPr>
          <w:trHeight w:val="599"/>
        </w:trPr>
        <w:tc>
          <w:tcPr>
            <w:tcW w:w="3119" w:type="dxa"/>
          </w:tcPr>
          <w:p w14:paraId="42CDA066" w14:textId="77777777">
            <w:pPr>
              <w:pStyle w:val="P68B1DB1-Normal7"/>
              <w:spacing w:line="240" w:lineRule="auto"/>
            </w:pPr>
            <w:r>
              <w:t xml:space="preserve">A „szolgáltatások” meghatározása</w:t>
            </w:r>
          </w:p>
        </w:tc>
        <w:tc>
          <w:tcPr>
            <w:tcW w:w="2457" w:type="dxa"/>
          </w:tcPr>
          <w:p w14:paraId="658F3867" w14:textId="6E2F4A98">
            <w:pPr>
              <w:pStyle w:val="P68B1DB1-Normal7"/>
              <w:spacing w:line="240" w:lineRule="auto"/>
            </w:pPr>
            <w:r>
              <w:t xml:space="preserve">1. cikk (1) bekezdés b) pont</w:t>
            </w:r>
          </w:p>
        </w:tc>
        <w:tc>
          <w:tcPr>
            <w:tcW w:w="2315" w:type="dxa"/>
          </w:tcPr>
          <w:p w14:paraId="4273AEF8" w14:textId="51C8B937">
            <w:pPr>
              <w:pStyle w:val="P68B1DB1-Normal7"/>
              <w:spacing w:line="240" w:lineRule="auto"/>
            </w:pPr>
            <w:r>
              <w:t xml:space="preserve">1. cikk, (2) bekezdés</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A „műszaki leírás” meghatározása</w:t>
            </w:r>
          </w:p>
        </w:tc>
        <w:tc>
          <w:tcPr>
            <w:tcW w:w="2457" w:type="dxa"/>
          </w:tcPr>
          <w:p w14:paraId="1CD6781C" w14:textId="4816FB95">
            <w:pPr>
              <w:pStyle w:val="P68B1DB1-Normal7"/>
              <w:spacing w:line="240" w:lineRule="auto"/>
            </w:pPr>
            <w:r>
              <w:t xml:space="preserve">1. cikk (1) bekezdés c) pont</w:t>
            </w:r>
          </w:p>
        </w:tc>
        <w:tc>
          <w:tcPr>
            <w:tcW w:w="2315" w:type="dxa"/>
          </w:tcPr>
          <w:p w14:paraId="6ACA8AFC" w14:textId="5CBBFC47">
            <w:pPr>
              <w:pStyle w:val="P68B1DB1-Normal7"/>
              <w:spacing w:line="240" w:lineRule="auto"/>
            </w:pPr>
            <w:r>
              <w:t xml:space="preserve">1. cikk (3) bekezdés</w:t>
            </w:r>
          </w:p>
        </w:tc>
        <w:tc>
          <w:tcPr>
            <w:tcW w:w="2315" w:type="dxa"/>
          </w:tcPr>
          <w:p w14:paraId="7742C3F4" w14:textId="668574B6">
            <w:pPr>
              <w:pStyle w:val="P68B1DB1-Normal7"/>
              <w:spacing w:line="240" w:lineRule="auto"/>
            </w:pPr>
            <w:r>
              <w:t xml:space="preserve">1. cikk (1) bekezdés</w:t>
            </w:r>
          </w:p>
        </w:tc>
      </w:tr>
      <w:tr w14:paraId="39DCA993" w14:textId="77777777">
        <w:trPr>
          <w:trHeight w:val="599"/>
        </w:trPr>
        <w:tc>
          <w:tcPr>
            <w:tcW w:w="3119" w:type="dxa"/>
          </w:tcPr>
          <w:p w14:paraId="412D2403" w14:textId="77777777">
            <w:pPr>
              <w:pStyle w:val="P68B1DB1-Normal7"/>
              <w:spacing w:line="240" w:lineRule="auto"/>
            </w:pPr>
            <w:r>
              <w:t xml:space="preserve">Az „egyéb követelmények” meghatározása</w:t>
            </w:r>
          </w:p>
        </w:tc>
        <w:tc>
          <w:tcPr>
            <w:tcW w:w="2457" w:type="dxa"/>
          </w:tcPr>
          <w:p w14:paraId="7BCB4CC5" w14:textId="4C804DFA">
            <w:pPr>
              <w:pStyle w:val="P68B1DB1-Normal7"/>
              <w:spacing w:line="240" w:lineRule="auto"/>
            </w:pPr>
            <w:r>
              <w:t xml:space="preserve">1. cikk, (1) bekezdés, d) pont</w:t>
            </w:r>
          </w:p>
        </w:tc>
        <w:tc>
          <w:tcPr>
            <w:tcW w:w="2315" w:type="dxa"/>
          </w:tcPr>
          <w:p w14:paraId="414D1EEC" w14:textId="18CAA0FE">
            <w:pPr>
              <w:pStyle w:val="P68B1DB1-Normal7"/>
              <w:spacing w:line="240" w:lineRule="auto"/>
            </w:pPr>
            <w:r>
              <w:t xml:space="preserve">1. cikk (4) bekezdés</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A „szolgáltatásokra vonatkozó szabály” meghatározása</w:t>
            </w:r>
          </w:p>
        </w:tc>
        <w:tc>
          <w:tcPr>
            <w:tcW w:w="2457" w:type="dxa"/>
          </w:tcPr>
          <w:p w14:paraId="136F7BB7" w14:textId="4AA67A90">
            <w:pPr>
              <w:pStyle w:val="P68B1DB1-Normal7"/>
              <w:spacing w:line="240" w:lineRule="auto"/>
            </w:pPr>
            <w:r>
              <w:t xml:space="preserve">1. cikk (1) bekezdés e) pont</w:t>
            </w:r>
          </w:p>
        </w:tc>
        <w:tc>
          <w:tcPr>
            <w:tcW w:w="2315" w:type="dxa"/>
          </w:tcPr>
          <w:p w14:paraId="36E9CD4F" w14:textId="1B75247A">
            <w:pPr>
              <w:pStyle w:val="P68B1DB1-Normal7"/>
              <w:spacing w:line="240" w:lineRule="auto"/>
            </w:pPr>
            <w:r>
              <w:t xml:space="preserve">1. cikk (5) bekezdés</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A „műszaki szabály” fogalma</w:t>
            </w:r>
          </w:p>
        </w:tc>
        <w:tc>
          <w:tcPr>
            <w:tcW w:w="2457" w:type="dxa"/>
          </w:tcPr>
          <w:p w14:paraId="46C85599" w14:textId="1342B29E">
            <w:pPr>
              <w:pStyle w:val="P68B1DB1-Normal7"/>
              <w:spacing w:line="240" w:lineRule="auto"/>
            </w:pPr>
            <w:r>
              <w:t xml:space="preserve">1. cikk (1) bekezdés f) pont</w:t>
            </w:r>
          </w:p>
        </w:tc>
        <w:tc>
          <w:tcPr>
            <w:tcW w:w="2315" w:type="dxa"/>
          </w:tcPr>
          <w:p w14:paraId="0E88B9E2" w14:textId="31F951B8">
            <w:pPr>
              <w:pStyle w:val="P68B1DB1-Normal7"/>
              <w:spacing w:line="240" w:lineRule="auto"/>
            </w:pPr>
            <w:r>
              <w:t xml:space="preserve">1. cikk (11) bekezdés</w:t>
            </w:r>
          </w:p>
        </w:tc>
        <w:tc>
          <w:tcPr>
            <w:tcW w:w="2315" w:type="dxa"/>
          </w:tcPr>
          <w:p w14:paraId="2E4FCAC6" w14:textId="1930FF48">
            <w:pPr>
              <w:pStyle w:val="P68B1DB1-Normal7"/>
              <w:spacing w:line="240" w:lineRule="auto"/>
            </w:pPr>
            <w:r>
              <w:t xml:space="preserve">1. cikk (5) bekezdés</w:t>
            </w:r>
          </w:p>
        </w:tc>
      </w:tr>
      <w:tr w14:paraId="0C829266" w14:textId="77777777">
        <w:trPr>
          <w:trHeight w:val="599"/>
        </w:trPr>
        <w:tc>
          <w:tcPr>
            <w:tcW w:w="3119" w:type="dxa"/>
          </w:tcPr>
          <w:p w14:paraId="2E36B6FC" w14:textId="77777777">
            <w:pPr>
              <w:pStyle w:val="P68B1DB1-Normal7"/>
              <w:spacing w:line="240" w:lineRule="auto"/>
            </w:pPr>
            <w:r>
              <w:t xml:space="preserve">Bejelentési kötelezettség</w:t>
            </w:r>
          </w:p>
        </w:tc>
        <w:tc>
          <w:tcPr>
            <w:tcW w:w="2457" w:type="dxa"/>
          </w:tcPr>
          <w:p w14:paraId="04169FF7" w14:textId="77777777">
            <w:pPr>
              <w:pStyle w:val="P68B1DB1-Normal7"/>
              <w:spacing w:line="240" w:lineRule="auto"/>
            </w:pPr>
            <w:r>
              <w:t xml:space="preserve">5. cikk, (1) bekezdés, első mondat</w:t>
            </w:r>
          </w:p>
        </w:tc>
        <w:tc>
          <w:tcPr>
            <w:tcW w:w="2315" w:type="dxa"/>
          </w:tcPr>
          <w:p w14:paraId="730385F8" w14:textId="77777777">
            <w:pPr>
              <w:pStyle w:val="P68B1DB1-Normal7"/>
              <w:spacing w:line="240" w:lineRule="auto"/>
            </w:pPr>
            <w:r>
              <w:t xml:space="preserve">A 8. cikk (1) bekezdésének első mondata</w:t>
            </w:r>
          </w:p>
        </w:tc>
        <w:tc>
          <w:tcPr>
            <w:tcW w:w="2315" w:type="dxa"/>
          </w:tcPr>
          <w:p w14:paraId="6937609F" w14:textId="5A2377E0">
            <w:pPr>
              <w:pStyle w:val="P68B1DB1-Normal8"/>
              <w:spacing w:line="240" w:lineRule="auto"/>
            </w:pPr>
            <w:r>
              <w:t xml:space="preserve">8. cikk (1) bekezdés</w:t>
            </w:r>
          </w:p>
        </w:tc>
      </w:tr>
      <w:tr w14:paraId="4472DE96" w14:textId="77777777">
        <w:trPr>
          <w:trHeight w:val="599"/>
        </w:trPr>
        <w:tc>
          <w:tcPr>
            <w:tcW w:w="3119" w:type="dxa"/>
          </w:tcPr>
          <w:p w14:paraId="08371658" w14:textId="2AE2569B">
            <w:pPr>
              <w:pStyle w:val="P68B1DB1-Normal7"/>
              <w:spacing w:line="240" w:lineRule="auto"/>
            </w:pPr>
            <w:r>
              <w:t xml:space="preserve">Az alapvető vagy érintett rendelkezések bejelentése</w:t>
            </w:r>
          </w:p>
        </w:tc>
        <w:tc>
          <w:tcPr>
            <w:tcW w:w="2457" w:type="dxa"/>
          </w:tcPr>
          <w:p w14:paraId="4460E5CA" w14:textId="77777777">
            <w:pPr>
              <w:pStyle w:val="P68B1DB1-Normal7"/>
              <w:spacing w:line="240" w:lineRule="auto"/>
            </w:pPr>
            <w:r>
              <w:t xml:space="preserve">5. cikk, (1) bekezdés, második mondat</w:t>
            </w:r>
          </w:p>
        </w:tc>
        <w:tc>
          <w:tcPr>
            <w:tcW w:w="2315" w:type="dxa"/>
          </w:tcPr>
          <w:p w14:paraId="545C5C96" w14:textId="77777777">
            <w:pPr>
              <w:pStyle w:val="P68B1DB1-Normal7"/>
              <w:spacing w:line="240" w:lineRule="auto"/>
            </w:pPr>
            <w:r>
              <w:t xml:space="preserve">A 8. cikk (1) bekezdésének második mondata</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Ismételt bejelentés a szünetelési időszak alatt</w:t>
            </w:r>
          </w:p>
        </w:tc>
        <w:tc>
          <w:tcPr>
            <w:tcW w:w="2457" w:type="dxa"/>
          </w:tcPr>
          <w:p w14:paraId="65494BDB" w14:textId="77777777">
            <w:pPr>
              <w:pStyle w:val="P68B1DB1-Normal7"/>
              <w:spacing w:line="240" w:lineRule="auto"/>
            </w:pPr>
            <w:r>
              <w:t xml:space="preserve">5. cikk, (1) bekezdés, harmadik mondat</w:t>
            </w:r>
          </w:p>
        </w:tc>
        <w:tc>
          <w:tcPr>
            <w:tcW w:w="2315" w:type="dxa"/>
          </w:tcPr>
          <w:p w14:paraId="47F0091E" w14:textId="77777777">
            <w:pPr>
              <w:pStyle w:val="P68B1DB1-Normal7"/>
              <w:spacing w:line="240" w:lineRule="auto"/>
            </w:pPr>
            <w:r>
              <w:t xml:space="preserve">A 8. cikk (1) bekezdésének harmadik mondata</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Várakozási időszak</w:t>
            </w:r>
          </w:p>
        </w:tc>
        <w:tc>
          <w:tcPr>
            <w:tcW w:w="2457" w:type="dxa"/>
          </w:tcPr>
          <w:p w14:paraId="0FDAA36A" w14:textId="77777777">
            <w:pPr>
              <w:pStyle w:val="P68B1DB1-Normal7"/>
              <w:spacing w:line="240" w:lineRule="auto"/>
            </w:pPr>
            <w:r>
              <w:t xml:space="preserve">6. cikk</w:t>
            </w:r>
          </w:p>
        </w:tc>
        <w:tc>
          <w:tcPr>
            <w:tcW w:w="2315" w:type="dxa"/>
          </w:tcPr>
          <w:p w14:paraId="51BBC4E4" w14:textId="77777777">
            <w:pPr>
              <w:pStyle w:val="P68B1DB1-Normal7"/>
              <w:spacing w:line="240" w:lineRule="auto"/>
            </w:pPr>
            <w:r>
              <w:t xml:space="preserve">9. cikk</w:t>
            </w:r>
          </w:p>
        </w:tc>
        <w:tc>
          <w:tcPr>
            <w:tcW w:w="2315" w:type="dxa"/>
          </w:tcPr>
          <w:p w14:paraId="2B7D3F30" w14:textId="77777777">
            <w:pPr>
              <w:pStyle w:val="P68B1DB1-Normal8"/>
              <w:spacing w:line="240" w:lineRule="auto"/>
            </w:pPr>
            <w:r>
              <w:t xml:space="preserve">9. cikk</w:t>
            </w:r>
          </w:p>
        </w:tc>
      </w:tr>
      <w:tr w14:paraId="31FCCE62" w14:textId="77777777">
        <w:trPr>
          <w:trHeight w:val="599"/>
        </w:trPr>
        <w:tc>
          <w:tcPr>
            <w:tcW w:w="3119" w:type="dxa"/>
          </w:tcPr>
          <w:p w14:paraId="067F46A1" w14:textId="77777777">
            <w:pPr>
              <w:pStyle w:val="P68B1DB1-Normal7"/>
              <w:spacing w:line="240" w:lineRule="auto"/>
            </w:pPr>
            <w:r>
              <w:t xml:space="preserve">Kivételek az értesítési és felfüggesztési kötelezettségek alól</w:t>
            </w:r>
          </w:p>
        </w:tc>
        <w:tc>
          <w:tcPr>
            <w:tcW w:w="2457" w:type="dxa"/>
          </w:tcPr>
          <w:p w14:paraId="5BC53094" w14:textId="77777777">
            <w:pPr>
              <w:pStyle w:val="P68B1DB1-Normal7"/>
              <w:spacing w:line="240" w:lineRule="auto"/>
            </w:pPr>
            <w:r>
              <w:t xml:space="preserve">7. cikk</w:t>
            </w:r>
          </w:p>
        </w:tc>
        <w:tc>
          <w:tcPr>
            <w:tcW w:w="2315" w:type="dxa"/>
          </w:tcPr>
          <w:p w14:paraId="36E59068" w14:textId="77777777">
            <w:pPr>
              <w:pStyle w:val="P68B1DB1-Normal7"/>
              <w:spacing w:line="240" w:lineRule="auto"/>
            </w:pPr>
            <w:r>
              <w:t xml:space="preserve">10. cikk</w:t>
            </w:r>
          </w:p>
        </w:tc>
        <w:tc>
          <w:tcPr>
            <w:tcW w:w="2315" w:type="dxa"/>
          </w:tcPr>
          <w:p w14:paraId="1FE1BC2D" w14:textId="77777777">
            <w:pPr>
              <w:pStyle w:val="P68B1DB1-Normal8"/>
              <w:spacing w:line="240" w:lineRule="auto"/>
            </w:pPr>
            <w:r>
              <w:t xml:space="preserve">10. cikk</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Nyilatkozat</w:t>
      </w:r>
    </w:p>
    <w:p w14:paraId="0CB71D4E" w14:textId="7BF1CD8D">
      <w:pPr>
        <w:jc w:val="both"/>
        <w:rPr>
          <w:rFonts w:ascii="Times New Roman" w:hAnsi="Times New Roman" w:cs="Times New Roman"/>
          <w:sz w:val="24"/>
          <w:szCs w:val="24"/>
        </w:rPr>
        <w:pStyle w:val="P68B1DB1-Normal7"/>
      </w:pPr>
      <w:r>
        <w:t xml:space="preserve">Az e dokumentumban foglalt tájékoztatás és iránymutatás célja, hogy hozzájáruljon az (EU) 2015/1535 irányelv értesítési szabályainak jobb megértéséhez.</w:t>
      </w:r>
    </w:p>
    <w:p w14:paraId="67EC004B" w14:textId="434F8650">
      <w:pPr>
        <w:jc w:val="both"/>
        <w:rPr>
          <w:rFonts w:ascii="Times New Roman" w:hAnsi="Times New Roman" w:cs="Times New Roman"/>
          <w:sz w:val="24"/>
          <w:szCs w:val="24"/>
        </w:rPr>
        <w:pStyle w:val="P68B1DB1-Normal7"/>
      </w:pPr>
      <w:r>
        <w:t xml:space="preserve">Ez csupán iránymutatásként szolgál. Csak az irányelv szövege rendelkezik jogi kötőerővel, és alkalmas arra, hogy jogokat és kötelezettségeket teremtsen az egyének és a tagállamok számára. Ez a dokumentum nem keletkeztet érvényesíthető jogot vagy elvárást.</w:t>
      </w:r>
    </w:p>
    <w:p w14:paraId="63D425FC" w14:textId="2836B58B">
      <w:pPr>
        <w:jc w:val="both"/>
        <w:rPr>
          <w:rFonts w:ascii="Times New Roman" w:hAnsi="Times New Roman" w:cs="Times New Roman"/>
          <w:sz w:val="24"/>
          <w:szCs w:val="24"/>
        </w:rPr>
        <w:pStyle w:val="P68B1DB1-Normal7"/>
      </w:pPr>
      <w:r>
        <w:t xml:space="preserve">Az uniós jogszabályok kötelező erejű értelmezése az Európai Unió Bíróságának kizárólagos hatáskörébe tartozik. Az e dokumentumban kifejtett álláspontok nem érintik a Bizottság által a Bíróság előtt esetlegesen képviselendő álláspontot.</w:t>
      </w:r>
    </w:p>
    <w:p w14:paraId="5CC222EA" w14:textId="4A13BEE2">
      <w:pPr>
        <w:jc w:val="both"/>
        <w:rPr>
          <w:rFonts w:ascii="Times New Roman" w:hAnsi="Times New Roman" w:cs="Times New Roman"/>
          <w:sz w:val="24"/>
          <w:szCs w:val="24"/>
        </w:rPr>
        <w:pStyle w:val="P68B1DB1-Normal7"/>
      </w:pPr>
      <w:r>
        <w:t xml:space="preserve">Mivel ez a dokumentum a megszövegezésének idején fennálló ítélkezési gyakorlatot tükrözi, „élő eszköznek” kell tekinteni, amely fejleszthető, és tartalma értesítés nélkül módosítható.</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Műszaki előírásként történő besorolás</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a »műszaki szabály« fogalma az intézkedések négy kategóriáját foglalja magában, nevezetesen először is a 98/34 irányelv 1. cikkének 3. pontja értelmében vett »műszaki leírásokat«, másodszor az ezen irányelv 1. cikkének 4. pontjában meghatározott »egyéb követelményeket«, harmadszor az ezen irányelv 1. cikkének 1. pontjában említett »szolgáltatásokra vonatkozó szabályokat«, és iv. »a tagállamok törvényi, rendeleti vagy közigazgatási rendelkezéseit, amelyek megtiltják valamely termék gyártását, behozatalát, forgalmazását vagy használatát, vagy valamely szolgáltatás nyújtását vagy használatát, illetve valamely szolgáltató létrehozását«.”</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(2016. február 2-i Ince</w:t>
        </w:r>
      </w:hyperlink>
      <w:r>
        <w:t xml:space="preserve"> </w:t>
      </w:r>
      <w:r>
        <w:t xml:space="preserve"> ítélet, C-336/14, EU:C:2016:72, 70. pont)</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A műszaki előírások közös kritériumai </w:t>
      </w:r>
      <w:bookmarkEnd w:id="6"/>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„»Műszaki szabály«: műszaki leírások és egyéb követelmények vagy szolgáltatásokra vonatkozó szabályok, beleértve a vonatkozó közigazgatási rendelkezéseket is, amelyek betartása de jure vagy de facto kötelező a forgalmazás, a szolgáltatásnyújtás, a szolgáltató létrehozása vagy valamely tagállamban vagy annak nagyobb részén történő használat esetén, valamint a tagállamok törvényi, rendeleti vagy közigazgatási rendelkezései, kivéve a 7. cikkben foglaltakat, amelyek megtiltják valamely termék gyártását, behozatalát, forgalmazását vagy használatát, vagy valamely szolgáltatás nyújtását vagy használatát, illetve valamely szolgáltató létrehozását.”</w:t>
      </w:r>
    </w:p>
    <w:p w14:paraId="56CBE257" w14:textId="77777777">
      <w:pPr>
        <w:pStyle w:val="BodyText"/>
      </w:pPr>
    </w:p>
    <w:p w14:paraId="66B70B28" w14:textId="1278CE54">
      <w:pPr>
        <w:pStyle w:val="P68B1DB1-Normal7"/>
        <w:spacing w:after="0" w:line="240" w:lineRule="auto"/>
        <w:jc w:val="right"/>
      </w:pPr>
      <w:r>
        <w:t xml:space="preserve">(az (EU) 2015/1535 irányelv 1. cikke (1) bekezdése f) pontjának első mondata)</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1996. április 30-i CIA</w:t>
        </w:r>
      </w:hyperlink>
      <w:r>
        <w:rPr>
          <w:rFonts w:ascii="Times New Roman" w:hAnsi="Times New Roman" w:cs="Times New Roman" w:eastAsia="Times New Roman"/>
          <w:b/>
          <w:i/>
          <w:szCs w:val="20"/>
        </w:rPr>
        <w:t xml:space="preserve"> Security International SA ítélet, C-194/94, EU:C:1996:172, 29. pont.</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Valamely szabály csak akkor minősíthető „műszaki szabálynak”, ha saját joghatással bír. Nem ez a helyzet a magánszemélyekre nézve joghatással nem bíró kerettörvény esetében.</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E tekintetben fontos megállapítani, hogy egy szabály akkor tekinthető a 83/189 irányelv értelmében műszaki szabálynak, ha annak önálló joghatásai vannak. Ha a belső jog szerint ez a szabály csupán az érdekelt felekre nézve kötelező szabályokat tartalmazó közigazgatási rendelkezések elfogadásának alapjául szolgál, és így önmagában nem fejt ki joghatást a magánszemélyekre nézve, az említett szabály nem minősül az irányelv értelmében vett műszaki szabálynak (lásd a C-317/92. sz., Bizottság kontra Németország ügyben 1994. július 14–én hozott ítélet [EBHT 1994., 1–2039. o.] 26. pontját). E tekintetben emlékeztetni kell arra, hogy a 83/189 irányelv 8. cikke (1) bekezdésének első albekezdése szerint a tagállamoknak a műszakiszabály-tervezettel egyidejűleg közölniük kell azt a felhatalmazó eszközt, amelynek alapján azt elfogadták, amennyiben e szöveg ismerete szükséges a műszakiszabály-tervezet hatásainak értékeléséhez.”</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1997. március 20-i Bic</w:t>
        </w:r>
      </w:hyperlink>
      <w:r>
        <w:rPr>
          <w:rFonts w:ascii="Times New Roman" w:hAnsi="Times New Roman" w:cs="Times New Roman" w:eastAsia="Times New Roman"/>
          <w:b/>
          <w:i/>
          <w:szCs w:val="20"/>
        </w:rPr>
        <w:t xml:space="preserve"> Benelux ítélet, C-13/96, EU:C:1997:173, 19. és 20. pont</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A nemzeti intézkedés elfogadásának indokai nem relevánsak ezen intézkedés „műszaki szabálynak” minősítése szempontjából. Az irányelv célja – megelőző ellenőrzés révén – az áruk szabad mozgásának védelme, amely a Közösség egyik alapja.</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A 83/189 irányelv nem tartalmaz olyan értelmezést, amely az alkalmazását a kizárólag a Szerződés 100a. cikke alapján harmonizálni képes nemzeti intézkedésekre korlátozná. Az irányelv célja – megelőző ellenőrzés révén – az áruk szabad mozgásának védelme, amely a Közösség egyik alapja. Ez az ellenőrzés azért szükséges, mert az irányelv hatálya alá tartozó műszaki szabályok közvetlenül vagy közvetve, ténylegesen vagy potenciálisan akadályozhatják a Közösségen belüli árukereskedelmet. Ilyen akadályok akkor is eredhetnek a nemzeti műszaki szabályok elfogadásából, ha azok nem ismétlik meg a származási tagállamban elhelyezett jelöléseket, függetlenül attól, hogy azokat milyen alapon fogadták el.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Következésképpen az a tény, hogy valamely nemzeti intézkedést a környezet védelme érdekében fogadtak el, vagy hogy az nem alkalmaz olyan műszaki szabványt, amely önmagában akadályozhatja a szabad mozgást, nem jelenti azt, hogy a szóban forgó intézkedés nem minősülhet a 83/189 irányelv értelmében vett műszaki szabálynak.”</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2000. november 16-i Donkersteeg</w:t>
        </w:r>
      </w:hyperlink>
      <w:r>
        <w:rPr>
          <w:rFonts w:ascii="Times New Roman" w:hAnsi="Times New Roman" w:cs="Times New Roman" w:eastAsia="Times New Roman"/>
          <w:b/>
          <w:i/>
          <w:szCs w:val="20"/>
        </w:rPr>
        <w:t xml:space="preserve"> ítélet, C-37/99, EU:C:2000:636, 30–34. pont.</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Az állatok vakcinázására vonatkozó részletes szabályok „technikai előírásnak” minősülnek. Ez azonban csak akkor minősül közlést igénylő „műszaki szabálynak”, ha annak betartása de jure vagy de facto kötelező. Nem ez a helyzet akkor, ha a szabály megsértése esetén az érintett termékek forgalmazását vagy felhasználását nem korlátozzák.</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az irányelv 1. cikkének (1) bekezdése értelmében a mezőgazdasági termékeket illetően a „műszaki leírás” olyan dokumentum részét képezi, amely meghatározza a termék előírt jellemzőit, illetve előállítási módszereit és eljárásait.</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A VBZA 2. cikkének (1) bekezdésében szereplőhöz hasonló szabály az irányelv 1. cikkének (1) bekezdése értelmében vett műszaki leírásnak minősül. Amint azt a Bizottság helyesen állítja, mivel az Aujeszky-féle betegség elleni vakcinázásra vonatkozó pontos és részletes szabályok az érintett mezőgazdasági termék szigorú értelemben vett előállításához kapcsolódnak, és azokat a teljes termelési ciklus során tiszteletben kell tartani, e szabály e termék előállítása során „eljárást” határoz meg.</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Mindazonáltal ahhoz, hogy az alapügyben szóban forgó szabály az irányelv értelmében vett műszaki szabálynak minősüljön, az irányelv 1. cikke (5) bekezdésének megfelelően olyan műszaki leírást kell tartalmaznia, „amelynek betartása de jure vagy de facto kötelező a valamely tagállamban vagy annak jelentős részében történő forgalmazás vagy használat esetén, kivéve a helyi hatóságok által előírtakat.</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A holland kormányhoz hasonlóan meg kell állapítani, hogy a VBZA 2. cikkének (1) bekezdésében foglalt szabály nem korlátozza sem az érintett termékek forgalmazását, sem felhasználását, ha e szabályt megsértve a sertéseket nem vakcinázták Aujeszky-féle betegség ellen.</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A második kérdésre tehát azt a választ kell adni, hogy az olyan rendelkezés, mint amelyről az alapügyben szó van, amely előírja, hogy minden mezőgazdasági termelőnek be kell oltania a gazdaságában lévő sertéseket az Aujeszky-féle betegség ellen, az irányelv értelmében nem minősül olyan műszaki szabálynak, amelyet elfogadásuk előtt közölni kellett volna a Bizottsággal.”</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2020. december 3-i Star</w:t>
        </w:r>
      </w:hyperlink>
      <w:r>
        <w:rPr>
          <w:rFonts w:ascii="Times New Roman" w:hAnsi="Times New Roman" w:cs="Times New Roman" w:eastAsia="Times New Roman"/>
          <w:b/>
          <w:i/>
          <w:szCs w:val="20"/>
        </w:rPr>
        <w:t xml:space="preserve"> Taxi App ítélet, C-62/19, EU:C:2020:980, 60. és 61. pont.</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Ahhoz, hogy valamely nemzeti intézkedés „műszaki szabálynak” minősüljön, annak de jure vagy de facto kötelezőnek kell lennie az érintett szolgáltatás nyújtására vagy igénybevételére valamely tagállamban vagy annak jelentős részében.</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a 2015/1535 irányelv 1. cikke (1) bekezdése f) pontjának első albekezdéséből kitűnik, hogy a „műszaki szabály” „műszaki leírás és egyéb követelmény vagy szolgáltatásra vonatkozó szabály, beleértve a vonatkozó közigazgatási rendelkezéseket is, amelyek betartása de jure vagy de facto kötelező a forgalmazás, a szolgáltatásnyújtás, a szolgáltató letelepedése vagy valamely tagállamban vagy annak nagyobb részében történő használat esetén, valamint a tagállamok törvényi, rendeleti vagy közigazgatási rendelkezései, kivéve a 7. cikkben foglaltakat, amelyek megtiltják valamely termék gyártását, behozatalát, forgalmazását vagy használatát, vagy valamely szolgáltatás nyújtását vagy használatát, illetve szolgáltatóként való létrehozását”.</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Ebből következik, hogy ahhoz, hogy az információs társadalommal összefüggő szolgáltatást érintő nemzeti szabályozást „műszaki szabálynak” lehessen minősíteni, azt nemcsak a 2015/1535 irányelv 1. cikke (1) bekezdésének e) pontjában meghatározott „szolgáltatásokra vonatkozó szabálynak” kell minősíteni, hanem de jure vagy de facto is kötelezőnek kell lennie többek között a szóban forgó szolgáltatás nyújtása vagy valamely tagállamban vagy annak jelentős részében történő használata esetén.”</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Műszaki</w:t>
      </w:r>
      <w:bookmarkEnd w:id="15"/>
      <w:r>
        <w:t xml:space="preserve"> előírások</w:t>
      </w:r>
      <w:bookmarkEnd w:id="16"/>
      <w:bookmarkEnd w:id="17"/>
    </w:p>
    <w:p w14:paraId="241DC1E1" w14:textId="77777777">
      <w:pPr>
        <w:pStyle w:val="BodyText"/>
      </w:pPr>
    </w:p>
    <w:p w14:paraId="24A39E18" w14:textId="77777777">
      <w:pPr>
        <w:pStyle w:val="P68B1DB1-BodyText11"/>
        <w:ind w:left="567"/>
      </w:pPr>
      <w:r>
        <w:t xml:space="preserve">„»műszaki leírás«: valamely dokumentumban szereplő leírás, amely meghatározza a termék előírt jellemzőit, mint például a minőségi színvonalat, a teljesítményt, a biztonságot vagy a méreteket, beleértve a termékre alkalmazandó követelményeket a termék megnevezésére, a terminológiára, a szimbólumokra, a vizsgálatra és a vizsgálati módszerekre, a csomagolásra, a jelölésre vagy címkézésre, valamint a megfelelőségértékelési eljárásokra vonatkozóan.</w:t>
      </w:r>
    </w:p>
    <w:p w14:paraId="33F4D1E4" w14:textId="77777777">
      <w:pPr>
        <w:pStyle w:val="P68B1DB1-BodyText11"/>
        <w:ind w:left="567"/>
      </w:pPr>
    </w:p>
    <w:p w14:paraId="5224E321" w14:textId="77777777">
      <w:pPr>
        <w:pStyle w:val="P68B1DB1-BodyText11"/>
        <w:ind w:left="567"/>
        <w:rPr>
          <w:iCs/>
        </w:rPr>
      </w:pPr>
      <w:r>
        <w:t xml:space="preserve">A »műszaki leírás« kifejezés magában foglalja az Európai Unió működéséről szóló szerződés (EUMSZ) 38. cikke (1) bekezdésének második albekezdésében említett mezőgazdasági termékek, az emberi és állati fogyasztásra szánt termékek, a 2001/83/EK európai parlamenti és tanácsi irányelv (1) 1. cikkében meghatározott gyógyszerek, valamint az egyéb termékekhez kapcsolódó gyártási módszereket és eljárásokat is, amennyiben ezek hatással vannak azok jellemzőire;”</w:t>
      </w:r>
    </w:p>
    <w:p w14:paraId="6C2A57E1" w14:textId="77777777">
      <w:pPr>
        <w:pStyle w:val="BodyText"/>
        <w:ind w:left="567"/>
        <w:rPr>
          <w:i/>
          <w:iCs/>
        </w:rPr>
      </w:pPr>
    </w:p>
    <w:p w14:paraId="2F7A4C59" w14:textId="62E0EC95">
      <w:pPr>
        <w:pStyle w:val="BodyText"/>
        <w:ind w:left="1440"/>
        <w:jc w:val="right"/>
      </w:pPr>
      <w:r>
        <w:t xml:space="preserve">(Az (EU) 2015/1535 irányelv 1. cikke (1) bekezdésének c) pontja)</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1996. január 11-i Bizottság</w:t>
        </w:r>
      </w:hyperlink>
      <w:r>
        <w:rPr>
          <w:rFonts w:ascii="Times New Roman" w:hAnsi="Times New Roman" w:cs="Times New Roman" w:eastAsia="Times New Roman"/>
          <w:b/>
          <w:i/>
          <w:szCs w:val="20"/>
        </w:rPr>
        <w:t xml:space="preserve"> kontra Hollandia ítélet, C-273/94, EU:C:1996:4, 13. pont.</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Az olyan nemzeti szabály, amely egy adott termék tekintetében egy meglévő műszaki szabálytól való eltérést vezet be, „műszaki szabálynak” minősül, amennyiben alternatív „műszaki leírásokat” ír elő, amelyeknek az eltérésben részesülni kívánó személyeknek meg kell felelniük.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Az ugyanazon termékre vonatkozó, már létező másik műszaki szabálytól eltérő rendeletnek egy meghatározott termékre, például a margarinra történő alkalmazása az irányelv 1. cikkének (5) bekezdése értelmében vett műszaki szabálynak minősül, mivel az 1. cikk (1) bekezdése értelmében vett műszaki leírásokat állapít meg, amelyek betartása de jure vagy de facto kötelező a termék forgalmazása vagy használata során. Ha a margarint nem a Margarine-rendelet rendelkezéseinek megfelelően gyártják, az csak a vitatott rendelet által engedélyezett helyettesítő termékek felhasználásával állítható elő. E helyettesítő termékek használatát nemcsak a vitatott rendeletben előírt feltételek korlátozzák, hanem e termékek jelentik az egyetlen alternatívát a margarine-i rendelet alapján használható termékekhez képest. A vitatott határozatot tehát az irányelvnek megfelelően kellett volna kézbesíteni.”</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1996. április 30-i</w:t>
      </w:r>
      <w:r>
        <w:rPr>
          <w:b/>
          <w:bCs/>
          <w:i/>
          <w:iCs/>
          <w:color w:val="0000FF"/>
          <w:sz w:val="22"/>
          <w:szCs w:val="18"/>
          <w:u w:val="single"/>
        </w:rPr>
        <w:fldChar w:fldCharType="end"/>
        <w:t>CIA</w:t>
      </w:r>
      <w:r>
        <w:t xml:space="preserve"> Security International SA ítélet, C-194/94, EU:C:1996:172, 30. pont.</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Valamely szabályt akkor kell „műszaki szabálynak” minősíteni, ha megköveteli az érintett vállalkozásoktól, hogy a berendezéseik előzetes jóváhagyását kérelmezzék, még akkor is, ha a tervezett közigazgatási szabályokat nem fogadták el.</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valamely szabály akkor minősül a 83/189 irányelv értelmében vett műszaki szabálynak, ha – amint azt a belga kormány a tárgyaláson előadta – megköveteli az érintett vállalkozásoktól, hogy a berendezéseik előzetes jóváhagyását kérelmezzék, még akkor is, ha a tervezett közigazgatási szabályokat nem fogadták el.”</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1996. szeptember 16-i</w:t>
      </w:r>
      <w:r>
        <w:rPr>
          <w:b/>
          <w:bCs/>
          <w:i/>
          <w:iCs/>
          <w:color w:val="0000FF"/>
          <w:sz w:val="24"/>
          <w:szCs w:val="20"/>
          <w:u w:val="single"/>
        </w:rPr>
        <w:fldChar w:fldCharType="end"/>
        <w:t xml:space="preserve">Bizottság kontra Olaszország ítélet, C-279/94, EU:C:1997:396, 34. pont.</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A munkahelyi belélegezhető azbesztszálak koncentrációjára vonatkozó határértékeket meghatározó rendelkezés nem „műszaki előírás”, mivel nem határozza meg a termék előírt jellemzőit.</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Az irányelv 1. cikkének 5. pontja szerint azonban a „műszaki szabály” „műszaki leírás, beleértve a vonatkozó közigazgatási rendelkezéseket is, amelyek betartása valamely tagállamban történő forgalomba hozatal vagy használat esetén de jure vagy de facto kötelező”. Az irányelv 1. cikkének 1. pontja szerint a „műszaki leírás” olyan dokumentumban szereplő leírás, amely meghatározza a termék előírt jellemzőit, mint például a minőség, a teljesítmény és a biztonság szintjét. A 257/92. sz. törvény 3. cikkének (1) bekezdése határértékeket állapít meg a belélegezhető azbesztszálak munkahelyi koncentrációjára vonatkozóan. Mivel ez a rendelkezés nem határozza meg a termék megkövetelt jellemzőjét, főszabály szerint nem tartozik a műszaki leírás fogalma alá, következésképpen nem tekinthető olyan műszaki szabálynak, amelyet az irányelv 8. cikke (1) bekezdésének első albekezdése értelmében be kell jelenteni a Bizottságnak. Bár a belélegezhető azbesztszálak koncentrációjára vonatkozó, a 257/92. sz. törvény 3. cikkében előírt határértékek betartása következményekkel járhat a szóban forgó termék jellemzőire nézve, amint azt az irányelv 1. cikkének 1. pontja előírja, a Bizottság nem bizonyította, hogy ez hogyan fordulhat elő.”</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1996. szeptember 17-i Bizottság</w:t>
        </w:r>
      </w:hyperlink>
      <w:r>
        <w:t xml:space="preserve"> kontra Olaszország ítélet, C-289/94, EU:C:1996:330, 32. pont.</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A puhatestűek tenyésztésére szánt víz minőségét szabályozó rendelet bejelentési kötelezettség alá tartozó „műszaki szabálynak” minősül, mivel közvetlen hatást gyakorol az érintett termékek forgalmazására.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Bár a 256. sz. rendelet az ehető lamelli-kagylóknak szánt vizek minőségének bizonyos szempontjaira vonatkozik, mindazonáltal – amint arra a Bizottság helyesen rámutatott – nagyon szoros összefüggést hoz létre az ilyen termesztésre használt vizek minősége és az emberi fogyasztásra szánt lamellibranch puhatestűek forgalmazása között. Így kizárólag a 256. sz. rendeletben előírt műszaki előírásoknak megfelelő vizeken tenyésztett puhatestűek hozhatók forgalomba. E kötelező előírások betartása tehát közvetlen hatással van a puhatestűek forgalmazására, így a 256. sz. rendeletet a 83/189 irányelv 8. cikke szerinti bejelentési kötelezettség hatálya alá tartozó műszaki szabálynak kell tekinteni.”</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1999. május 11-i Albers</w:t>
        </w:r>
      </w:hyperlink>
      <w:r>
        <w:t xml:space="preserve"> és társai ítélet, C-425/97–427/97/, EU:C:1999:243, 16. és 17. pont.</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Az egyes gyógyszerek szarvasmarhákon történő alkalmazását tiltó szabályok „műszaki leírásnak” minősülnek, mivel meghatározzák a mezőgazdasági termékek előállításának módszereit.</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azok a szabályok, amelyek a jelen ügyhöz hasonlóan annak megakadályozására irányulnak, hogy a tizennégy hetesnél idősebb hízómarháknál szimpathikomimetikus anyagokat alkalmazzanak, a 83/189 irányelv 1. cikkének (1) bekezdése értelmében vett műszaki leírásnak minősülnek.</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Ezek a szabályok meghatározzák az emberi fogyasztásra szánt, az EK-Szerződés 38. cikkének (1) bekezdésében (jelenleg, módosítást követően EK 32. cikk (1) bekezdés) meghatározott mezőgazdasági termékek előállítási módszereit és eljárásait.”</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A Bíróság </w:t>
      </w:r>
      <w:hyperlink r:id="rId19" w:history="1">
        <w:r>
          <w:rPr>
            <w:color w:val="0000FF"/>
            <w:u w:val="single"/>
          </w:rPr>
          <w:t xml:space="preserve">2000. január 22-i ítélete</w:t>
        </w:r>
      </w:hyperlink>
      <w:r>
        <w:t xml:space="preserve">, Canal Satélite Digital, C-390/99, EU:C:2002:34, 45–47. pont.</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Az olyan nemzeti szabály, amely a műholdas televíziós jelek digitális átvitelére és vételére szolgáló berendezések előzetes nyilvántartásba vételét és tanúsítását írja elő azok forgalomba hozatala előtt, „műszaki szabálynak” minősül, mivel meghatározza az érintett termékek jellemzőit.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a Bíróság már megállapította, hogy nem minősülnek a 83/189 irányelv 1. cikkének 9. pontja értelmében vett műszaki szabályoknak azok a nemzeti rendelkezések, amelyek pusztán a vállalkozások alapítására vonatkozó feltételeket állapítanak meg, mint például a tevékenység gyakorlását előzetes engedélyhez kötő rendelkezések. Az e rendelkezés értelmében vett műszaki szabályok a termékek jellemzőit meghatározó előírások, nem pedig a gazdasági szereplőkre vonatkozó előírások (a C-194/94. sz. CIA Security ügyben 1996. március 15–én hozott ítélet [EBHT 1996., I-2201. o.] 25. pontja; A C-278/99. sz. Van der Burg ügyben hozott ítélet (EBHT 2001., I-2015. o.) 20. pontja.</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Mindazonáltal valamely nemzeti rendelkezést akkor kell a 83/189 irányelv 1. cikkének 9. pontja értelmében vett műszaki szabálynak minősíteni, ha arra kötelezi az érintett vállalkozásokat, hogy kérelmezzék berendezéseik előzetes jóváhagyását (a fent hivatkozott CIA Security ügyben hozott ítélet 30. pontja).</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Ebből következik, hogy a 83/189 irányelv 1. cikkének 9. pontja értelmében vett »műszaki szabálynak« minősül az a nemzeti szabály, amely arra kötelezi a feltételes hozzáférésű szolgáltatások üzemeltetőit, hogy a televíziós jelek műholdas digitális közvetítésére és vételére szolgáló berendezéseket, dekódereket vagy rendszereket bevezessék az általuk egy nyilvántartásban forgalmazni kívánt berendezésekbe, dekóderekbe vagy rendszerekbe, és e termékekre vonatkozóan előzetes tanúsítványt szerezzenek be, mielőtt azokat forgalomba hoznák.”</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2000. szeptember 26-i Unilever</w:t>
        </w:r>
      </w:hyperlink>
      <w:r>
        <w:t xml:space="preserve"> Italia ítélet, C-443/98, EU:C:2000:496, 25. és 26. pont.</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Az olívaolaj eredetének címkézésére vonatkozó rendelkezés „műszaki leírásnak” minősül, mivel a termék címkézésére vonatkozó követelmény.</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E tekintetben elegendő emlékeztetni arra, hogy a 83/189 irányelv 1. cikkének (1) bekezdése szerint mind az ipari, mind a mezőgazdasági termékeket „terméknek” tekinti, és hogy ugyanezen cikk (2) bekezdése szerint a 83/189 irányelv „műszaki leírásként” kezel minden olyan leírást, amely valamely termék megkövetelt jellemzőit, köztük a termékre alkalmazandó címkézési követelményeket határozza meg. Az ilyen előírásokat tartalmazó nemzeti szabályozás a 83/189 irányelv értelmében vett műszaki leírásnak minősül, függetlenül attól, hogy azokat milyen alapon fogadták el (lásd ebben az értelemben a C-13/96. sz., Bic Benelux kontra belga állam ügyben 1997. március 17–én hozott ítélet [EBHT 1997., I-1753. o.] 19. pontját).</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Így a megtámadott törvény, amely az olívaolaj származását feltüntető címkézést szabályozza, olyan szabályokat tartalmaz, amelyeket a 83/189 irányelv értelmében vett »műszaki leírásnak« kell minősíteni.”</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2000. október 12-i Snellers</w:t>
        </w:r>
      </w:hyperlink>
      <w:r>
        <w:t xml:space="preserve"> ítélet, C-314/98, EU:C:2000:557, 37–39. pont.</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A „műszaki leírásnak” magára a termékre kell vonatkoznia. Az a rendelet, amely a forgalmi engedély kiállítása céljából meghatározza azon időpont meghatározásának feltételeit, amikor egy gépjárművet első alkalommal engedélyezték a közutakon, nem határozza meg magától a terméktől megkövetelt jellemzőket, és ezért nem minősíthető „műszaki szabálynak”.</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azok a szabályok, amelyek – az alapügyben szereplőkhöz hasonlóan – annak meghatározására irányulnak, hogy a gépjárművet mely időpontban engedélyezték először a közúton, nem minősülnek a 83/189 irányelv értelmében vett műszaki leírásoknak, és ezért nem minősíthetők az ezen irányelv hatálya alá tartozó műszaki szabályoknak.</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A 83/189 irányelv 1. cikkének (1) bekezdése előírja, hogy az olyan termékek tekintetében, mint amelyekről az alapügyben szó van, az ezen irányelv értelmében vett műszaki leírás „a termék megkövetelt jellemzőit meghatározó dokumentumban szereplő leírás”. A 83/189 irányelv szerinti műszaki leírásoknak tehát magára a termékre kell vonatkozniuk; ezt egyébként megerősíti az érintett előírásoknak az ezen irányelv 1. cikkének (1) bekezdésében példaként szereplő nem kimerítő felsorolása is.</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A rendelet számos kritériumot határoz meg azon időpont meghatározására vonatkozóan, amikor egy jármű forgalmi engedély kiállítása céljából a Wegenverkeerswet alkalmazásában először jogosult a közforgalmú út használatára. A rendelet ezért nem határozza meg a terméktől mint olyantól megkövetelt jellemzőket.”</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2000. november 16-i Donkersteeg</w:t>
        </w:r>
      </w:hyperlink>
      <w:r>
        <w:rPr>
          <w:rFonts w:ascii="Times New Roman" w:hAnsi="Times New Roman" w:cs="Times New Roman" w:eastAsia="Times New Roman"/>
          <w:b/>
          <w:i/>
          <w:szCs w:val="20"/>
        </w:rPr>
        <w:t xml:space="preserve"> ítélet, C-37/99, EU:C:2000:636, 30. és 31. pont.</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A mezőgazdasági termékek esetében a „műszaki leírás” az előírt jellemzőket vagy termelési módszereket meghatározó szöveg. Az állatállomány vakcinázására vonatkozó feltételeket meghatározó szabály termelési szabály, és így „műszaki leírás”.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Amint arra a jelen ítélet 20. pontja emlékeztet, az irányelv 1. cikke (1) bekezdésének megfelelően a „műszaki leírás” olyan dokumentum részét képezi, amely meghatározza a termék megkövetelt jellemzőit, illetve előállítási módszereit és eljárásait.</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A VBZA 2. cikkének (1) bekezdésében szereplőhöz hasonló szabály az irányelv 1. cikkének (1) bekezdése értelmében vett műszaki leírásnak minősül. Amint azt a Bizottság helyesen állítja, mivel az Aujeszky-féle betegség elleni vakcinázásra vonatkozó pontos és részletes szabályok az érintett mezőgazdasági termék szigorú értelemben vett előállításához kapcsolódnak, és azokat a teljes termelési ciklus során tiszteletben kell tartani, ez a szabály meghatározza az e termék előállítására vonatkozó »eljárást«.”</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2001. március 8-i Van</w:t>
        </w:r>
      </w:hyperlink>
      <w:r>
        <w:t xml:space="preserve"> der Burg ítélet, C-278/99, EU:C:2001:143, 20. pont.</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Az olyan rendelet, amely csupán tiltja a kereskedelmi reklámot, de nem határozza meg a termék megkövetelt jellemzőit, nem minősül „műszaki leírásnak”, és ezért nem tekinthető „műszaki szabálynak”.</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»TÉTEL«: [...] A 83/189 irányelv 1. cikkének (1) bekezdése értelmében az irányelv alkalmazásában a „műszaki leírás” „olyan dokumentumban szereplő leírás, amely meghatározza a termék megkövetelt jellemzőit”. A 83/189 irányelv értelmében vett műszaki leírásoknak tehát magára a termékre kell vonatkozniuk (lásd a C-314/98. sz., Snellers Auto’s kontra Algemeen Directeur van de Dienst Wegverkeer ügyben 2000. július 13–án hozott ítélet [az EBHT-ban még nem tették közzé] 38. pontját). Az olyan szabályozás azonban, mint a rendelet C.11.1. cikkének (1) bekezdése, amely csupán tiltja a forgalmazást, nem határozza meg a termék megkövetelt jellemzőit.”</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2002. június 6-i Sapod</w:t>
        </w:r>
      </w:hyperlink>
      <w:r>
        <w:t xml:space="preserve"> Audic ítélet, C-159/00, EU:C:2002:343, 30–33. pont</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A csomagolás azonosítására vonatkozó kötelezettséget előíró nemzeti rendelkezés a bejelentendő „műszaki szabálynak” minősül, mivel e csomagolás jelölésére vagy címkézésére vonatkozó kötelezettséget von maga után.</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Következésképpen, mivel úgy tűnik, hogy a 92–377. sz. rendelet 4. cikkének második bekezdésében előírt, a csomagolás azonosítására vonatkozó kötelezettség nem vonja maga után az említett csomagolás jelölésére vagy címkézésére vonatkozó kötelezettséget, úgy tűnik, hogy e kötelezettség nem feltétlenül magára az árura vagy annak csomagolására vonatkozik. Ily módon értelmezve ez a rendelkezés nem tekinthető úgy, mint amely a 83/189 irányelv 1. cikkének (1) bekezdése értelmében a termék megkövetelt jellemzőit határozza meg, és ennélfogva nem tekinthető műszaki leírásnak (lásd különösen a C-278/99. sz. Van der Burg ügyben 2001. március 13–án hozott ítélet [EBHT 2001., I-2015. o.] 20. pontját).</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 Mindazonáltal meg kell jegyezni, hogy az EK 234. cikkben előírt hatáskörmegosztás értelmében a nemzeti bíróságnak kell értelmeznie a nemzeti jogot, a jelen esetben a 92–377. sz. rendelet 4. cikkének második bekezdését.</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Következésképpen a Bíróságnak azt is meg kell vizsgálnia, hogy a kérdést előterjesztő bíróság rendelkezésére álló ténybeli és jogi bizonyítékok összességére tekintettel e bíróság arra a következtetésre jut, hogy a 92–377. sz. rendelet 4. cikkének második bekezdését úgy kell értelmezni, hogy az a gyártókat a csomagolás jelölésére vagy címkézésére kötelezi, anélkül hogy pontosítaná, hogy milyen megjelölést kell elhelyezni.</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Ilyen esetben meg kell állapítani, hogy ez a rendelkezés valójában a 83/189 irányelv értelmében vett műszaki leírásnak minősül, és következésképpen, mivel a kötelezettséget rendelet írja elő a csomagolt termékeknek az ország egész területén történő forgalmazása esetén, e rendelkezés műszaki szabálynak minősül.”</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A Bíróság 2005. szeptember 8-i ítélete, Bizottság kontra Portugália, C</w:t>
        </w:r>
      </w:hyperlink>
      <w:r>
        <w:t xml:space="preserve"> -500/03, EU:C:2005:515, 30. pont.</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A kedvtelési célú vízi járművek maximális hosszát és magasságát meghatározó és a meghajtási teljesítményt korlátozó szabály „műszaki előírás”.</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(Mivel az ítélet csak francia és portugál nyelven áll rendelkezésre, a következő szöveg fordítás.)</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E rendelet 2. cikke (1) bekezdésének szövegéből következik, hogy az a 98/34 irányelv 1. cikkének 3. pontja értelmében vett műszaki előírásokat tartalmaz, amelyek ezen irányelv értelmében műszaki szabályoknak minősülnek. Az e rendeletben foglalt követelmények a maximális hosszúságra és magasságra, valamint a hajózásra használt kedvtelési célú vízi járművek meghajtási teljesítményének korlátozására vonatkoznak. Ezek a technikai korlátozások a portugál közszolgálatban lévő valamennyi közvízlagú lagúnara vonatkoznak, a Douro folyó lagúnáinak kivételével.”</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2007. november 8-i Schwibbert</w:t>
        </w:r>
      </w:hyperlink>
      <w:r>
        <w:t xml:space="preserve"> ítélet, C-20/05, EU:C:2007:652, 35–37. pont.</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Azok a nemzeti rendelkezések, amelyek azt a kötelezettséget vezetik be, hogy a termékeket valamely tagállamban történő forgalmazás céljából megkülönböztető megjelöléssel kell ellátni, „műszaki leírásnak” minősülnek, mivel a termékek jelölésére és címkézésére vonatkozó követelmények.</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Amint azt a Bíróság megállapította, a műszaki leírás fogalma feltételezi, hogy a nemzeti intézkedés magára a termékre vagy annak csomagolására utal, és így meghatározza a termék valamely megkövetelt jellemzőjét (lásd ebben az értelemben a C-278/99. sz. van der Burg-ügyben 2001. március 13–án hozott ítélet [EBHT 2001., I-2015. o.] 20. pontját; A C-390/99. sz. Canal Satélite Digital ügyben hozott ítélet (EBHT 2002., I-607. o.) 45. pontja; valamint a fent hivatkozott Sapod Audic-ügyben hozott ítélet 30. pontja és a fent hivatkozott Lindberg-ügyben hozott ítélet 57. pontja).</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A jelen ügyben meg kell állapítani, hogy – amint arra a főtanácsnok indítványának 46. és 48. pontjában rámutatott – a megkülönböztetésre alkalmas „SIAE” megjelölés, amelynek célja, hogy tájékoztassa a fogyasztókat és a nemzeti hatóságokat a többszörözések jogszerűségéről, a szellemi művet tartalmazó tényleges adathordozón, és így magán a terméken van elhelyezve. Következésképpen nem pontos a Società Italiana degli Autori ed Editori és az olasz kormány azon állítása, miszerint a szóban forgó jelzés kizárólag a szellemi alkotáshoz kapcsolódik.</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Az ilyen megkülönböztető megjelölés a 98/34 irányelv 1. cikkének (3) bekezdése értelmében vett „műszaki leírásnak” minősül, mivel az érintett termékekre alkalmazandó jelölési vagy címkézési követelmények hatálya alá tartozik. Következésképpen, mivel e termékleírás betartása de jure kötelező e termékek forgalmazása tekintetében, a termékleírás az említett irányelv 1. cikkének (11) bekezdése értelmében vett »műszaki szabálynak« minősül (lásd ebben az értelemben a C-13/96. sz. Bic Benelux-ügyben 1997. március 17–én hozott ítélet [EBHT 1997., I-1753. o.] 23. pontját).”</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2011. április 14-i Vlaamse</w:t>
        </w:r>
      </w:hyperlink>
      <w:r>
        <w:t xml:space="preserve"> Dierenartsenvereniging és Janssens ítélet, C-42/10, C-45/10 és C-57/10, EU:C:2011:253, 68–70. pont.</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Az irányelv nem alkalmazandó a kedvtelésből tartott állatok útleveleire, amelyek nem minősíthetők „terméknek”, mivel nem képezhetik kereskedelmi ügyletek tárgyát. A kedvtelésből tartott állatok útlevelére vonatkozó nemzeti rendelkezések ezért nem minősülnek „műszaki leírásnak”, amelyet közölni kell a Bizottsággal.</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a Bíróságnak már volt alkalma emlékeztetni arra, hogy az áruk szabad mozgásának hatálya alá csak azok a termékek tartoznak, amelyek pénzben kifejezhetők, és mint ilyenek kereskedelmi ügyletek tárgyát képezhetik (lásd ebben az értelemben többek között a 7/68. sz., Bizottság kontra Olaszország ügyben 1968. július 11–én hozott ítélet [EBHT 1968., 617., 626. o.] és a C-65/05. sz., Bizottság kontra Görögország ügyben 2006. december 12–én hozott ítélet [EBHT 2006., I-10341. o.] 23–25. pontját).</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Márpedig nem vitás, hogy a kedvtelésből tartott állatok útlevelei, lévén, hogy egyedi azonosítószámmal rendelkeznek, és egy konkrét állatot azonosítanak, mint ilyenek nem képezhetik kereskedelmi ügyletek tárgyát.</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Ezek az útlevelek tehát nem minősíthetők a Bíróság ítélkezési gyakorlata értelmében vett „termékeknek”; a 98/34 irányelv nem alkalmazható rájuk sem. Következésképpen az olyan előírások, mint amelyek az alapügyben szóban forgó belga szabályozásban szerepelnek, nem minősíthetők olyan műszaki leírásnak, amelyet ezen irányelv 8. cikke értelmében előzetesen közölni kell a Bizottsággal, és ennek hiányában azokat a nemzeti bíróságnak nem kell alkalmaznia (lásd ebben az értelemben a C-20/05. sz. Schwibbert-ügyben 2007. szeptember 11–én hozott ítélet [EBHT 2007., I-9447. o.] 33. és 44. pontját, valamint az ott hivatkozott ítélkezési gyakorlatot).”</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2011. június 9-i Intercommunale</w:t>
        </w:r>
      </w:hyperlink>
      <w:r>
        <w:t xml:space="preserve"> Intermosane és Fédération de l’industrie et du gaz ítélet, C-361/10, EU:C:2011:382, 14–18. pont.</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Az elektromos berendezések építésére és a munkavállalók biztonságára vonatkozó minimumkövetelményeket meghatározó nemzeti rendelkezések nem minősülnek „műszaki leírásnak”, mivel általános biztonsági és védelmi célkitűzéseket határoznak meg anélkül, hogy közvetlenül a termékre vagy annak csomagolására vonatkoznának, és anélkül, hogy meghatároznák annak jellemzőit.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meg kell vizsgálni, hogy az alapügyben szóban forgó nemzeti rendelkezések a műszaki szabályok 98/34 irányelv 1. cikkének 11. pontja szerinti első kategóriájába, azaz a „műszaki leírás” fogalmába tartoznak-e.</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Az ítélkezési gyakorlatból következik, hogy ezen, az említett 1. cikk (3) bekezdésében meghatározott fogalom előfeltételezi, hogy a nemzeti intézkedés kifejezetten a termékre vagy annak csomagolására vonatkozik, és ennélfogva meghatározza a termék valamely megkövetelt jellemzőjét (lásd a fent hivatkozott Schwibbert-ügyben hozott ítélet 35. pontját és az ott hivatkozott ítélkezési gyakorlatot).</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Az alapeljárásban szereplő nemzeti rendelkezéseket illetően meg kell állapítani, hogy a bizonyos elektromos létesítmények létrehozására vonatkozó, e rendelkezésekben megfogalmazott minimális előírások célja e létesítmények biztonságosságának az azokat használó munkavállalók védelme érdekében való biztosítása.</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Márpedig meg kell állapítani, hogy e minimális előírások a biztonság és a védelem általános követelményeit és céljait tartalmazzák, anélkül hogy kifejezetten az érintett termékre vagy annak csomagolására vonatkoznának, és ennélfogva nem határozzák meg e termék jellemzőit.</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Következésképpen az alapügyben szóban forgó nemzeti rendelkezések nem tartalmaznak a 98/34 irányelv értelmében vett műszaki előírásokat.”</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2012. július 19-i Fortuna</w:t>
        </w:r>
      </w:hyperlink>
      <w:r>
        <w:t xml:space="preserve"> és társai ítélet, C-213/11, C-214/11 és C-217/11, EU:C:2012:495, 28–30. pont.</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Az alacsony költségű játékautomaták kaszinókon kívüli üzemeltetését korlátozó nemzeti rendelkezések nem minősülnek „műszaki szabálynak”, mivel nem hivatkoznak a játékautomaták jellemzőire vagy csomagolására.</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ahhoz, hogy valamely nemzeti intézkedés a műszaki szabályok 98/34 irányelv 1. cikkének 11. pontjában említett első kategóriájába, azaz a „műszaki leírás” fogalmába tartozzon, ezen intézkedésnek szükségszerűen magára a termékre vagy annak csomagolására kell vonatkoznia, és így meg kell határoznia a termék valamely megkövetelt jellemzőjét (lásd a fent hivatkozott Intercommunale Intermosane és Fédération de l’industrie et du gaz ügyben hozott ítélet 15. pontját).</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Márpedig elegendő annak megállapítása, hogy a szerencsejátékokról szóló törvény átmeneti rendelkezései az alacsony nyeremény elérésére alkalmas játékautomatákhoz kötődő tevékenység végzésére vonatkozó engedélyekről szólnak. Azok nem magukra az alacsony nyeremény elérésére alkalmas játékautomatákra vagy azok csomagolására vonatkoznak, ennélfogva nem határozzák meg azok jellemzőit.</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Következésképpen az alapügyben szóban forgó nemzeti rendelkezések nem tartalmaznak a 98/34 irányelv értelmében vett műszaki előírásokat.”</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2014. július 10-i Ivansson</w:t>
        </w:r>
      </w:hyperlink>
      <w:r>
        <w:rPr>
          <w:b/>
          <w:i/>
        </w:rPr>
        <w:t xml:space="preserve">és társai ítélet</w:t>
      </w:r>
      <w:r>
        <w:rPr>
          <w:sz w:val="25"/>
        </w:rPr>
        <w:t xml:space="preserve">, C-307/13, EU:C:2014:2058, 19–23. pont</w:t>
      </w:r>
      <w:r>
        <w:rPr>
          <w:b/>
          <w:i/>
        </w:rPr>
        <w:t xml:space="preserve"> </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A baromfik kényelmére és a tartási létesítmények minőségére vonatkozó általános célkitűzést megállapító szabály nem „műszaki előírás”, mivel nem határozza meg a termék jellemzőit, és nem elég pontos a termelési módszer meghatározásához.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Meg kell állapítani, hogy az ítélkezési gyakorlatnak megfelelően e fogalom feltételezi, hogy a nemzeti intézkedésnek szükségszerűen magára a termékre vagy annak csomagolására kell vonatkoznia, és így meg kell határoznia a termék valamely megkövetelt jellemzőjét (lásd ebben az értelemben: Fortuna és társai ítélet, EU:C:2012:495, 28. pont).</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Ezenkívül a mezőgazdasági termékeket illetően a Bíróság megállapította, hogy a „műszaki leírás” fogalma azt a leírást jelöli, amely a termék tulajdonságait vagy a termékekre vonatkozó gyártási módszereket és eljárásokat meghatározó dokumentumban szerepel (lásd ebben az értelemben: Donkersteeg-ítélet, C-37/99, EU:C:2000:636, 30. pont).</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Márpedig meg kell állapítani egyrészt, hogy bár az (1988:539) rendelet 9. §–a a tojótyúkokat nevelő létesítmények, vagyis a feljavított ketrecek kényelmére és minőségére vonatkozik, ez a rendelkezés azonban nem határozza meg, amint azt a lengyel kormány megjegyezte, hogy az alapügyben szóban forgó termékeknek milyen tulajdonságokkal kell rendelkezniük.</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Másrészt, még ha feltételezzük is azt, hogy ez a rendelkezés gyártási módszerre vonatkozó rendelkezésnek minősíthető annyiban, amennyiben – az előző pontban említettek szerint – a tojótyúkok feljavított ketrecben való tartására vonatozik, meg kell azonban jegyezni, hogy az említett rendelkezés csupán általános jelleggel említi e létesítményeken belül a fészkek, ülőrudak és porfürdők elhelyezésének követelményét, anélkül azonban, hogy konkrétan meghatározná e tartási mód különböző aspektusait. Az (1988:539) rendelet 9. §–a ugyanis semmiféle megjelölést nem tartalmaz például e létesítmények méretével, számával, hőmérsékletével, fenntartásával, működésével kapcsolatban, a tojótyúkok napfénynek való kitettségére vagy akár az etető- és itatóvályúkra vonatkozóan. Az (1988:539) rendelet 9. §–a semmiféle pontosítást nem tartalmaz, ezért nem tekinthető gyártási módszert vagy eljárást meghatározó rendelkezésnek.</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Egyébiránt meg kell állapítani, hogy annak kimondásával, hogy „az elhelyezési rendszernek olyannak kell lennie, hogy a tyúkok elhullási arányát és viselkedési zavarait alacsony szinten tartsák”, minden más utalás nélkül, az DSF 9. §-ának első bekezdése a tojástermelésre szánt tyúkok jólétével kapcsolatos általános célkitűzéseket fogalmaz meg, anélkül hogy szükségszerűen az érintett termékre utalna, és így anélkül, hogy meghatározná e termék jellemzőit (lásd analógia útján: Intercommunale Intermosane és Fédération de l’Industrie et du gaz ítélet, C-361/10, EU:C:2011:382, 17. pont).</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2016. október 27-i James</w:t>
        </w:r>
      </w:hyperlink>
      <w:r>
        <w:t xml:space="preserve"> Elliott Construction ítélet, C-613/14, EU:C:2016:821, 67. pont.</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Az értékesített termékek minőségére vonatkozó implicit szerződéses feltételeket meghatározó nemzeti rendelkezések nem minősülnek „műszaki leírásnak”, mivel nem határozzák meg az érintett termék jellemzőit.</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A jelen ügyben egyrészt úgy tűnik, hogy az olyan rendelkezések, mint amelyekről az alapügyben szó van, sem önmagukban, sem az ír bíróságok értelmezése szerint nem tartoznak a 98/34 irányelv 1. cikkének (3) bekezdése értelmében vett „műszaki leírás” fogalma alá. Ez a fogalom csak azokra a nemzeti intézkedésekre vonatkozik, amelyek magára a termékre vagy annak csomagolására utalnak, és így meghatározzák a termék valamely megkövetelt jellemzőjét (2014. július 10-i Ivansson és társai ítélet, C 307/13</w:t>
        <w:noBreakHyphen/>
        <w:t xml:space="preserve">, EU:C:2014:2058, 19. pont, valamint az ott hivatkozott ítélkezési gyakorlat). Nyilvánvalóan nem ez a helyzet egy olyan követelmény esetében, amely – a felek eltérő megállapodása hiányában – általában valamennyi termék értékesítésére vonatkozik.”</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2017. február 1-jei</w:t>
        </w:r>
      </w:hyperlink>
      <w:r>
        <w:t xml:space="preserve"> Município de Palmela ítélet, C-144/16, EU:C:2017:76, 30. pont.</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Nem minősül „műszaki leírásnak” az a szabályozás, amely előírja, hogy valamely szabadidős területen információkat kell megjeleníteni e terület maximális befogadóképességére vonatkozóan, mivel nem határozza meg a termék jellemzőit.</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az ilyen rendelkezés nem tartozik a 98/34 irányelv 1. cikkének (3) bekezdése értelmében vett műszaki leírások kategóriájába, mivel nem vitatott, hogy a biztonságra és védelemre vonatkozó követelményeket és általános célkitűzéseket meghatározó rendelkezések, anélkül hogy szükségszerűen az érintett termékre vagy annak csomagolására hivatkoznának, és így e termék jellemzőinek meghatározása nélkül, nem minősülnek műszaki leírásnak (lásd ebben az értelemben: 2011. június 9-i Intercommunale Intermosane és Fédération de l’industrie et du gaz ítélet, C-361/10, EU:C:2011:382, 17. és 18. pont).”</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2018. szeptember 26-i Van</w:t>
        </w:r>
      </w:hyperlink>
      <w:r>
        <w:t xml:space="preserve"> Gennip és társai ítélet, C-137/17, EU:C:2018:771, 38. pont.</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Azok a nemzeti rendelkezések, amelyek a termékek forgalmazását engedélyhez kötik, nem tartoznak a „műszaki leírás” fogalma alá, mivel nem határozzák meg magának a terméknek vagy csomagolásának a jellemzőit.</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Ami először is a „műszaki leírás” fogalmát illeti, emlékeztetni kell arra, hogy e fogalom feltételezi, hogy a nemzeti intézkedés szükségszerűen magára a termékre vagy annak csomagolására utal, és így meghatározza a termék valamely megkövetelt jellemzőjét, mint például a méreteket, a kereskedelmi megnevezést, a címkézést vagy a jelölést (2014. július 10-i Ivansson és társai ítélet, C 307/13</w:t>
        <w:noBreakHyphen/>
        <w:t xml:space="preserve">, EU:C:2014:2058, 19. pont, valamint az ott hivatkozott ítélkezési gyakorlat). Márpedig, amint azt a főtanácsnok az indítványának 74. pontjában megjegyezte, a belga szabályozás nem hivatkozik a termékre vagy a csomagolására, így ez a szabályozás nem határozza meg egy termék valamely előírt tulajdonságát. Következésképpen e szabályozás nem minősül a 98/34 irányelv 1. cikkének 3. pontja értelmében vett »műszaki leírásnak«.”</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2020. május 28-i ECO</w:t>
        </w:r>
      </w:hyperlink>
      <w:r>
        <w:t xml:space="preserve"> -WIND Construction ítélet, C-727/17, EU:C:2020:393, 36. és 37. pont.</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A szélturbinák telepítésének minimális távolságát előíró rendelet nem minősül „műszaki leírásnak”, mivel nem határozza meg a termék jellemzőit.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ami ugyanezen követelmény műszaki szabálynak a „műszaki leírás” kategóriájába való esetleges besorolását illeti, emlékeztetni kell arra, hogy a műszaki leírás feltételezi, hogy az azt előíró nemzeti intézkedés magára a termékre vagy annak csomagolására utal, és így meghatározza az e terméktől megkövetelt jellemzők egyikét (2005. április 21-i Lindberg ítélet, C-267/03, EU:C:2005:246, 57. pont; 2012. július 19-i Fortuna és társai ítélet, C-213/11, C-214/11 és C-217/11, EU:C:2012:495, 28. pont).</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Márpedig a jelen esetben az alapügyben szereplő szabályozás a szélerőművek telepítésének szabályozására korlátozódik, az elhelyezésük tekintetében betartandó minimális távolsági követelményt állapítva meg. Következésképpen az említett szabályozás nem utal magára a termékre, a jelen esetben a szélgenerátorra, és ennélfogva nem határozza meg az e termékre vonatkozóan az (EU) 2015/1535 irányelv 1. cikke (1) bekezdésének c) pontjával összefüggésben értelmezett 1. cikke (1) bekezdésének f) pontja értelmében megkövetelt jellemzők egyikét sem.”</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2020. október 22-i Sportingbet</w:t>
        </w:r>
      </w:hyperlink>
      <w:r>
        <w:t xml:space="preserve"> és Internet Opportunity Entertainment ítélet, C-275/19, EU:C:2020:856, 42. és 43. pont.</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Az olyan nemzeti szabályozás, amely a szerencsejátékok üzemeltetését az állam számára tartja fenn, és csak közjogi társaságoknak ad engedélyt, nem minősül „műszaki leírásnak”, mivel nem határozza meg a termék megkövetelt jellemzőit.</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A 83/189 irányelv 1. cikkének 1. pontja szerint ezen irányelv értelmében „műszaki leírásnak” minősül az olyan dokumentumban szereplő részletes leírás, amely egy termék olyan előírt tulajdonságait határozza meg, mint például a minőségi színvonal, a teljesítmény, a biztonság vagy a méretek, beleértve a termékre alkalmazandó olyan követelményeket is, mint a szóhasználat, a szimbólumok, a vizsgálat és a vizsgálati módszerek, a csomagolás, a jelölés és a címkézés (lásd ebben az értelemben: 2001. március 8-i van der Burg ítélet, C-278/99, EU:C:2001:143, 20. pont).</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Mivel a 422/89. sz. törvényrendelet 3. és 9. cikke a szerencsejátékok szervezésére vonatkozó koncessziós szabályokat, valamint e tevékenység gyakorlásának feltételeit és zónáit határozza meg, nem tűnik úgy, hogy e rendelkezések a 83/189 irányelv 1. cikkének (1) bekezdése értelmében vett termék jellemzőire vonatkoznának, így azok nem minősíthetők az említett irányelv 1. cikkének (5) bekezdése értelmében vett »műszaki szabályoknak«.”</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Egyéb követelmények</w:t>
      </w:r>
      <w:bookmarkEnd w:id="46"/>
      <w:bookmarkEnd w:id="47"/>
    </w:p>
    <w:p w14:paraId="48370E42" w14:textId="77777777">
      <w:pPr>
        <w:pStyle w:val="BodyText"/>
      </w:pPr>
    </w:p>
    <w:p w14:paraId="032AC50F" w14:textId="77777777">
      <w:pPr>
        <w:pStyle w:val="P68B1DB1-BodyText11"/>
        <w:ind w:left="567"/>
        <w:rPr>
          <w:i/>
        </w:rPr>
      </w:pPr>
      <w:r>
        <w:t xml:space="preserve">„»egyéb követelmények«: olyan, a műszaki leírástól eltérő követelmény, amelyet egy termékre különösen a fogyasztók vagy a környezet védelme céljából írnak elő, és amely befolyásolja a termék forgalomba hozatal utáni életciklusát, mint például a felhasználási, újrafeldolgozási, újrafelhasználási vagy ártalmatlanítási feltételek, amennyiben ezek a feltételek jelentősen befolyásolhatják a termék összetételét vagy jellegét, illetve forgalmazását;”</w:t>
      </w:r>
    </w:p>
    <w:p w14:paraId="1AD68414" w14:textId="77777777">
      <w:pPr>
        <w:pStyle w:val="BodyText"/>
        <w:ind w:left="567"/>
        <w:rPr>
          <w:i/>
          <w:iCs/>
        </w:rPr>
      </w:pPr>
    </w:p>
    <w:p w14:paraId="3295AC84" w14:textId="258D2B2D">
      <w:pPr>
        <w:pStyle w:val="BodyText"/>
        <w:ind w:left="1440"/>
        <w:jc w:val="right"/>
      </w:pPr>
      <w:r>
        <w:t xml:space="preserve">(Az (EU) 2015/1535 irányelv 1. cikke (1) bekezdésének d) pontja)</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2005. április 21-i Lindberg</w:t>
        </w:r>
      </w:hyperlink>
      <w:r>
        <w:t xml:space="preserve"> ítélet, C-267/03, EU:C:2005:246, 68–78. pont.</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A bizonyos szerencsejátékokra vonatkozó nemzeti tilalom akkor minősíthető „egyéb követelménynek”, ha befolyásolja a termék összetételét, jellegét vagy forgalmazását. Ha azonban a tilalom nem hagy teret a termék használatának, azt tiltó rendelkezésként kell leírni (lásd e dokumentum I. részének „Tilalomra vonatkozó rendelkezések” e) alrészét).</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meg kell állapítani, hogy úgy tűnik, hogy az olyan nemzeti intézkedés, mint az alapügy tárgyát képező tilalom, kifejezetten a 94/10 irányelv által a 83/189 irányelv hatályának kiterjesztése érdekében beillesztett „egyéb követelmények” fogalmába tartozik, és ezért nem tartozik a műszaki leírások kategóriájába.</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Voltaképpen egy termékkel, közelebbről a játékautomatákkal szemben támasztott követelményről van szó, alapvetően a fogyasztók, közelebbről az érintett játékosok védelmének indokaira tekintettel.</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E körülmények között egy olyan tilalom, mint amelyet a módosított sorsolásos játékokról szóló törvény megfelelő rendelkezései írnak elő, a 83/189 irányelv 1. cikkének 9. pontja értelmében a termék használatára vonatkoznak.</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Ezenkívül az alapügyben előforduló követelmény nem a forgalomba hozataluk miatt kötelező a játékgépekre, hanem a forgalomba hozatal utáni életciklusukra vonatkozik a 83/189 irányelv 1. cikkének 3. pontjában előírt „egyéb követelmények” fogalmának meghatározása értelmében.</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Abból a célból, hogy „egyéb kategóriának” minősülhessen a 83/189 irányelv 1. cikkének 3. pontja értelmében, egy olyan követelménynek, mint amely az alapügyben előforduló játékautomaták használatának megtiltása, a jelen esetben az érintett termék használatára vonatkozó olyan „feltételnek” kell minősülnie, amely jelentős módon befolyásolhatja a termék összetételét, természetét, valamint értékesítését.</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Felmerül azonban a kérdés, hogy az említett tilalmat az érintett termék használatára vonatkozó „feltételnek” kell-e minősíteni, vagy ellenkezőleg, a 83/189 irányelv 1. cikkének 9. pontjában említett műszaki szabály harmadik kategóriájába tartozó nemzeti intézkedésről van szó, amelyet szintén a 94/10 irányelv illesztett az előbbi irányelvbe, azaz amely „a tagállamoknak [...] egy termék használatának megtiltására vonatkozó törvényi rendelkezéseket” tartalmaz.</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Az alapügyben előfordulóhoz hasonló nemzeti intézkedés műszaki szabályainak az egyik vagy a másik kategóriába való tartozása az intézkedés által elrendelt tilalom hatályától függ.</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Ebben a tekintetben lényeges, hogy a műszaki szabályok 83/189 irányelv 1. cikkének 9. pontjában meghatározott harmadik kategóriája az ugyanazon cikk 3. pontjának értelmében vett egyéb követelmények által alkotott második kategóriától eltérően nem tartalmazza azt a feltételt, amely szerint az érintett tilalom az érintett termék összetételének, természetének valamint az értékesítésének jelentős befolyásolására alkalmas.</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A műszaki szabályoknak ez a harmadik kategóriája, amely többek között a használat tilalmára vonatkozik, szükségszerűen olyan intézkedéseket érint, amelyek hatálya egyértelműen túlmegy a termék néhány lehetséges felhasználásának korlátozásán, nem szorítkozik tehát azok használatának egyszerű korlátozására.</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Ahogy azt a főtanácsnok indítványának 70. pontjában megemlítette, a műszaki szabályoknak ez a kategóriája különösen azokat a nemzeti intézkedéseket érinti, amelyek nem tesznek lehetővé az érintett terméktől észszerűen elvárható tisztán másodlagos használattól eltérő használatot. A kérdést előterjesztő bíróságra hárul annak megvizsgálása, hogy ez így van-e az alapügyben előforduló nemzeti rendelkezésben foglalt tilalom esetében.</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Amennyiben e vizsgálatot követően az válik nyilvánvalóvá, hogy az alapügyben ez nincs így, az említett nemzeti rendelkezés „egyéb követelménynek” minősülhet, ennélfogva nem vitatott, hogy egy ilyen, a termék használatára vonatkozó követelmény teljesítése az érintett tagállamban de jure kötelező a 83/189 irányelv 1. cikkének 9. pontja értelmében. Ebben az esetben azonban a kérdést előterjesztő bíróság feladata annak vizsgálata is, hogy a szóban forgó tilalom az 1. cikk (3) bekezdése értelmében jelentősen befolyásolhatja-e a termék összetételét vagy jellegét, illetve forgalmazását.”</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2011. június 9-i Intercommunale</w:t>
        </w:r>
      </w:hyperlink>
      <w:r>
        <w:t xml:space="preserve"> Intermosane és Fédération de l’industrie et du gaz ítélet, C-361/10, EU:C:2011:382, 20. és 21. pont.</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Az elektromos berendezések építésére és a munkavállalók biztonságára vonatkozó minimumkövetelményeket meghatározó nemzeti rendelkezések nem minősíthetők „egyéb követelményeknek”, mivel általános jellegük nem teszi lehetővé az érintett termékek összetételének, jellegének vagy forgalmazásának jelentős befolyásolását.</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»TÉTEL«: Az ítélkezési gyakorlat szerint ahhoz, hogy az említett rendelkezések szerinti minimális előírások a 98/34 irányelv 1. cikke 4. pontjának értelmében vett „egyéb követelményeknek” minősülhessenek, olyan „feltételeket” kell jelenteniük, amelyek jelentős módon befolyásolhatják az érintett termék összetételét, természetét vagy értékesítését (lásd ebben az értelemben a fent hivatkozott Lindberg-ügyben hozott ítélet 72. pontját).</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Figyelembe véve az említett követelmények általános jellegét, azok nem minősülhetnek ilyen feltételeknek, és következésképpen nem minősíthetők az irányelv 1. cikkének (4) bekezdése értelmében vett »egyéb követelményeknek«.”</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2012. július 19-i Fortuna</w:t>
        </w:r>
      </w:hyperlink>
      <w:r>
        <w:t xml:space="preserve"> és társai ítélet, C-213/11, C-214/11 és C-217/11, EU:C:2012:495, 35., 36. és 40. pont.</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A játékautomaták kaszinókon kívüli üzemeltetését korlátozó nemzeti rendelkezések „egyéb követelményeknek” és így „műszaki szabályoknak” minősíthetők, ha jelentősen befolyásolják az érintett termékek jellegét vagy forgalmazását.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a Bíróság kimondta, hogy ahhoz, hogy a szóban forgó nemzeti intézkedések a 98/34 irányelv 1. cikkének 4. pontja értelmében vett „egyéb követelményeknek” minősüljenek, olyan „feltételeknek” kell minősülniük, amelyek jelentősen befolyásolhatják az érintett termék összetételét, jellegét vagy forgalmazását (lásd ebben az értelemben a fent hivatkozott Lindberg-ügyben hozott ítélet 72. pontját, valamint a fent hivatkozott Intercommunale Intermosane és Fédération de l’industrie et du gaz ügyben hozott ítélet 20. pontját).</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Ebben az összefüggésben rá kell mutatni, hogy a szerencsejátékokról szóló törvény átmeneti rendelkezései olyan feltételeket írnak elő, amelyek alkalmasak az alacsony nyeremény elérésére alkalmas játékautomaták értékesítésének befolyásolására. A játékkaszinókon kívüli, alacsony nyeremény elérésére alkalmas játékautomatákkal kapcsolatos tevékenységekre vonatkozó engedélyek kiadásának, meghosszabbításának vagy módosításának tilalma közvetlenül érinti az alacsony nyeremény elérésére alkalmas játékautomaták kereskedelmét.”</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az előterjesztett kérdésekre azt a választ kell adni, hogy a 98/34 irányelv 1. cikkének 11. pontját úgy kell értelmezni, hogy az e rendelkezés értelmében vett „műszaki szabálynak” minősülhetnek az olyan nemzeti rendelkezések, mint a szerencsejátékokról szóló törvény rendelkezései, amelyek azzal a hatással járhatnak, hogy korlátozzák, sőt fokozatosan lehetetlenné teszik a szerencsejátékoknak a játékkaszinókon és játéktermeken kívüli, alacsony nyereményű automatákon történő lebonyolítását, és amelyek tervezetét az irányelv 8. cikke (1) bekezdésének első albekezdése értelmében vett közvetítésnek kell alávetni, amennyiben megállapítást nyer, hogy e rendelkezések olyan feltételeknek minősülnek, amelyek jelentősen befolyásolhatják az érintett termék jellegét vagy forgalmazását, aminek vizsgálata a kérdést előterjesztő bíróság feladata.”</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2014. július 10-i Ivansson</w:t>
        </w:r>
      </w:hyperlink>
      <w:r>
        <w:rPr>
          <w:b/>
          <w:i/>
        </w:rPr>
        <w:t xml:space="preserve">és társai ítélet</w:t>
      </w:r>
      <w:r>
        <w:rPr>
          <w:sz w:val="25"/>
        </w:rPr>
        <w:t xml:space="preserve">, C-307/13, EU:C:2014:2058, 26–28. pont</w:t>
      </w:r>
      <w:r>
        <w:rPr>
          <w:b/>
          <w:i/>
        </w:rPr>
        <w:t xml:space="preserve"> </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A baromfik kényelmére és a tartási létesítmények minőségére vonatkozó általános célkitűzést megállapító szabály nem „egyéb követelmény”, mivel általános jellege valószínűleg nem befolyásolja a végtermék összetételét, jellegét vagy forgalmazását.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a Bíróság már kimondta, hogy ahhoz, hogy a szóban forgó nemzeti intézkedések a 98/34 irányelv 1. cikkének 4. pontja értelmében vett „egyéb követelményeknek” minősüljenek, olyan „feltételeknek” kell minősülniük, amelyek jelentősen befolyásolhatják az érintett termék összetételét vagy jellegét, illetve forgalmazását (lásd: Fortuna és társai ítélet, EU:C:2012:495, 35. pont, valamint az ott hivatkozott ítélkezési gyakorlat).</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A Bíróság továbbá kimondta, hogy amennyiben a nemzeti intézkedésekben szereplő előírások általános jellegűek, nem jelenthetnek ilyen feltételeket, következésképpen nem minősülhetnek az említett 1. cikk 4. pontja értelmében vett „egyéb követelményeknek” sem (lásd ebben az értelemben: Intercommunale Intermosane és Fédération de l’industrie et du gaz ítélet, EU:C:2011:382, 21. pont).</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Az DSF 9. §-ának a jelen ítélet 22. és 23. pontjában felidézett igen általános megfogalmazása tehát kizárja, hogy e rendelkezést az érintett termékek összetételére vagy jellegére, illetve forgalomba hozatalára vonatkozó feltételeknek lehessen tekinteni.”</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2015. június 11-i Berlington</w:t>
        </w:r>
      </w:hyperlink>
      <w:r>
        <w:t xml:space="preserve"> Hungary és társai ítélet, C-98/14, EU:C:2015:386, 98. és 99. pont.</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A pénznyerő automaták kaszinókon kívüli üzemeltetését tiltó nemzeti rendelkezések „egyéb követelményeknek” minősülnek, mivel jelentősen befolyásolhatják az ilyen gépek jellegét vagy forgalmazását.</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a Bíróság már kimondta, hogy az olyan nemzeti intézkedés, amely bizonyos szerencsejátékok szervezését a kaszinókra korlátozza, csak akkor minősül az irányelv 1. cikkének 11. pontja értelmében vett „műszaki szabálynak”, amennyiben jelentősen befolyásolhatja az ebben az összefüggésben felhasznált termékek jellegét vagy forgalmazását (lásd ebben az értelemben: Bizottság kontra Görögország ítélet, C-65/05, EU:C:2006:673, 61. pont; Fortuna és társai ítélet, C-213/11, C-214/11 és C-217/11, EU:C:2012:495, 24. és 40. pont).</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Mindazonáltal a pénznyerő automaták kaszinókon kívüli üzemeltetésének tilalma, mint amelyet a 2012. évi módosító törvény vezetett be, jelentősen befolyásolhatja e gépek jellegét vagy forgalmazását, amelyek olyan áruknak minősülnek, amelyek az EUMSZ 34. cikk hatálya alá tartozhatnak (lásd: Läärä és társai ítélet, C-124/97, EU:C:1999:435, 20. és 24. pont), csökkentve azon értékesítési lehetőségeket, amelyekben azokat használni lehet.”</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2016. október 13-i Naczelnik</w:t>
        </w:r>
      </w:hyperlink>
      <w:r>
        <w:t xml:space="preserve"> Urzędu Celnego I w Ł. ítélet, C-303/15, EU:C:2016:771, 25–30. pont.</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Az a rendelkezés, amely a szerencsejáték-tevékenységek gyakorlását kaszinóüzemeltetési engedélyhez köti, nem minősül „egyéb követelménynek”. Ugyanis, bár a szerencsejátékok szervezését a kaszinókra korlátozó rendelkezések jelentősen befolyásolhatják a kapcsolódó termékek forgalmazását azáltal, hogy csökkentik azok értékesítési csatornáit, a vállalkozások alapításának feltételeire vonatkozó szabályok valószínűleg nem gyakorolnak jelentős hatást a felhasznált termékek jellegére vagy forgalmazására.</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Végül annak meghatározása érdekében, hogy a szerencsejátékokról szóló törvény 6. cikkének (1) bekezdése a 98/34 irányelv 1. cikke (4) bekezdésének vagy ezen irányelv 1. cikke 11. pontjának hatálya alá tartozik-e, meg kell vizsgálni, hogy az ilyen rendelkezés az érintett termék használatára vonatkozó „feltételként” jelentősen befolyásolhatja-e az érintett termék, a jelen esetben a játékautomaták összetételét, jellegét vagy forgalmazását, vagy az ezen irányelv 1. cikkének (11) bekezdésében említett tilalmak kategóriájába tartozó nemzeti intézkedésről van-e szó.</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E tekintetben emlékeztetni kell, hogy a szerencsejátékokról szóló törvény 14. cikkének (1) bekezdése a rulettjátékok, kártyajátékok, kockajátékok és játékautomatákkal játszható játékok szervezését a játékkaszinókra korlátozza. Ezt a rendelkezést „műszaki szabályként” közölték a Bizottsággal, arra tekintettel, hogy a Bíróság korábban már kimondta, egyrészt, hogy az olyan nemzeti rendelkezések, amelyek egyes szerencsejátékok szervezését kizárólag a játékkaszinókra korlátozzák, a 98/34 irányelv 1. cikkének 11. pontja értelmében „műszaki szabályoknak” minősülnek, amennyiben jelentős módon befolyásolhatják az ebben az összefüggésben használt termék természetét vagy értékesítését, másrészt, hogy bizonyos termékek kaszinókon kívüli üzemeltetésének tilalma jelentős módon befolyásolhatja ezen termékek értékesítését, szűkítve ezzel a forgalmazási csatornákat (lásd ebben az értelemben: 2015. június 11-i Berlington Hungary és társai ítélet, C-98/14, EU:C:2015:386, 98. és 99. pont).</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Ezzel szemben e törvény 6. cikkének (1) bekezdését, amely előírja, hogy a rulettjátékok, kártyajátékok, kockajátékok és játékautomatákkal játszható játékok szervezéséhez játékkaszinó működtetésének koncessziója szükséges, nem közölték.</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 Nem fogadható el a Bizottság azon érve, amely szerint a két érintett nemzeti jogi rendelkezés közötti szoros kapcsolat azt jelenti, hogy a szerencsejátékokról szóló törvény 14. cikkének (1) bekezdése nem választható el e törvény 6. cikkének (1) bekezdésétől. Ugyanis, amint azt a főtanácsnok indítványának 38–44. pontjában megállapította, az említett törvény 6. cikkének (1) bekezdése és ugyanezen törvény 14. cikkének (1) bekezdése különböző hatállyal és funkcióval bír. Az e törvény 6. cikkének (1) bekezdésében szereplő leíró elem, amely az engedély „játékkaszinók működtetésének” koncessziójaként történő megjelölésére szolgál, nem változtat e következtetésen.</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Következésképpen meg kell állapítani, hogy a szerencsejátékokról szóló törvény 6. cikkének (1) bekezdése nem minősülhet a 98/34 irányelv 1. cikke 4. pontjának értelmében vett „egyéb követelménynek”, amennyiben az e nemzeti rendelkezés által szerencsejáték szervezéséhez követelt koncesszió az ilyen játékok szervezési tevékenységének vonatkozásában előírt feltétel, ellentétben az e törvény 14. cikke (1) bekezdésével, amely az érintett termékekre vonatkozóan feltételeket állapít meg, mivel megtiltja azok kaszinókon kívüli üzemeltetését.</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Ezenkívül az állandó ítélkezési gyakorlat szerint nem minősülnek a 98/34 irányelv 1. cikkének 11. pontja értelmében vett műszaki szabályoknak azok a nemzeti jogi rendelkezések, amelyek a vállalkozások általi letelepedésre vagy szolgáltatásnyújtásra vonatkozó feltételek megállapítására szorítkoznak, mint például az üzleti tevékenység gyakorlását előzetes engedélyhez kötő rendelkezések (lásd ebben az értelemben: 2016. február 4-i Ince ítélet, C-336/14, EU:C:2016:72, 76. pont, valamint az ott hivatkozott ítélkezési gyakorlat).”</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2016. október 27-i James</w:t>
        </w:r>
      </w:hyperlink>
      <w:r>
        <w:t xml:space="preserve"> Elliott Construction ítélet, C-613/14, EU:C:2016:821, 67–69. pont.</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Azok a nemzeti rendelkezések, amelyek implicit szerződéses feltételeket állapítanak meg az értékesített termékek értékesíthető minőségére, használatra való alkalmasságára vagy minőségére vonatkozóan, nem minősülnek „egyéb követelménynek”, mivel általános jellegük miatt nem valószínű, hogy jelentősen befolyásolják az érintett termékek összetételét, jellegét vagy forgalmazását.</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A jelen ügyben egyrészt úgy tűnik, hogy az olyan rendelkezések, mint amelyekről az alapügyben szó van, sem önmagukban, sem az ír bíróságok értelmezése szerint nem tartoznak a 98/34 irányelv 1. cikkének (3) bekezdése értelmében vett „műszaki leírás” fogalma alá. Ez a fogalom csak azokra a nemzeti intézkedésekre vonatkozik, amelyek magára a termékre vagy annak csomagolására utalnak, és így meghatározzák a termék valamely megkövetelt jellemzőjét (2014. július 10-i Ivansson és társai ítélet, C-307/13, EU:C:2014:2058, 19. pont, valamint az ott hivatkozott ítélkezési gyakorlat). Márpedig nyilvánvalóan nem ez a helyzet egy olyan követelmény esetén, amely – a felek eltérő akarata hiányában – általánosságban vonatkozik bármely termék értékesítésére.</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Másrészt ugyanezen okból e rendelkezések nem minősíthetők a 98/34 irányelv 1. cikkének 4. pontja értelmében vett „egyéb követelményeknek”.</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E tekintetben a Bíróság kifejtette, hogy ahhoz, hogy a szóban forgó nemzeti intézkedéseket az e rendelkezés értelmében vett »egyéb követelményeknek« lehessen minősíteni, olyan feltételeknek kell minősülniük, amelyek jelentősen befolyásolhatják az érintett termék összetételét vagy jellegét, illetve forgalmazását, mivel az általános jellegű követelmények nem minősülhetnek ilyen feltételeknek, és következésképpen nem minősíthetők »egyéb követelményeknek« (lásd: 2014. július 10-i Ivansson és társai ítélet, C-307/13, EU:C:2014:2058, 26. és 27. pont, valamint az ott hivatkozott ítélkezési gyakorlat).”</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2017. február 1-jei</w:t>
        </w:r>
      </w:hyperlink>
      <w:r>
        <w:t xml:space="preserve"> Município de Palmela ítélet, C-144/16, EU:C:2017:76, 23. és 33. pont.</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A termékre fogyasztóvédelmi okokból előírt csomagolási követelményeket meghatározó rendelkezés „egyéb követelmény”, mivel a termékek forgalomba hozatal utáni életciklusára vonatkozik, és jelentősen befolyásolja azok összetételét és forgalmazását.</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Ezzel szemben általános jellege miatt nem minősül „egyéb követelménynek” az a szabályozás, amely előírja, hogy a szabadidős terület maximális befogadóképességére vonatkozó információkat e területen több helyen is fel kell tüntetni.</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bookmarkEnd w:id="57"/>
      <w:r>
        <w:t xml:space="preserve">23 A 119/2009. sz. törvényrendelettel módosított EJR-rendelet 16. cikkének (1) és (2) bekezdésével kapcsolatban a kérdést előterjesztő bírósággal egyezően meg kell állapítani, hogy az valóban műszaki szabálynak minősül a 83/189 és a 98/34 irányelv értelmében, mivel ez a rendelkezés a fogyasztóvédelem érdekében olyan követelményeket ír elő a termékre, amelyek érintik annak forgalomba hozatal utáni életciklusát és jelentősen befolyásolják az ilyen termék összetételét és értékesítését. Következésképpen e rendelkezés a 83/189 irányelv 1. cikkének (3) bekezdése és a 98/34 irányelv 1. cikkének (4) bekezdése értelmében vett „egyéb követelmények” kategóriájába tartozik.”</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az olyan rendelkezés, mint amelyről az alapügyben szó van, nem minősül a 98/34 irányelv 1. cikkének (4) bekezdése értelmében vett „egyéb követelménynek”, figyelembe véve az általa meghatározott követelmények általános jellegét (lásd ebben az értelemben: 2011. június 9-i Intercommunale Intermosane és Fédération de l’industrie et du gaz ítélet, C 361/10</w:t>
        <w:noBreakHyphen/>
        <w:t xml:space="preserve">, EU:C:2011:382, 21. pont). Ezzel szemben nem tartalmaz olyan tilalmakat, amelyek az említett irányelv 1. cikkének (11) bekezdésében foglalt tilalmak kategóriájába tartoznának.”</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2018. szeptember 26-i</w:t>
      </w:r>
      <w:r>
        <w:rPr>
          <w:b/>
          <w:bCs/>
          <w:i/>
          <w:iCs/>
          <w:color w:val="0000FF"/>
          <w:sz w:val="22"/>
          <w:szCs w:val="22"/>
          <w:u w:val="single"/>
        </w:rPr>
        <w:fldChar w:fldCharType="end"/>
        <w:t xml:space="preserve">Van Gennip és társai ítélet, C-137/17, EU:C:2018:771, 39. és 40. pont.</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Azok a nemzeti rendelkezések, amelyek a termékek forgalmazását engedélyhez kötik, nem tartoznak az „egyéb követelmények” fogalmába, mivel nem a termékekre, hanem a vásárlókra vonatkozó feltételről van szó.</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az „egyéb követelmények” kategóriáját illetően emlékeztetni kell arra, hogy ahhoz, hogy valamely nemzeti intézkedés a 98/34 irányelv 1. cikkének 4. pontja értelmében vett „egyéb követelménynek” minősüljön, olyan „feltételnek” kell minősülnie, amely jelentősen befolyásolhatja az érintett termék összetételét, jellegét vagy forgalmazását (2016. október 13-i M. és S. ítélet, C-303/15, EU:C:2016:771, 20. pont, valamint az ott hivatkozott ítélkezési gyakorlat).</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E tekintetben a főtanácsnok indítványának 76. pontjában foglaltakhoz hasonlóan meg kell állapítani, hogy a belga szabályozás az 1 kilogrammos mértéket meghaladó pirotechnikai összetevőjű pirotechnikai termékek értékesítését engedély vevő általi megszerzésétől teszi függővé. Így a szükséges engedély nem az érintett termékre, hanem a potenciális vevőkre és közvetetten a pirotechnikai termékeket értékesítő gazdasági szereplőkre vonatkozó követelménynek minősül (lásd ebben az értelemben: 2005. április 21-i Lindberg ítélet, C-267/03, EU:C:2005:246, 87. pont; 2016. október 13-i M. és S. ítélet, C-303/15, EU:C:2016:771, 29. pont).”</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2020. május 28-i ECO</w:t>
        </w:r>
      </w:hyperlink>
      <w:r>
        <w:t xml:space="preserve"> -WIND Construction ítélet, C-727/17, EU:C:2020:393, 40. és 41. pont.</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A szélturbinák telepítésének minimális távolságát előíró rendelet nem tartozik az „egyéb követelmények” kategóriájába, mivel az érintett termékek forgalmazására gyakorolt hatása nem kellően közvetlen.</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az állandó ítélkezési gyakorlatból kitűnik, hogy e kategória magában foglalja azokat a jogszabályokat, amelyek olyan feltételt írnak elő, amely jelentősen befolyásolhatja valamely termék összetételét, jellegét vagy forgalmazását (2005. április 21-i Lindberg ítélet, C-267/03, EU:C:2005:246, 69–72. pont; 2012. július 19-i Fortuna és társai ítélet, C-213/11, C-214/11 és C-217/11, EU:C:2012:495, 35. pont), amelyek a szóban forgó termék forgalomba hozatalát követő életciklusának figyelembevételéből eredő követelményekre, és különösen annak felhasználására vonatkoznak.</w:t>
      </w:r>
    </w:p>
    <w:p w14:paraId="15144425" w14:textId="77777777">
      <w:pPr>
        <w:pStyle w:val="P68B1DB1-BodyText19"/>
        <w:ind w:left="567"/>
        <w:rPr>
          <w:iCs/>
        </w:rPr>
      </w:pPr>
    </w:p>
    <w:p w14:paraId="45870460" w14:textId="6B88BEBE">
      <w:pPr>
        <w:pStyle w:val="P68B1DB1-BodyText19"/>
        <w:ind w:left="567"/>
        <w:rPr>
          <w:iCs/>
        </w:rPr>
      </w:pPr>
      <w:r>
        <w:t xml:space="preserve">41. Márpedig a jelen ügyben a jelen ítélet 37. pontjában szereplő értékeléshez hasonlóan meg kell állapítani, hogy azon követelmény, amely szerint a szélerőmű telepítése a szélerőművek és a lakásfunkcióval is rendelkező épületek közötti minimális távolság tiszteletben tartásától függ, nem áll közvetlen kapcsolatban az olyan termék összetételével, természetével vagy értékesítésével, mint a szélgenerátor. E tekintetben, még ha feltételezzük is, hogy ez a követelmény a szélerőművek telepítésére alkalmas helyszínek korlátozásához vezetne, és így hatással lenne a szélerőművek forgalmazására, ez a hatás nem lenne kellően közvetlen ahhoz, hogy e követelmény a 2015/1535 irányelv 1. cikke (1) bekezdésének f) pontjában szereplő „egyéb követelmények” kategóriájába tartozzon.”</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2022. november 4-i Phytofar</w:t>
        </w:r>
      </w:hyperlink>
      <w:r>
        <w:rPr>
          <w:rFonts w:ascii="Times New Roman" w:hAnsi="Times New Roman" w:cs="Times New Roman" w:eastAsia="Times New Roman"/>
          <w:b/>
          <w:i/>
          <w:szCs w:val="20"/>
        </w:rPr>
        <w:t xml:space="preserve"> ítélet, C</w:t>
        <w:noBreakHyphen/>
        <w:t xml:space="preserve">658/21, EU:C:2022:925, 36–42. pont.</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Az olyan szabályozás, amely megtiltja a szakemberek számára engedéllyel nem rendelkező személyek számára, hogy glifozátot tartalmazó növényvédő szereket használjanak, „egyéb követelménynek” minősülhet, mivel jelentősen befolyásolhatja a glifozát forgalmazását. E hatás jelentőségét az érintett termékek beszerzéseinek volumene és az értékesítési szokások változásai fényében kell értékelni.</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A jelen ügyben mindenekelőtt a 2017. július 14-i rendelet preambulumából kitűnik, hogy az általa megállapított tilalmat az emberi egészség és a környezet védelme céljából írták elő.</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Ezt követően meg kell állapítani, hogy e tilalom a glifozáttartalmú peszticidek életciklusára vonatkozik a forgalomba hozatalukat követően, az e termékek használatához kapcsolódó feltétel előírásával, mivel a magáncélra használt földterületeken kizárólag a növényvédő szer használatára vonatkozó engedéllyel rendelkező szakemberek jogosultak azok használatára.</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Végül meg kell állapítani, hogy az ilyen tiltó intézkedés befolyásolhatja az érintett termékek forgalmazását.</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Ezen intézkedés ugyanis a glifozáttartalmú növényvédő szerek potenciális vásárlói egy kategóriájának eltűnéséhez vezet, azaz azon magánszemélyekéhez, akik maguk kívánják használni az ilyen peszticideket, anélkül hogy a szükséges növényvédő szer használatára vonatkozó engedéllyel rendelkező szakemberek szolgáltatásait vennék igénybe. A glifozáttartalmú növényvédő szerek használatának ilyen korlátozása tehát befolyásolja a forgalmazásukat (lásd analógia útján: 2016. október 13-i M. és S. ítélet, C-303/15, EU:C:2016:771, 26. pont, valamint az ott hivatkozott ítélkezési gyakorlat).</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Mindazonáltal, amint arra a Bizottság írásbeli észrevételeiben rámutat, ahhoz, hogy a 2017. július 14-i rendelettel bevezetett intézkedést a 2015/1535 irányelv 1. cikke (1) bekezdésének d) és f) pontja értelmében vett „egyéb követelmények” kategóriájába tartozó „műszaki szabálynak” lehessen minősíteni, az szükséges, hogy ezen intézkedés „jelentős mértékben” befolyásolja a glifozáttartalmú növényvédő szerek forgalmazását.</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A kérdést előterjesztő bíróság feladata annak meghatározása, hogy fennáll-e a jelen esetben ez a helyzet.</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Ezen értékelés során a kérdést előterjesztő bíróság figyelembe veheti többek között a glifozáttartalmú növényvédő szerek Flamand régió területén történő értékesítésének a teljes mennyiségét, valamint az egyes vásárlói csoportok vásárlási szokásainak a vásárlások gyakorisága és a vásárolt termékek mennyisége alapján történő módosulását, valamint a vásárlási hely és az értékesítési csatornák változását. Ebben az összefüggésben az említett bíróság figyelembe veheti, hogy egyrészt a hivatásos felhasználók kereslete milyen mértékben helyettesíti a hivatásos felhasználók szolgáltatásait igénybe vevő magánszemélyek igényeit, másrészt az egyéni felhasználók immár az ezen anyagot tartalmazó növényvédő szerek helyett a glifozátmentes peszticideket szerzik be.”</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2023. március 9-i Vapo</w:t>
        </w:r>
      </w:hyperlink>
      <w:r>
        <w:rPr>
          <w:rFonts w:ascii="Times New Roman" w:hAnsi="Times New Roman" w:cs="Times New Roman" w:eastAsia="Times New Roman"/>
          <w:b/>
          <w:i/>
          <w:szCs w:val="20"/>
        </w:rPr>
        <w:t xml:space="preserve"> Atlantic ítélet, C-604/21, EU:C:2023:175, 40. és 41. pont</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Azok a nemzeti jogszabályok, amelyek az üzemanyagokat szabad forgalomba bocsátó gazdasági szereplőket arra kötelezik, hogy járuljanak hozzá a bioüzemanyagok üzemanyagba történő beépítésére vonatkozó célok eléréséhez, és amelyek megszegése pénzügyi szankciókhoz vezethet, jelentősen befolyásolhatják az üzemanyagok forgalmazását. Ezért „egyéb követelménynek” minősül.</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A jelen ügyben a kérdést előterjesztő bíróság kétségei olyan nemzeti szabályozásra vonatkoznak, amely megköveteli az LPG-től és a földgáztól eltérő gépjármű-üzemanyagot forgalmazó gazdasági szereplőktől, hogy járuljanak hozzá a bioüzemanyag hozzákeverése tekintetében az általuk forgalomba hozott gépjármű-üzemanyagok éves mennyiségére vonatkozóan meghatározott, a 2020. év vonatkozásában 10%-ban rögzített cél eléréséhez. Még ha az ilyen szabályozás nem is határozza meg pontosan az érintett gépjármű-üzemanyag típusát, és nem határoz meg százalékos arányt a gépjármű-üzemanyaghoz ténylegesen keverendő bioüzemanyag tekintetében, továbbá nem határozza meg pontosan a hozzákeverendő bioüzemanyag típusát, az általa a környezet védelme céljából rögzített követelmény a gépjármű-üzemanyagok forgalomba hozatalát követő életciklusára vonatkozik, és jelentős mértékben befolyásolhatja az említett termékek forgalmazását, amennyiben az általa előírt, bioüzemanyag hozzákeverésére vonatkozó kötelezettség elmulasztása pénzügyi kompenzáció fizetésére való kötelezést vonhat maga után.</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Ebből következik, hogy a 98/34 irányelv 1. cikkének (4) bekezdése értelmében vett »egyéb követelmények« fogalma alá tartozik az olyan nemzeti szabályozás, amely azt a célt tűzi ki, hogy a valamely gazdasági szereplő által szabad forgalomba bocsátott üzemanyagokban a bioüzemanyagok 10%-át a 2020. évre vonatkozóan fel kell használni, és így az ezen irányelv 1. cikkének 11. pontja értelmében vett »műszaki szabálynak« minősül.”</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A szolgáltatásokra vonatkozó szabályok</w:t>
      </w:r>
      <w:bookmarkEnd w:id="5"/>
      <w:bookmarkEnd w:id="68"/>
      <w:bookmarkEnd w:id="69"/>
    </w:p>
    <w:p w14:paraId="19E12A03" w14:textId="77777777">
      <w:pPr>
        <w:pStyle w:val="BodyText"/>
      </w:pPr>
    </w:p>
    <w:p w14:paraId="6D8B2150" w14:textId="77777777">
      <w:pPr>
        <w:pStyle w:val="P68B1DB1-BodyText11"/>
        <w:ind w:left="567"/>
        <w:rPr>
          <w:iCs/>
        </w:rPr>
      </w:pPr>
      <w:r>
        <w:t xml:space="preserve">„»szolgáltatásokra vonatkozó szabály«: a b) pont szerinti szolgáltatási tevékenységek megkezdésére és folytatására vonatkozó általános jellegű követelmény, különösen a szolgáltatóra, a szolgáltatásokra és a szolgáltatás igénybe vevőjére vonatkozó rendelkezések, kivéve azokat a szabályokat, amelyek nem kifejezetten az említett pontban meghatározott szolgáltatásokra vonatkoznak. </w:t>
      </w:r>
    </w:p>
    <w:p w14:paraId="7C9B8AC3" w14:textId="77777777">
      <w:pPr>
        <w:pStyle w:val="P68B1DB1-BodyText11"/>
        <w:ind w:left="567"/>
        <w:rPr>
          <w:iCs/>
        </w:rPr>
      </w:pPr>
    </w:p>
    <w:p w14:paraId="46FCE36C" w14:textId="0D89DACC">
      <w:pPr>
        <w:pStyle w:val="P68B1DB1-BodyText11"/>
        <w:ind w:left="567"/>
        <w:rPr>
          <w:iCs/>
        </w:rPr>
      </w:pPr>
      <w:r>
        <w:t xml:space="preserve">E meghatározás alkalmazásában: </w:t>
      </w:r>
    </w:p>
    <w:p w14:paraId="0FA17B64" w14:textId="77777777">
      <w:pPr>
        <w:pStyle w:val="P68B1DB1-BodyText11"/>
        <w:ind w:left="567"/>
        <w:rPr>
          <w:iCs/>
        </w:rPr>
      </w:pPr>
    </w:p>
    <w:p w14:paraId="5287D99C" w14:textId="40B4253E">
      <w:pPr>
        <w:pStyle w:val="P68B1DB1-BodyText11"/>
        <w:numPr>
          <w:ilvl w:val="0"/>
          <w:numId w:val="30"/>
        </w:numPr>
        <w:rPr>
          <w:iCs/>
        </w:rPr>
      </w:pPr>
      <w:r>
        <w:t xml:space="preserve">valamely szabályt kifejezetten az információs társadalom szolgáltatásaira irányulónak kell tekinteni, ha figyelembe véve az indokolását és a rendelkező részét, annak összes vagy néhány egyedi intézkedésének kifejezett célja és tárgya az ilyen szolgáltatások kifejezett és célzott módon történő szabályozása; </w:t>
      </w:r>
    </w:p>
    <w:p w14:paraId="112BC54B" w14:textId="13ACB17B">
      <w:pPr>
        <w:pStyle w:val="P68B1DB1-BodyText11"/>
        <w:numPr>
          <w:ilvl w:val="0"/>
          <w:numId w:val="30"/>
        </w:numPr>
        <w:rPr>
          <w:iCs/>
        </w:rPr>
      </w:pPr>
      <w:r>
        <w:t xml:space="preserve">egy szabály nem tekinthető kifejezetten az információs társadalom szolgáltatásaira irányulónak, ha az ilyen szolgáltatásokat csak hallgatólagosan vagy járulékosan érinti;”</w:t>
      </w:r>
    </w:p>
    <w:p w14:paraId="573C811F" w14:textId="77777777">
      <w:pPr>
        <w:pStyle w:val="BodyText"/>
        <w:ind w:left="567"/>
        <w:rPr>
          <w:i/>
          <w:iCs/>
        </w:rPr>
      </w:pPr>
    </w:p>
    <w:p w14:paraId="2735376A" w14:textId="709F0465">
      <w:pPr>
        <w:pStyle w:val="BodyText"/>
        <w:ind w:left="1440"/>
        <w:jc w:val="right"/>
      </w:pPr>
      <w:r>
        <w:t xml:space="preserve">(Az (EU) 2015/1535 irányelv 1. cikke (1) bekezdésének e) pontja)</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„»szolgáltatás«: az információs társadalom bármely szolgáltatása, azaz minden olyan szolgáltatás, amelyet általában díjazás ellenében, távolról, elektronikus úton és a szolgáltatást igénybe vevő egyéni kérelmére nyújtanak.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E meghatározás alkalmazásában: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„távolról” azt jelenti, hogy a szolgáltatást a felek egyidejű jelenléte nélkül nyújtják;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„elektronikus úton” azt jelenti, hogy a szolgáltatást kezdetben adatok feldolgozására (beleértve a digitális tömörítést is) és tárolására szolgáló elektronikus berendezéssel küldik és fogadják a rendeltetési helyére, és teljes egészében vezetéken, rádión, optikai vagy egyéb elektromágneses úton továbbítják, továbbítják és fogadják;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„a szolgáltatást igénybe vevő egyéni kérelmére” azt jelenti, hogy a szolgáltatást egyedi kérésre történő adattovábbítás útján nyújtják.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Az e fogalommeghatározás hatálya alá nem tartozó szolgáltatások indikatív jegyzékét az I. melléklet tartalmazza;”</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(Az (EU) 2015/1535 irányelv 1. cikke (1) bekezdésének b) pontja)</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„Az 1. cikk (1) bekezdése b) pontja második albekezdésének hatálya alá nem tartozó szolgáltatások indikatív jegyzéke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Nem „távolról” nyújtott szolgáltatások</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Azok a szolgáltatások, amelyeket a szolgáltató és a szolgáltatást igénybe vevő fizikai jelenlétében nyújtanak, még ha ezek elektronikus eszközök használatával is járnak: </w:t>
      </w:r>
    </w:p>
    <w:p w14:paraId="3362CCDE" w14:textId="74A453DA">
      <w:pPr>
        <w:spacing w:after="0" w:line="240" w:lineRule="auto"/>
        <w:ind w:left="1287"/>
        <w:rPr>
          <w:rFonts w:ascii="Times New Roman" w:hAnsi="Times New Roman" w:cs="Times New Roman"/>
          <w:i/>
          <w:sz w:val="24"/>
          <w:szCs w:val="24"/>
        </w:rPr>
        <w:pStyle w:val="P68B1DB1-Normal12"/>
      </w:pPr>
      <w:r>
        <w:t xml:space="preserve">a) orvosi vizsgálatok vagy orvosi kezelés elektronikus eszközökkel, amennyiben a beteg fizikailag jelen van;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elektronikus katalógus megtekintése az üzletben az ügyféllel a helyszínen; </w:t>
      </w:r>
    </w:p>
    <w:p w14:paraId="7DA6C469" w14:textId="5F31D5B1">
      <w:pPr>
        <w:spacing w:after="0" w:line="240" w:lineRule="auto"/>
        <w:ind w:left="1287"/>
        <w:rPr>
          <w:rFonts w:ascii="Times New Roman" w:hAnsi="Times New Roman" w:cs="Times New Roman"/>
          <w:i/>
          <w:sz w:val="24"/>
          <w:szCs w:val="24"/>
        </w:rPr>
        <w:pStyle w:val="P68B1DB1-Normal12"/>
      </w:pPr>
      <w:r>
        <w:t xml:space="preserve">C) repülőjegy-foglalás az utazási irodában az ügyfél fizikai jelenlétében, számítógép-hálózaton keresztül; </w:t>
      </w:r>
    </w:p>
    <w:p w14:paraId="01C9EFAD" w14:textId="77777777">
      <w:pPr>
        <w:spacing w:after="0" w:line="240" w:lineRule="auto"/>
        <w:ind w:left="1287"/>
        <w:rPr>
          <w:rFonts w:ascii="Times New Roman" w:hAnsi="Times New Roman" w:cs="Times New Roman"/>
          <w:i/>
          <w:sz w:val="24"/>
          <w:szCs w:val="24"/>
        </w:rPr>
        <w:pStyle w:val="P68B1DB1-Normal12"/>
      </w:pPr>
      <w:r>
        <w:t xml:space="preserve">d) olyan elektronikus játékok, amelyeket olyan videoteremben bocsátanak rendelkezésre, ahol az ügyfél fizikailag jelen van.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Nem „elektronikus úton” nyújtott szolgáltatások</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anyagi tartalommal rendelkező szolgáltatások, még akkor is, ha azokat elektronikus eszközökön keresztül nyújtják: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automata pénz- vagy jegykiadó automaták (bankjegyek, vasúti jegyek); </w:t>
      </w:r>
    </w:p>
    <w:p w14:paraId="07693B6B" w14:textId="1A59726A">
      <w:pPr>
        <w:spacing w:after="0" w:line="240" w:lineRule="auto"/>
        <w:ind w:left="1287"/>
        <w:rPr>
          <w:rFonts w:ascii="Times New Roman" w:hAnsi="Times New Roman" w:cs="Times New Roman"/>
          <w:i/>
          <w:sz w:val="24"/>
          <w:szCs w:val="24"/>
        </w:rPr>
        <w:pStyle w:val="P68B1DB1-Normal12"/>
      </w:pPr>
      <w:r>
        <w:t xml:space="preserve">b) úthálózatokhoz, parkolókhoz stb. való hozzáférés, használatért felszámított díjak, még akkor is, ha a bejáratnál/kilépésnél léteznek a belépést ellenőrző és/vagy a helyes fizetést biztosító elektronikus eszközök, </w:t>
      </w:r>
    </w:p>
    <w:p w14:paraId="6B193BE7" w14:textId="77777777">
      <w:pPr>
        <w:spacing w:after="0" w:line="240" w:lineRule="auto"/>
        <w:ind w:left="567"/>
        <w:rPr>
          <w:rFonts w:ascii="Times New Roman" w:hAnsi="Times New Roman" w:cs="Times New Roman"/>
          <w:i/>
          <w:sz w:val="24"/>
          <w:szCs w:val="24"/>
        </w:rPr>
        <w:pStyle w:val="P68B1DB1-Normal12"/>
      </w:pPr>
      <w:r>
        <w:t xml:space="preserve">offline szolgáltatások: CD-ROM-ok vagy szoftverek terjesztése lemezeken, </w:t>
      </w:r>
    </w:p>
    <w:p w14:paraId="421C0A6C" w14:textId="77777777">
      <w:pPr>
        <w:spacing w:after="0" w:line="240" w:lineRule="auto"/>
        <w:ind w:left="567"/>
        <w:rPr>
          <w:rFonts w:ascii="Times New Roman" w:hAnsi="Times New Roman" w:cs="Times New Roman"/>
          <w:i/>
          <w:sz w:val="24"/>
          <w:szCs w:val="24"/>
        </w:rPr>
        <w:pStyle w:val="P68B1DB1-Normal12"/>
      </w:pPr>
      <w:r>
        <w:t xml:space="preserve">nem elektronikus feldolgozási/leltári rendszereken keresztül nyújtott szolgáltatások: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beszédalapú telefonszolgáltatások;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telefax/telex szolgáltatások;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távbeszélőn vagy telefaxon keresztül nyújtott szolgáltatások;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telefonos/telefaxos konzultáció orvossal;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ügyvéddel folytatott telefonos/telefaxos konzultáció;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telefon/telefax direkt marketing.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Nem „a szolgáltatást igénybe vevő egyéni kérelmére” nyújtott szolgáltatások</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Egyéni kérelem nélkül, adatátvitel útján, korlátlan számú egyéni igénybevevő részére egyidejűleg nyújtott szolgáltatások (egy pontról több pontra történő átvitel): </w:t>
      </w:r>
    </w:p>
    <w:p w14:paraId="7348FF90" w14:textId="622E29E3">
      <w:pPr>
        <w:spacing w:after="0" w:line="240" w:lineRule="auto"/>
        <w:ind w:left="1287"/>
        <w:rPr>
          <w:rFonts w:ascii="Times New Roman" w:hAnsi="Times New Roman" w:cs="Times New Roman"/>
          <w:i/>
          <w:sz w:val="24"/>
          <w:szCs w:val="24"/>
        </w:rPr>
        <w:pStyle w:val="P68B1DB1-Normal12"/>
      </w:pPr>
      <w:r>
        <w:t xml:space="preserve">a 2010/13/EU irányelv 1. cikke (1) bekezdése e) pontjának hatálya alá tartozó televíziós műsorszórási szolgáltatások (beleértve a lekérhető videoszolgáltatásokat is);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rádiós műsorszórási szolgáltatások; </w:t>
      </w:r>
    </w:p>
    <w:p w14:paraId="50FD6B17" w14:textId="6C6940F1">
      <w:pPr>
        <w:spacing w:after="0" w:line="240" w:lineRule="auto"/>
        <w:ind w:left="567" w:firstLine="720"/>
        <w:pStyle w:val="P68B1DB1-Normal12"/>
      </w:pPr>
      <w:r>
        <w:t xml:space="preserve">C) (televizált) teletext.”</w:t>
      </w:r>
    </w:p>
    <w:p w14:paraId="4CB8A09D" w14:textId="49490E91">
      <w:pPr>
        <w:pStyle w:val="BodyText"/>
        <w:ind w:left="1440"/>
        <w:jc w:val="right"/>
      </w:pPr>
      <w:r>
        <w:t xml:space="preserve">(Az (EU) 2015/1535 irányelv I. melléklete)</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2005. június 2-i Mediakabel</w:t>
        </w:r>
      </w:hyperlink>
      <w:r>
        <w:rPr>
          <w:rFonts w:ascii="Times New Roman" w:hAnsi="Times New Roman" w:cs="Times New Roman" w:eastAsia="Times New Roman"/>
          <w:b/>
          <w:i/>
          <w:szCs w:val="20"/>
        </w:rPr>
        <w:t xml:space="preserve"> BV ítélet, C-89/04, EU:C:2005:348, 38. és 39. pont.</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Az előfizető kérésére rendelkezésre bocsátott televíziós műsorszolgáltatás, amelynek esetében a filmek gyakoriságát és időzítését a szolgáltató határozza meg, nem minősül „információs társadalommal összefüggő szolgáltatásnak”, mivel a tartalmat a szolgáltató választja ki és ütemezte, és ezért nem a címzett egyéni kérésére nyújtja.</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Még ha az ilyen szolgáltatás teljesíti is a 98/34 irányelv 1. cikkének 2. pontja szerinti, az információs társadalommal összefüggő szolgáltatás fogalmának két első kritériumát – vagyis távolról és részben elektronikus úton nyújtják –, nem felel meg az említett fogalom harmadik kritériumának, amely szerint az szükséges, hogy a szolgáltatást „a szolgáltatást igénybe vevő egyéni kérelmére nyújt[sák]”. Az olyan szolgáltatás keretében, mint a „Filmtime”, a szolgáltató határozza meg a rendelkezésre álló filmek listáját. E filmválasztékot minden előfizetőnek ugyanolyan feltételekkel kínálják, újság vagy a televízió képernyőjén szolgáltatott információkon keresztül, és ezeket a filmeket a szolgáltató által meghatározott időpontokban lehet megnézni. A filmek hozzáféréséhez szükséges személyes kulcs csak a dekódoláshoz szükséges eszköz, amellyel hozzáférhetővé válnak azok a képek, amelyeknek a jeleit egyszerre továbbítják az összes előfizető részére.</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Az ilyen szolgáltatást tehát nem egyetlen elszigetelt felhasználó rendeli meg egyénileg úgy, hogy interaktív környezetben szabadon választja meg a műsorokat. A szolgáltatást lekérhető videószolgáltatásnak kell tekinteni, amelyet »ponttól több pontig«, nem pedig „a szolgáltatást igénybe vevő egyéni kérelmére” nyújtanak.”</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2016. február 2-i Ince</w:t>
        </w:r>
      </w:hyperlink>
      <w:r>
        <w:t xml:space="preserve"> ítélet, C-336/14, EU:C:2016:72, 75. és 76. pont.</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Az online szerencsejátékok kínálatát korlátozó vagy az ilyen játékok online reklámozását tiltó nemzeti rendelkezések „szolgáltatásokra vonatkozó szabályoknak” tekinthetők, mivel „információs társadalommal összefüggő szolgáltatásra” vonatkoznak. Ezzel szemben a szerencsejátékokat szervező gazdasági szereplők előzetes engedélyét előíró vagy a magánszereplők számára ilyen engedély megadását tiltó rendelkezések a vállalkozások alapításának feltételeire vonatkoznak, és ezért nem minősülnek „szolgáltatásokra vonatkozó szabályoknak”.</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a Szerződés szerencsejátékokra vonatkozó egyes rendelkezései „szolgáltatásokra vonatkozó szabályoknak” minősíthetők, amennyiben a 98/34 irányelv 1. cikkének 2. pontja értelmében vett „információs társadalom szolgáltatására” vonatkoznak. §-A (4) bekezdésében előírt tilalmát, az e tilalom alóli, az e szerződés 25. §-ának (6) bekezdésében felsorolt kivételeket, a sportfogadások távközlési eszközök útján való kínálatának lehetősége tekintetében az említett szerződés 21. §-a (2) bekezdésében elfogadott korlátozásokat, valamint a szerencsejátékok interneten vagy távközlési eszközök útján való reklámozásának az ugyanezen szerződés 5. §-a (3) bekezdése szerinti tilalmát.</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Ami ezzel szemben a szerencsejátékokról szóló szerződésnek a 98/34 irányelv 1. cikke 2. pontja értelmében vett „információs társadalom bármely szolgáltatás[ára]” vonatkozón kívüli egyéb rendelkezéseit illeti, mint a sportfogadások szervezéséhez és gyűjtéséhez való engedélyre vonatkozó kötelezettséget, valamint az azt előíró rendelkezéseket, hogy az ilyen engedély piaci magánszereplők részére történő megadása nem lehetséges, azok nem minősülnek az ezen irányelv 1. cikkének 11. pontja értelmében vett „műszaki szabályoknak”. Azok a nemzeti rendelkezések, amelyek a vállalkozások általi letelepedésre vagy szolgáltatásnyújtásra vonatkozó feltételek megállapítására szorítkoznak, mint például azok a rendelkezések, amelyek valamely tevékenység gyakorlását előzetes engedélyhez kötik, nem minősülnek az e rendelkezés értelmében vett műszaki szabályoknak (lásd ebben az értelemben: Lindberg-ítélet, C-267/03, EU:C:2005:246, 87. pont).”</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r>
        <w:t xml:space="preserve">A </w:t>
      </w:r>
      <w:hyperlink r:id="rId49" w:history="1">
        <w:r>
          <w:rPr>
            <w:color w:val="0000FF"/>
            <w:u w:val="single"/>
          </w:rPr>
          <w:t xml:space="preserve">Bíróság 2016. október 13-i ítélete,</w:t>
        </w:r>
      </w:hyperlink>
      <w:r>
        <w:t xml:space="preserve"> Naczelnik Urzędu Celnego I w., C 303/15</w:t>
        <w:noBreakHyphen/>
        <w:t xml:space="preserve">, EU:C:2016:771, 24. pont.</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Az a rendelkezés, amely a szerencsejáték-tevékenységek gyakorlását kaszinóüzemeltetési engedély birtoklásához köti, nem minősül „szolgáltatásokra vonatkozó szabálynak”, mivel nem az „információs társadalommal összefüggő szolgáltatásra” vonatkozik.</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e rendelkezés nem sorolható a 98/34 irányelv 1. cikkének 5. pontja értelmében vett »információs társadalommal összefüggő szolgáltatásokra vonatkozó szabályok« kategóriájába, mivel nem az ezen irányelv 1. cikkének (2) bekezdése értelmében vett »információs társadalommal összefüggő szolgáltatásra« vonatkozik.”</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2017. december 20-i</w:t>
      </w:r>
      <w:r>
        <w:rPr>
          <w:color w:val="0000FF"/>
          <w:u w:val="single"/>
        </w:rPr>
        <w:fldChar w:fldCharType="end"/>
        <w:t xml:space="preserve">Falbert és társai ítélet, C</w:t>
        <w:noBreakHyphen/>
        <w:t xml:space="preserve">255/16, EU:C:2017:983, 27–29., 32. és 33. pont</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szerencsejátékokra vagy reklámszolgáltatásokra vonatkozó nemzeti rendelkezések akkor minősülhetnek „szolgáltatásokra vonatkozó szabályoknak”, ha közvetlenül a távolról, elektronikus úton és a szolgáltatást igénybe vevő egyéni kérelmére nyújtott szolgáltatásokra vonatkoznak. Még ha az ilyen rendelkezések szövege nem is tesz különbséget az online és offline szolgáltatások között, az „információs társadalommal összefüggő szolgáltatásokkal” kapcsolatos céljuk a preambulumbekezdésekből vagy az </w:t>
      </w:r>
      <w:r>
        <w:rPr>
          <w:i/>
        </w:rPr>
        <w:t xml:space="preserve">előkészítő munkálatokból</w:t>
      </w:r>
      <w:r>
        <w:t xml:space="preserve"> levezethető.</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Emlékeztetni kell arra, hogy ezen irányelv 1. cikkének 2. pontja értelmében a „műszaki szabály” e kategóriája kizárólag az információs társadalom szolgáltatásaira – vagyis bármely távolról, elektronikus úton és a szolgáltatást igénybe vevő egyéni kérelmére nyújtott szolgáltatásra – vonatkozó szabályokat foglalja magában (lásd: 2016. október 13-i M. és S. ítélet, C-303/15, EU:C:2016:771, 21. pont; 2017. február 1-jei Município de Palmela ítélet, C-144/16, EU:C:2017:76, 28. pont).</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E tekintetben meg kell jegyezni, hogy a szerencsejátékokról szóló törvény 10. §-a (3) bekezdésének 3. pontja főszabály szerint két szolgáltatástípusra vonatkozik, így egyrészt a reklámszolgáltatásokra, amelyek tekintetében e rendelkezés azonnali szankciót ír elő, másrészt pedig a szerencsejáték-szolgáltatásokra, amelyek vonatkozásában a reklámozás tilalmára hivatkoznak, és amelyek összességükben nézve a szerencsejátékokról szóló törvény fő tárgyát képezik.</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Mind a reklámszolgáltatások, mind a szerencsejáték-szolgáltatások, amennyiben azokat többek között elektronikus úton (online) nyújtják, a 98/34 irányelv 1. cikkének (2) bekezdése és az azokra vonatkozó szabályok értelmében vett „információs társadalommal összefüggő szolgáltatásoknak” minősülnek, amelyek ennek megfelelően a 98/34 irányelv 1. cikkének 5. pontja értelmében vett „szolgáltatásokra vonatkozó szabályoknak” tekinthetők.”</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E tekintetben először is meg kell jegyezni, hogy annak megállapítása során, hogy valamely jogszabály a 98/34 irányelv 1. cikke 5. pontjának első francia bekezdése alapján kifejezetten az információs társadalommal összefüggő szolgáltatásokra vonatkozik-e, figyelembe kell venni mind e jogszabály indokolását, mind pedig rendelkező részének a szövegét. Ezenkívül ugyanezen rendelkezés alapján nem szükséges, hogy a szóban forgó jogszabály egészének „kifejezett célja és tárgya” az információs társadalommal összefüggő szolgáltatások szabályozása legyen, mivel elegendő, hogy e jogszabály néhány egyedi intézkedésében irányuljon e célra vagy tárgyra.</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Következésképpen, ha nem kizárólag valamely nemzeti szabály szövegéből következik, hogy az – legalábbis részben – kifejezetten az információs társadalommal összefüggő szolgáltatások szabályozására irányul – mint a jelen ügyben is, ahol a szöveg nem tesz különbséget az offline és az online nyújtott szolgáltatások között – e tárgy mégis meglehetősen könnyen kitűnhet a szabály indokolásából, mint a jelen esetben is a vonatkozó nemzeti értelmezési szabályok alapján, amelyek többek között lehetővé teszik, hogy a szabály előkészítő munkálatai iránymutatást nyújtsanak.”</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2017. december 20-i Asociación</w:t>
        </w:r>
      </w:hyperlink>
      <w:r>
        <w:t xml:space="preserve"> Profesional Elite Taxi ítélet, C</w:t>
        <w:noBreakHyphen/>
        <w:t xml:space="preserve">434/15, EU:C:2017:981, 37. és 39–41. pont.</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Az olyan közvetítő szolgáltatást, amely egy okostelefonos alkalmazáson keresztül díjazás ellenében összekapcsolja a saját járműveiket használó, nem hivatásos sofőröket a városi közlekedést kereső személyekkel, úgy kell tekinteni, mint amelyek szervesen kapcsolódnak valamely közlekedési szolgáltatáshoz, és ezért „közlekedés területén nyújtott szolgáltatásnak” (nem „információs társadalommal összefüggő szolgáltatásnak”) minősülnek.</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Meg kell azonban jegyezni, hogy az alapügyben szereplőhöz hasonló szolgáltatás több, mint egy olyan közvetítői szolgáltatás, amely okostelefonos alkalmazás révén a saját gépjárművét használó, nem hivatásos gépjárművezető és a városi utazást tenni kívánó személy összekapcsolásából áll.”</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E tekintetben kitűnik a Bíróságnak rendelkezésére álló információkból, hogy az Uber közvetítői szolgáltatása azon saját gépjárművüket használó, nem hivatásos sofőrök kiválasztásán alapul, akik számára e társaság egy olyan alkalmazást biztosít, amely nélkül egyfelől e sofőrök nem tudnák nyújtani a közlekedési szolgáltatásokat, és másfelől a városon belüli helyváltoztatást igénylő személyek nem tudnák az említett sofőrök szolgáltatásait igénybe venni. Ezenfelül az Uber döntő befolyást gyakorol az ilyen sofőrök által nyújtott szolgáltatás feltételeire. Ez utóbbi pontot illetően kifejezetten úgy tűnik, hogy az Uber az azonos nevű alkalmazáson keresztül megállapítja legalább a legmagasabb fuvardíjat, hogy e társaság e díjat beszedi az ügyféltől, majd annak egy részét a gépjármű nem hivatásos sofőrjének kifizeti, valamint hogy bizonyos mértékű ellenőrzést gyakorol a gépjárművek és sofőrjeik minőségét, és ez utóbbiak magatartását illetően, amely adott esetben a kizárásukhoz vezethet.</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Ez a közvetítői szolgáltatás tehát tekinthető egy átfogó szolgáltatás szerves részének, amely átfogó szolgáltatás fő eleme egy közlekedési szolgáltatás, és ennélfogva nem a 98/34 irányelv 1. cikkének 2., a 2000/31 irányelv 2. cikkének a) pontjában hivatkozott pontja szerinti, „az információs társadalommal összefüggő szolgáltatásnak” minősül, hanem a 2006/123 irányelv 2. cikke (2) bekezdésének d) pontja szerinti, „a közlekedés területén nyújtott szolgáltatásnak”.</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Ezt a minősítést egyébként megerősíti a Bíróság ítélkezési gyakorlata, amely szerint a »közlekedés területén nyújtott szolgáltatások« fogalma nemcsak magukba a szállítási szolgáltatásokra terjed ki, hanem minden olyan szolgáltatásra is, amely szervesen kapcsolódik a személyek vagy áruk egyik helyről a másikra szállítás útján történő mozgatásához (lásd ebben az értelemben: 2015. október 15-i Grupo Itevelesa és társai ítélet, C-168/14, EU:C:2015:685, 45. és 46. pont; 2017. május 16-i 2/15 [Szingapúrral kötött szabadkereskedelmi megállapodás] vélemény, EU:C:2017:376, 61. pont).”</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2018. április 10-i Uber</w:t>
        </w:r>
      </w:hyperlink>
      <w:r>
        <w:t xml:space="preserve"> France ítélet, C</w:t>
        <w:noBreakHyphen/>
        <w:t xml:space="preserve">320/16, EU:C:2018:221, 21. és 22. pont</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nemzeti jog azon rendelkezése, amely büntetőjogi szankciókat ír elő az ügyfeleknek a járművezetőkkel való összekapcsolására szolgáló rendszer szükséges engedély nélküli megszervezése miatt, a „közlekedés területén nyújtott szolgáltatásra” (és nem az „információs társadalommal összefüggő szolgáltatásra”) vonatkozik, amennyiben az a közvetítői szolgáltatás, amelyre vonatkozik, egy olyan átfogó szolgáltatás szerves részét képezi, amelynek fő eleme a szállítási szolgáltatás.</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a Bíróság megállapította, hogy az érintett társaság által nyújtott közvetítői szolgáltatás szervesen kapcsolódik az e társaság által nyújtott, nem tömegközlekedési városi közlekedési szolgáltatások kínálatához, tekintettel egyrészt arra, hogy e társaság olyan kérelmet nyújtott be, amelynek hiányában e járművezetők nem lettek volna arra ösztönözve, hogy szállítási szolgáltatásokat nyújtsanak, és a városi utazást végrehajtani kívánó személyek nem vették volna igénybe az e járművezetők által nyújtott szolgáltatásokat, másrészt pedig e társaság meghatározó befolyást gyakorolt az e járművezetők által nyújtott szolgáltatások feltételeire, többek között a maximális viteldíj meghatározásával, e viteldíjnak az ügyféltől való beszedésével, mielőtt annak egy részét kifizetnék a gépjármű nem hivatásos vezetőjének, valamint a járművek minőségének bizonyos mértékű ellenőrzésével, a járművezetők és magatartásuk, amely bizonyos körülmények között kizárásukhoz vezethet (lásd ebben az értelemben: 2017. december 20-i Asociación Profesional Elite Taxi ítélet, C-434/15, EU:C:2017:981, 38. és 39. pont).</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A Bíróság e tényezők alapján megállapította, hogy az említett ügyben szóban forgó közvetítői szolgáltatást úgy kell tekinteni, mint amely egy olyan átfogó szolgáltatás szerves részét képezi, amelynek fő eleme egy szállítási szolgáltatás, és következésképpen azt nem a 98/34 irányelv 1. cikkének (2) bekezdése értelmében vett »információs társadalommal összefüggő szolgáltatásnak«, hanem a 2006/123 irányelv 2. cikke (2) bekezdésének d) pontja értelmében vett »közlekedés területén nyújtott szolgáltatásnak« kell minősíteni (lásd ebben az értelemben: 2017. december 20-i Asociación Profesional Elite Taxi ítélet, C-434/15, EU:C:2017:981, 40. pont).”</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2018. szeptember 26-i Van</w:t>
        </w:r>
      </w:hyperlink>
      <w:r>
        <w:t xml:space="preserve"> Gennip és társai ítélet, C-137/17, EU:C:2018:771, 42. és 43. pont.</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Azok a nemzeti rendelkezések, amelyek a termékek forgalmazását az engedéllyel rendelkező vevőtől teszik függővé, nem tartoznak a „szolgáltatásokra vonatkozó szabály” fogalma alá, mivel nem az „információs társadalommal összefüggő szolgáltatásokra” vonatkoznak.</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Harmadszor, a „szolgáltatásokra vonatkozó szabályok” kategóriáját illetően, emlékeztetni kell arra, hogy a 98/34 irányelv 1. cikke 5. pontja szerint ilyen szabálynak minősül az ugyanezen irányelv 1. cikkének 2. pontja szerinti minden szolgáltatási tevékenységek megkezdésére és végzésére vonatkozó általános jellegű követelmény, e szolgáltatások pedig az „információs társadalom bármely szolgáltatás[át], azaz bármely, általában térítés ellenében, távolról, elektronikus úton és a szolgáltatást igénybe vevő egyéni kérelmére nyújtott szolgáltatás[t]” jelölik (2016. február 4-i Ince ítélet, C-336/14, EU:C:2016:72, 74. pont).</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A jelen ügyben meg kell állapítani, amint a főtanácsnok indítványának 73. pontjában kifejtette, hogy az alapügyben szóban forgó szabályozás nem vonatkozik a 98/34 irányelv 1. cikkének 2. pontjában szereplő információs társadalom szolgáltatásaira. Következésképpen e szabályozás nem tartozhat az információs társadalomnak az említett irányelv 1. cikkének 5. pontja értelmében vett „szolgáltatásokra vonatkozó szabálya” kategóriájába.”</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2019. szeptember 12-i VG</w:t>
        </w:r>
      </w:hyperlink>
      <w:r>
        <w:t xml:space="preserve"> Media ítélet, C-299/17, EU:C:2019:716, 32., 33. és 36. pont.</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Az olyan nemzeti rendelkezés, amely megtiltja a keresőmotorok kereskedelmi üzemeltetőinek és a kereskedelmi tartalomszolgáltatóknak, hogy újságokat tegyenek hozzáférhetővé a nyilvánosság számára, „műszaki szabálynak” minősül, és azt be kell jelenteni a Bizottságnak.</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Valamely szabály akkor tekinthető kifejezetten az „információs társadalommal összefüggő szolgáltatásokra” irányulónak, ha bizonyos rendelkezések ezt a célt szolgálják, még akkor is, ha nem a szabály kizárólagos célja. Ez a cél levezethető a szabály indokolásából, amely az előkészítő munkálatokban szerepel, még akkor is, ha magából a szabály szövegéből nem derül ki kifejezetten.</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E tekintetben meg kell jegyezni, hogy ezen irányelv 1. cikke 5. pontja ötödik bekezdésének első francia bekezdése szerint valamely szabály az indokolására, és a rendelkező részére tekintettel minősülhet kifejezetten az információs társadalom szolgáltatásaira irányuló szabálynak. Ezenkívül ugyanezen rendelkezés alapján nem szükséges, hogy a szóban forgó szabály egészének az információs társadalom szolgáltatásainak szabályozása legyen a „kifejezett célja és tárgya”, mivel elegendő, ha e szabály csak néhány rendelkezésében irányul e célra vagy e tárgyra (2017. december 20-i Falbert és társai ítélet, C-255/16, EU:C:2017:983, 32. pont).</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Ezenkívül, még ha nem is kizárólag valamely nemzeti szabály szövegéből következik, hogy az – legalábbis részben – kifejezetten az információs társadalommal összefüggő szolgáltatások szabályozására irányul, e cél mindazonáltal meglehetősen könnyen kitűnhet a szabály indokolásából, amint az kitűnik, az e tekintetben releváns nemzeti értelmezési szabályoknak megfelelően, többek között a szabály előkészítő munkálataiból (lásd ebben az értelemben: 2017. december 20-i Falbert és társai ítélet, C-255/16, EU:C:2017:983, 33. pont).”</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Ugyanis, noha a kérdést előterjesztő bíróság nem ad világos útmutatást az alapügy tárgyát képező nemzeti szabályozás kifejezett céljára és tárgyára vonatkozóan, a német kormány által a Bíróság előtti tárgyaláson előterjesztett észrevételekből kitűnik, hogy az UrhG módosítása eredetileg kifejezetten az internetes keresőmotor-szolgáltatókra vonatkozott. Egyébiránt az alapeljárásban részt vevő felek és a Bizottság írásbeli észrevételeiben azt állítják, hogy e szabályozás célja a digitális világban a sajtótermék-kiadók jogos érdekeinek védelme volt. Ennélfogva az alapügy tárgyát képező nemzeti rendelkezés elsődleges tárgya és célja nyilvánvalóan a sajtótermék-kiadók védelme volt a szerzői jog online keresőmotorok útján történő megsértésével szemben. Ebben az összefüggésben úgy tűnik, hogy a védelmet csak az online kiadók műveinek az információs társadalommal összefüggő szolgáltatást nyújtó szolgáltatók általi rendszeres megsértése esetén tartották szükségesnek.”</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2019. december 19-i Airbnb</w:t>
        </w:r>
      </w:hyperlink>
      <w:r>
        <w:t xml:space="preserve"> Ireland ítélet, C</w:t>
        <w:noBreakHyphen/>
        <w:t xml:space="preserve">390/18, EU:C:2019:1112, 64–68. és 99. pont</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Az olyan közvetítő szolgáltatás, amely elektronikus platformon keresztül összekapcsolja az ügyfeleket a rövid távú szálláshelyeket kínáló szállásadókkal, miközben kiegészítő szolgáltatásokat nyújt, „információs társadalommal összefüggő szolgáltatásnak” minősül, mivel a kiegészítő szolgáltatások nem biztosítanak jelentős befolyást a szálláshely-szolgáltatások nyújtására.</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Ahhoz, hogy egy szolgáltatás „információs társadalommal összefüggő szolgáltatásnak” minősüljön, négy feltételnek kell együttesen megfelelnie: ezt díjazás ellenében, távolról, elektronikus úton és a címzett egyéni kérelmére kell biztosítani.</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Az Airbnb Ireland által nyújtott és a jelen ítélet 59–63. pontjában hivatkozott szolgáltatások – függetlenül attól, hogy azok választhatóak-e, vagy sem – még együttesen sem teszik lehetővé az e társaság által nyújtott közvetítői szolgáltatás elválasztható jellegének, és következésképpen az „információs társadalommal összefüggő szolgáltatásként” való minősítésének megkérdőjelezését, mivel nem változtatják meg lényegesen e szolgáltatás sajátos jellemzőit. E tekintetben egyébiránt ellentmondásos lenne – amint arra a főtanácsnok az indítványának 46. pontjában rámutatott –, ha az elektronikus platform által az ügyfeleknek nyújtott, többek között a versenytársaktól való megkülönböztetést célzó, hozzáadott értéket képviselő járulékos szolgáltatások további elemek hiányában a platform tevékenységének és következésképpen e tevékenység jogi minősítésének a megváltoztatását eredményezhetnék.</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Ezenkívül az AHTOP és a francia kormány állításaival ellentétben egy olyan közvetítői szolgáltatás működése, mint amelyet az Airbnb Ireland nyújt, nem tekinthető azonosnak a 2017. december 20-i Asociación Profesional Elite Taxi ítélet (C-434/15, EU:C:2017:981, 39. pont) és a 2018. április 10-i Uber France ítélet (C-320/16, EU:C:2018:221, 21. pont) alapjául szolgáló közvetítői szolgáltatás működéséhez.</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Amellett, hogy az említett ítéletek konkrét hátterét az EUMSZ 58. cikk (1) bekezdésének hatálya alá tartozó városi személyszállítás képezte, és az Airbnb Ireland által nyújtott szolgáltatások nem hasonlíthatók az előző pontban említett ítéletek alapjául szolgáló ügyekben szereplő szolgáltatásokhoz, a jelen ítélet 59–63. pontjában felidézett járulékos szolgáltatások nem teszik lehetővé olyan ellenőrzési szint egyértelmű megállapítását, mint amelyet a Bíróság az említett ítéletekben állapított meg.</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Így a Bíróság ezekben az ítéletekben rámutatott arra, hogy az Uber döntő befolyást gyakorolt az e társaság által a rendelkezésükre bocsátott alkalmazást használó nem hivatásos sofőrök által nyújtott szállítási szolgáltatás feltételeire (2017. december 20-i Asociación Profesional Elite Taxi ítélet, C-434/15, EU:C:2017:981, 39. pont; 2018. április 10-i Uber France ítélet, C-320/16, EU:C:2018:221, 21. pont).</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A kérdést előterjesztő bíróság által említett és a fenti 19. pontban felidézett körülmények nem bizonyítják, hogy az Airbnb Ireland ilyen meghatározó befolyást gyakorol azon szálláshely-szolgáltatások nyújtásának feltételeire, amelyekre a közvetítő szolgáltatása vonatkozik, annál is kevésbé, mivel az Airbnb Ireland sem közvetlenül, sem közvetve nem határozza meg a felszámított bérleti díjat, amint az a fenti 56. és 62. pontban megállapításra került, és még kevésbé választja ki a platformján bérbe adott szállást vagy szállást.”</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Tekintettel arra, hogy a Francia Köztársaság nem jelentette be a Hoguet-törvényt, és tekintettel a 2000/31 irányelv 3. cikkének (4) bekezdésében előírt, a fenti 84. és 85. pontban felidézett feltételek együttes jellegére, meg kell állapítani, hogy e törvény semmiképpen nem alkalmazható az alapügyben az Airbnb Irelandéhez hasonló helyzetben lévő magánszemélyre, függetlenül attól, hogy e törvény megfelel-e az e rendelkezésben előírt egyéb feltételeknek.”</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2020. október 22-i Sportingbet</w:t>
        </w:r>
      </w:hyperlink>
      <w:r>
        <w:t xml:space="preserve"> és Internet Opportunity Entertainment ítélet, C</w:t>
        <w:noBreakHyphen/>
        <w:t xml:space="preserve">275/19, EU:C:2020:856, 47–49. pont.</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A „szolgáltatásokra vonatkozó szabályok” fogalma alá tartozik az a szabályozás, amely valamely közjogi jogalany számára kizárólagos jogot biztosít bizonyos szerencsejátékok szervezésére, beleértve az internetet is, amennyiben azok az információs társadalommal összefüggő szolgáltatásra vonatkoznak.</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Az említett irányelv 1. cikkének 5. pontja alapján „szolgáltatásokra vonatkozó szabálynak” minősül az ugyanezen irányelv 1. cikkének 2. pontja szerinti minden szolgáltatási tevékenységek megkezdésére és végzésére vonatkozó általános jellegű követelmény, e szolgáltatások pedig az „információs társadalom bármely szolgáltatás[át], azaz bármely, általában térítés ellenében, távolról, elektronikus úton és a szolgáltatást igénybe vevő egyéni kérelmére nyújtott szolgáltatás[t]” jelölik.</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E tekintetben a Bíróság már kimondta, hogy az internetes szerencsejátékok nyújtásának tilalmára vonatkozó rendelkezések, az e tilalom alóli kivételek, az internetes sportfogadások nyújtásának lehetőségére vonatkozó korlátozások, valamint a szerencsejátékok internetes reklámozásának tilalma a 98/34 irányelv 1. cikkének 5. pontja értelmében vett „szolgáltatásokra vonatkozó szabályoknak” minősíthetők, amennyiben az ezen irányelv 1. cikkének 2. pontja értelmében „információs társadalom [...] szolgáltatására” vonatkoznak (lásd analógia útján: 2016. február 4-i Ince ítélet, C-336/14, EU:C:2016:72, 75. pont).</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Márpedig a jelen ügyben a 282/2003. sz. felhatalmazáson alapuló törvényerejű rendelet 2. és 3. cikkében előírt szabályok kifejezetten az információs társadalom szolgáltatásaira vonatkoznak. Ezenkívül, mivel a Santa Casa kizárólagos jogot kapott az interneten szerencsejátékok szervezésére, az említett rendelkezések a Santa Casa kivételével minden gazdasági szereplő számára megtiltják e szolgáltatások nyújtását.”</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2020. december 3-i Star</w:t>
        </w:r>
      </w:hyperlink>
      <w:r>
        <w:t xml:space="preserve"> Taxi App ítélet, C</w:t>
        <w:noBreakHyphen/>
        <w:t xml:space="preserve">62/19, EU:C:2020:980, 52–54. és 64–66. pont.</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Az „információs társadalommal összefüggő szolgáltatások” kategóriájába tartozik az olyan közvetítő szolgáltatás, amely csupán összekapcsolja az ügyfeleket a már engedélyezett taxisofőrökkel – anélkül, hogy maga szervezné meg a szállítási szolgáltatást, nem választja ki a járművezetőket, nem szabja meg a viteldíjakat, illetve nem gyakorol ellenőrzést a járművek vagy járművezetők felett.</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Ezenkívül nem minősíthető „szolgáltatásokra vonatkozó szabálynak” az olyan szabályozás, amely nem kifejezetten az ilyen szolgáltatásokra irányul, hanem megkülönböztetés nélkül alkalmazandó a teherelosztás valamennyi formájára, beleértve a telefonon vagy alkalmazáson keresztül történő kézbesítést is.</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Először is, az előzetes döntéshozatalra utaló határozatból kitűnik, hogy a 2017. december 20-i Asociación Profesional Elite Taxi ítélet (C-434/15, EU:C:2017:981) alapjául szolgáló ügy tárgyát képező közvetítői szolgáltatással ellentétben – amely szolgáltatás a mindaddig a piacról hiányzó, nem hivatásos sofőrök által végzett városi közlekedési szolgáltatás nyújtását teremtette meg és tette hozzáférhetővé – az alapügy tárgyát képező szolgáltatás csupán arra korlátozódik, amint azt a főtanácsnok az indítványának 49. pontjában kiemelte, hogy lehetővé tegye a város egyik pontjáról a másikra eljutni kívánó személyeknek kizárólag engedéllyel rendelkező olyan taxisofőrökkel való összekapcsolását, akik e tevékenységet már korábban is végezték, és akiknek a számára e közvetítői szolgáltatás a többi mellett csupán egyik módját képezi annak, hogy ügyfélkört szerezzenek, és e szolgáltatást ráadásul nem kötelesek igénybe venni.</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Másodszor, az ilyen közvetítői szolgáltatás nem tekinthető olyannak, mint amely az ezt követő városi közlekedési szolgáltatás általános működését szervezné meg, hiszen nem a szolgáltatást nyújtó fél választja ki a taxisofőröket, nem ő határozza meg vagy szedi be a fuvardíjat, és nem végez minőség-ellenőrzést sem a járműveket, a sofőrjeiket, illetve ez utóbbiak magaviseletét illetően.</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Ebből következik, hogy a Star Taxi App által nyújtotthoz hasonló közvetítői szolgáltatás nem tekinthető egy olyan átfogó szolgáltatás szerves részének, amelynek fő eleme szállítási szolgáltatás, és ezért a 2000/31 irányelv 2. cikkének a) pontja értelmében vett »információs társadalommal összefüggő szolgáltatásnak« minősül.”</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Jelen esetben az előzetes döntéshozatalra utaló határozatból kitűnik, hogy az alapügy tárgyát képező román szabályozás – legyen szó akár a 38/2003. sz. törvényről, akár a 178/2008. sz. határozatról – egyáltalán nem tesz említést az információs társadalommal összefüggő szolgáltatásokról. Ráadásul a 178/2008. sz. határozat 1. mellékletének 3. cikke, 21. cikkének (1) és (31) bekezdése, valamint 41. cikkének (21) bekezdése különbségtétel nélkül vonatkozik a diszpécser-szolgáltatások minden típusára, függetlenül attól, hogy azokat telefonon vagy bármely más módon, például valamely informatikai alkalmazás útján nyújtják.</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Ezenfelül, amint arra a főtanácsnok az indítványának 108. pontjában rámutatott, a 38/2003. sz. törvény az okostelefonos alkalmazás segítségével működő diszpécser-szolgáltatást nyújtó szolgáltatóktól – éppúgy, mint bármely más diszpécser-szolgáltatást nyújtó szolgáltatótól – megköveteli, hogy olyan berendezésekkel, jelen esetben rádió-adóvevőkkel rendelkezzenek, amelyeknek e szolgáltatás nyújtásának műszaki feltételeire tekintettel nincs semmi értelme.</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Ily módon, mivel az olyan szabályozás, mint az alapügy tárgyát képező szabályozás, nem kifejezetten az információs társadalom szolgáltatásaira vonatkozik, e szolgáltatásokat csak hallgatólagosan vagy esetlegesen érinti. Az ilyen szabály tehát nem tekinthető a 2015/1535 irányelv 1. cikke (1) bekezdésének e) pontja értelmében vett „szolgáltatásokra vonatkozó szabálynak”, következésképpen pedig az ezen irányelv 1. cikke (1) bekezdésének f) pontja értelmében vett „műszaki szabálynak”.</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2024. február 29-i Doctipharma</w:t>
        </w:r>
      </w:hyperlink>
      <w:r>
        <w:rPr>
          <w:rFonts w:ascii="Times New Roman" w:hAnsi="Times New Roman" w:cs="Times New Roman" w:eastAsia="Times New Roman"/>
          <w:b/>
          <w:i/>
          <w:szCs w:val="20"/>
        </w:rPr>
        <w:t xml:space="preserve"> SAS ítélet, C-606/21, EU:C:2024:179, 26–30. és 34–36. pont.</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A gazdasági tevékenység keretében a szolgáltató által nyújtott szolgáltatásért járó díjazást nem feltétlenül a kedvezményezetteknek kell megfizetniük. Ez vonatkozik az internetes oldalon nyújtott olyan szolgáltatásra, amely a gyógyszerészek és az ügyfelek gyógyszerértékesítés céljából történő összekapcsolásából áll, amennyiben a szolgáltatást azok a gyógyszerészek fizetik, akik rögzített díj ellenében feliratkoztak a platformjára.</w:t>
      </w:r>
    </w:p>
    <w:p w14:paraId="60E238C1" w14:textId="77777777">
      <w:pPr>
        <w:pStyle w:val="P68B1DB1-BodyText22"/>
      </w:pPr>
    </w:p>
    <w:p w14:paraId="16BCA1E5" w14:textId="5221BD03">
      <w:pPr>
        <w:pStyle w:val="P68B1DB1-BodyText22"/>
      </w:pPr>
      <w:r>
        <w:t xml:space="preserve">Az ilyen szolgáltatás nem része egy olyan átfogó szolgáltatásnak, amelynek fő eleme más jogi minősítés alá tartozik, mint az „információs társadalommal összefüggő szolgáltatás”.</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A 98/34 irányelv 1. cikkének (2) bekezdése és a 2015/1535 irányelv 1. cikke (1) bekezdésének b) pontja úgy határozza meg az „információs társadalommal összefüggő szolgáltatás” fogalmát, mint „minden olyan szolgáltatás, amelyet általában térítés ellenében, távolról, elektronikus úton és a szolgáltatást igénybe vevő egyéni kérelmére nyújtanak”.</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A jelen ügyben az e rendelkezésekben kimondott első feltételt illetően emlékeztetni kell arra, hogy az állandó ítélkezési gyakorlat szerint a szolgáltató által gazdasági tevékenysége keretében nyújtott szolgáltatás díját nem szükségszerűen a szolgáltatás igénybe vevőinek kell megfizetniük (lásd ebben az értelemben: 2016. szeptember 15-i Mc Fadden ítélet, C-484/14, EU:C:2016:689, 41. pont; 2017. május 4-i Vanderborght ítélet, C-339/15, EU:C:2017:335, 36. pont).</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Ily módon ahhoz, hogy az alapügyben szereplőhöz hasonló szolgáltatást a 98/34 irányelv 1. cikkének 2. pontja és a 2015/1535 irányelv 1. cikke (1) bekezdésének b) pontja értelmében vett az „információs társadalom bármely szolgáltatásának” fogalma alá tartozónak lehessen minősíteni, nincs jelentősége annak, hogy e szolgáltatást ingyenesen nyújtják az orvosi rendelvényhez nem kötött gyógyszert vásárló személy számára, mivel e szolgáltatás nyújtója és az említett szolgáltatást igénybe vevő egyes gyógyszerészek között fizetés ellenében kötött, szolgáltatásnyújtásra irányuló szerződés jön létre.</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Hasonlóképpen, e tekintetben nincs jelentősége annak a ténynek, hogy – amint arra a Doctipharma rámutatott – az általános szerződési feltételek értelmében a platformjára regisztráló gyógyszerészek átalányösszeget fizettek a részére, vagy – amint arra a francia kormány rámutatott – annak a ténynek, hogy a Doctipharma által nyújtott szolgáltatásért a gyógyszerész ügyfelek a Doctipharma részére havi előfizetési díjat fizettek, valamint átengedték az értékesítési összeg egy százalékát, amelyet a platform levont.</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Ebből következik, hogy – a kérdést előterjesztő bíróság által elvégzendő vizsgálatokra is figyelemmel – az alapügyben szóban forgó szolgáltatást mindenképpen díjazás ellenében nyújtott szolgáltatásnak kell tekinteni.”</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E megállapítást nem kérdőjelezi meg a Bíróság által a 2017. december 20-i Asociación Profesional Elite Taxi ítéletben (C-434/15, EU:C:2017:981), a 2019. december 19-i Airbnb Ireland ítéletben (C-390/18, EU:C:2019:1112) és a 2020. december 3-i Star Taxi App ítéletben (C-62/19, EU:C:2020:980) kialakított ítélkezési gyakorlat.</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Ezen ítélkezési gyakorlatból ugyanis kitűnik, hogy az olyan szolgáltatást, amelynek tárgya az ügyfelek és egy másik, eltérő jellegű szolgáltatás nyújtóinak összekapcsolása, és amely megfelel a 98/34 irányelv 1. cikkének 2. pontjában és a 2015/1535 irányelv 1. cikke (1) bekezdésének b) pontjában előírt valamennyi feltételnek, az „információs társadalom bármely szolgáltatásának” kell minősíteni, amennyiben az ilyen szolgáltatás az e szolgáltatók által nyújtott eltérő jellegű szolgáltatástól elkülönülő szolgáltatás. Más a helyzet azonban, ha ezen összekapcsolási szolgáltatás nyilvánvalóan egy olyan átfogó szolgáltatás szerves része, amelynek a fő eleme egy, az „információs társadalom bármely szolgáltatásának” jogi minősítésétől eltérő jogi minősítés körébe tartozó szolgáltatás (2020. december 3-i Star Taxi App ítélet, C-62/19, EU:C:2020:980, 49. pont, valamint az ott hivatkozott ítélkezési gyakorlat).</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Amint arra a főtanácsnok indítványának 28. és 29. pontjában rámutatott, a gyógyszerészek és az ügyfelek vény nélkül kapható gyógyszerek értékesítése céljából történő összekapcsolására irányuló szolgáltatás az e szolgáltatásra előfizetett gyógyszertárak internetes oldalain nem képezheti szerves részét egy olyan átfogó szolgáltatásnak, amelynek fő eleme nem minősül »információs társadalommal összefüggő szolgáltatásnak«.”</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2025. március 13-i Unigames</w:t>
        </w:r>
      </w:hyperlink>
      <w:r>
        <w:rPr>
          <w:rFonts w:ascii="Times New Roman" w:hAnsi="Times New Roman" w:cs="Times New Roman" w:eastAsia="Times New Roman"/>
          <w:b/>
          <w:i/>
          <w:szCs w:val="20"/>
        </w:rPr>
        <w:t xml:space="preserve"> UAB ítélet, C</w:t>
        <w:noBreakHyphen/>
        <w:t xml:space="preserve">120/24, EU:C:2025:174, 38–42. pont.</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A szerencsejátékok szerencsejáték-oldalakon történő reklámozásának tilalma nem a szerencsejáték-szolgáltatástól független reklámszolgáltatásra, hanem az online szerencsejáték-szolgáltatástól elválaszthatatlan szolgáltatásra vonatkozik. Következésképpen annak meghatározásához, hogy „szolgáltatásokra vonatkozó szabálynak” minősül-e, először is az online szerencsejáték-szolgáltatások „információs társadalommal összefüggő szolgáltatásnak” való minősítését kell megvizsgálni.</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A jelen ítélet 36. és 37. pontjában kifejtett megfontolásokat</w:t>
      </w:r>
      <w:r>
        <w:rPr>
          <w:i w:val="0"/>
        </w:rPr>
        <w:t xml:space="preserve"> [amely szerint az online szerencsejáték-szolgáltatásokat »információs társadalommal összefüggő szolgáltatásnak« kell tekinteni] </w:t>
      </w:r>
      <w:r>
        <w:t xml:space="preserve">nem kérdőjelezi meg az a tény, hogy a szerencsejáték-szervező által a honlapján közzétett, szerencsejátékra vonatkozó információkat nem feltétlenül „a szolgáltatást igénybe vevő egyéni kérelmére” nyújtják. Márpedig az információk e közzététele olyan körülmények között, mint amelyekről az alapügyben szó van, nem tekinthető reklámszolgáltatásnak vagy a távszerencsejáték-szolgáltatások igénybe vevőinek nyújtott egyéb szolgáltatásnak, hanem olyan tevékenységnek minősül, amely az érintett távszerencsejáték-szolgáltatásokhoz képest járulékos jellegű és elválaszthatatlan attól, amelynek teljes gazdasági értelmét levezeti (lásd analógia útján: 2020. október 1-jei A [Gyógyszerek reklámozása és online értékesítése] ítélet, C-649/18, EU:C:2020:764, 56. pont). Következésképpen csak maguknak a szerencsejáték-szolgáltatásoknak kell megfelelniük a 2015/1535 irányelv 1. cikke (1) bekezdésének b) pontja értelmében vett „szolgáltatás” fogalma alá tartozó releváns feltételeknek, és az alapügyben szóban forgó, az információk ilyen közzétételére vonatkozó tilalomnak a maga részéről meg kell felelnie az ezen irányelv 1. cikke (1) bekezdésének e) pontjában előírt különös kritériumoknak ahhoz, hogy az e szolgáltatásokra vonatkozó, ez utóbbi rendelkezés értelmében vett „szabálynak” lehessen tekinteni.</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Ez utóbbi tekintetben, bár nem vitatott, hogy az alapügyben szóban forgó tilalom a 2015/1535 irányelv 1. cikke (1) bekezdésének e) pontja értelmében vett „általános jellegű követelménynek” minősül, először is meg kell vizsgálni, hogy tekinthető-e úgy, hogy „a szolgáltatási tevékenységek megkezdésére és folytatására” vonatkozik, és e rendelkezés pontosítja, hogy ez a helyzet áll fenn többek között a szolgáltatóra, a szolgáltatásokra és a szolgáltatás igénybevevőjére vonatkozó rendelkezések tekintetében.</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E tekintetben meg kell állapítani, hogy a szerencsejátékokról szóló törvény 10. cikkének 19. pontja a „szolgáltatásokra vonatkozó szabály” fogalma alá tartozhat, mivel megtiltja többek között a távszerencsejátékban való részvétel ösztönzését, és különösen a szerencsejátékra vonatkozó információknak a szerencsejáték-szervező honlapján történő közzétételét, illetve a szerencsejátékban való részvételt ösztönző cselekmények elvégzését (lásd ebben az értelemben: 2020. október 22-i Sportingbet és Internet Opportunity Entertainment ítélet, C-275/19, EU:C:2020:856, 48. pont, valamint az ott hivatkozott ítélkezési gyakorlat).</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Másrészt, amint az magából a 2015/1535 irányelv 1. cikke (1) bekezdése e) pontjának szövegéből kitűnik, ahhoz, hogy „szolgáltatásokra vonatkozó szabálynak” lehessen minősíteni, az alapügyben szóban forgó tilalomnak „kifejezetten” az információs társadalom szolgáltatásaira kell irányulnia (lásd ebben az értelemben: 2019. szeptember 12-i VG Media ítélet, C-299/17, EU:C:2019:716, 31. pont).</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E tekintetben a 2015/1535 irányelv 1. cikke (1) bekezdése e) pontja második albekezdésének i) pontjából az következik, hogy annak ellenőrzését, hogy valamely szabály kifejezetten az információs társadalom szolgáltatásaira irányul-e, mind e szabály szövegére, mind az általa követett célra tekintettel kell elvégezni. Egyébiránt e rendelkezés értelmében nem követelmény, hogy a szóban forgó szabály egészének „konkrét célja és célja” az információs társadalom szolgáltatásainak szabályozása legyen, hanem elegendő, ha a szóban forgó szabály bizonyos rendelkezései révén e célt vagy célt követi (lásd ebben az értelemben: 2019. szeptember 12-i VG Media ítélet, C-299/17, EU:C:2019:716, 32. pont, valamint az ott hivatkozott ítélkezési gyakorlat). Végül az említett irányelv 1. cikke (1) bekezdése e) pontja második albekezdésének ii. alpontja értelmében egy szabály nem tekinthető kifejezetten az információs társadalom szolgáltatásaira vonatkozó szabálynak, ha e szolgáltatásokat csak hallgatólagosan vagy járulékosan érinti.”</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Tiltó rendelkezések</w:t>
      </w:r>
      <w:bookmarkEnd w:id="98"/>
      <w:bookmarkEnd w:id="99"/>
    </w:p>
    <w:p w14:paraId="11A12362" w14:textId="77777777">
      <w:pPr>
        <w:pStyle w:val="BodyText"/>
      </w:pPr>
    </w:p>
    <w:p w14:paraId="6DD7108F" w14:textId="22E84863">
      <w:pPr>
        <w:pStyle w:val="P68B1DB1-BodyText11"/>
        <w:ind w:left="567"/>
        <w:rPr>
          <w:iCs/>
        </w:rPr>
      </w:pPr>
      <w:r>
        <w:t xml:space="preserve">„»műszaki szabály«: a tagállamok [...] törvényi, rendeleti vagy közigazgatási rendelkezései, kivéve a 7. cikkben foglaltakat, amelyek megtiltják valamely termék gyártását, behozatalát, forgalmazását vagy használatát, vagy valamely szolgáltatás nyújtását vagy használatát, illetve a szolgáltatóként való letelepedést.”</w:t>
      </w:r>
    </w:p>
    <w:p w14:paraId="6EA3335C" w14:textId="77777777">
      <w:pPr>
        <w:pStyle w:val="BodyText"/>
        <w:ind w:left="567"/>
        <w:rPr>
          <w:i/>
          <w:iCs/>
        </w:rPr>
      </w:pPr>
    </w:p>
    <w:p w14:paraId="05F6428B" w14:textId="3C27EE7A">
      <w:pPr>
        <w:pStyle w:val="BodyText"/>
        <w:ind w:left="1440"/>
        <w:jc w:val="right"/>
      </w:pPr>
      <w:r>
        <w:t xml:space="preserve">(az (EU) 2015/1535 irányelv 1. cikke (1) bekezdése f) pontjának első mondata)</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1996. szeptember 16-i</w:t>
        </w:r>
      </w:hyperlink>
      <w:r>
        <w:t xml:space="preserve"> Bizottság kontra Olaszország ítélet, C-279/94, EU:C:1997:396, 30. pont.</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Az azbeszt forgalomba hozatalának és felhasználásának tilalma bejelentési kötelezettség alá tartozó, bejelentendő „műszaki szabály”, mivel tiltja a termék forgalmazását és használatát.</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Ami a 257/92. sz. törvény 1. cikkének (2) bekezdését illeti, e rendelkezés megtiltja az azbeszt, az azbeszttermékek és az azbeszttartalmú termékek kitermelését, behozatalát, kivitelét, forgalmazását és előállítását a törvény hatálybalépését követő egy év elteltével. Az ilyen rendelkezés az azbeszt forgalmazásának és felhasználásának megtiltásával olyan műszaki szabálynak minősül, amelyet az olasz kormánynak az irányelv 8. cikke (1) bekezdésének első albekezdésével összhangban be kellett volna jelentenie.”</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2005. április 21-i Lindberg</w:t>
        </w:r>
      </w:hyperlink>
      <w:r>
        <w:t xml:space="preserve"> ítélet, C-267/03, EU:C:2005:246, 75–77. pont.</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A bizonyos szerencsejátékokra vonatkozó nemzeti tilalom akkor minősíthető tiltó rendelkezésnek, ha a tisztán marginális terméken kívül nem hagy teret az érintett termék észszerű felhasználásának. Ezzel szemben a tilalomként való minősítés nem függ a tilalomnak az érintett termékek összetételére, jellegére vagy forgalmazására gyakorolt hatásától.</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Ebben a tekintetben lényeges, hogy a műszaki szabályok 83/189 irányelv 1. cikkének 9. pontjában meghatározott harmadik kategóriája az ugyanazon cikk 3. pontjának értelmében vett egyéb követelmények által alkotott második kategóriától eltérően nem tartalmazza azt a feltételt, amely szerint az érintett tilalom az érintett termék összetételének, természetének valamint az értékesítésének jelentős befolyásolására alkalmas.</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A műszaki szabályoknak ez a harmadik kategóriája, amely többek között a használat tilalmára vonatkozik, szükségszerűen olyan intézkedéseket érint, amelyek hatálya egyértelműen túlmegy a termék néhány lehetséges felhasználásának korlátozásán, nem szorítkozik tehát azok használatának egyszerű korlátozására.</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Ahogy azt a főtanácsnok indítványának 70. pontjában megemlítette, a műszaki szabályoknak ez a kategóriája különösen azokat a nemzeti intézkedéseket érinti, amelyek nem tesznek lehetővé az érintett terméktől észszerűen elvárható tisztán másodlagos használattól eltérő használatot. A nemzeti bíróság feladata annak vizsgálata, hogy az alapügyben szóban forgó nemzeti rendelkezés által előírt tilalom ilyen intézkedésnek minősül-e.”</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2005. szeptember 8-i Lidl</w:t>
        </w:r>
      </w:hyperlink>
      <w:r>
        <w:t xml:space="preserve"> Italia ítélet, C-303/04, EU:C:2005:528, 12. és 13. pont.</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A nem bizonyos anyagokból előállított termékek forgalmazásának nemzeti tilalma a termékek gyártását és forgalmazását tiltó rendelkezésnek minősül.</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a 98/34 irányelv 1. cikkének 11. pontja értelmében valamely tagállam olyan nemzeti rendelkezését, amely megtiltja valamely termék gyártását, behozatalát, forgalmazását vagy használatát, a műszaki szabályok egyik kategóriájának kell tekinteni (lásd a C-267/03. sz. Lindberg-ügyben 2005. június 15–én hozott ítélet [az EBHT-ban még nem tették közzé] 54. pontját).</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A jelen ügyben elegendő azt megállapítani, hogy a 93/2001 törvény 19. cikkének (2) bekezdése ilyen jellegű rendelkezés. E rendelkezés értelmében az olyan gyapotbimbók gyártása és forgalmazása, amelyek nem rendelkeznek az említett jellemzőkkel, azaz amelyek nem teljes egészében biológiailag lebomló anyagokból készülnek az UNI 10785 szabványnak megfelelően, közigazgatási szankciókat vonnak maguk után.”</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2006. október 26-i Bizottság</w:t>
        </w:r>
      </w:hyperlink>
      <w:r>
        <w:t xml:space="preserve"> kontra Görögország ítélet, C-65/05, EU:C:2006:673, 61. pont.</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Műszaki szabálynak kell tekinteni azokat az intézkedéseket, amelyek megtiltják valamennyi elektromos vagy elektronikus játékeszköz kaszinókon kívüli telepítését és a számítógépes játékok használatát az internetes szolgáltatásokat nyújtó vállalkozásokban, valamint az ilyen vállalkozások üzemeltetését külön engedély kiadásától teszik függővé.</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a 3037/2002. sz. törvény 2. cikkének (1) bekezdésében és 3. cikkében előírthoz hasonló intézkedéseket, amennyiben azok megtiltják valamennyi elektromos, elektromechanikus és elektronikus játék – beleértve a számítógépes játékokat is – görögországi telepítését a kaszinók kivételével valamennyi köz- és magánterületen, valamint a játékok internetes szolgáltatásokat nyújtó vállalkozásoknál történő használatát, és az ilyen vállalkozások működését külön engedélyhez kötik, a 98/34 irányelv 1. cikkének 11. pontja értelmében műszaki szabályoknak kell tekinteni (lásd ebben az értelemben a C 267/03. sz.</w:t>
        <w:noBreakHyphen/>
        <w:t xml:space="preserve">Lindberg-ügyben 2005. 3247. sz. ügyben hozott ítéletet</w:t>
        <w:noBreakHyphen/>
        <w:t>).”</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2012. július 19-i Fortuna</w:t>
        </w:r>
      </w:hyperlink>
      <w:r>
        <w:t xml:space="preserve"> és társai ítélet, C-213/11, C-214/11 és C-217/11, EU:C:2012:495, 24. és 25. pont.</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A játékautomaták kaszinókon kívüli használatát tiltó intézkedést „műszaki szabálynak” kell minősíteni.</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a Bíróság már kimondta, hogy a 98/34 irányelv 1. cikkének 11. pontja értelmében vett műszaki szabályoknak kell tekinteni azokat az intézkedéseket, amelyek tiltják valamennyi elektromos, elektromechanikus és elektronikus játék használatát a kaszinók kivételével valamennyi köz- és magánterületen (a C-65/05. sz., Bizottság kontra Görögország ügyben 2006. december 12–én hozott ítélet [EBHT 2006., I-10341. o.] 61. pontja).</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Következésképpen a 98/34 irányelv 1. cikkének 11. pontja értelmében vett „műszaki szabálynak” kell minősíteni az olyan intézkedést, mint a szerencsejátékokról szóló törvény 14. cikkének (1) bekezdése, amely kizárólag játékkaszinók számára teszi lehetővé a játékautomatákon történő játékszervezést.”</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2016. október 27-i James</w:t>
        </w:r>
      </w:hyperlink>
      <w:r>
        <w:t xml:space="preserve"> Elliott Construction ítélet, C-613/14, EU:C:2016:821, 70. pont.</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Az értékesített termékek kereskedelmi minőségére, használatra való alkalmasságára vagy általános minőségére vonatkozó hallgatólagos szerződéses feltételeket megállapító nemzeti rendelkezések nem minősülnek tiltó rendelkezésnek.</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az alapügyben szóban forgó szabályozás nem tartozik a 98/34 irányelv 1. cikkének 11. pontjában említett műszaki szabályok hatálya alá, mivel azáltal, hogy csupán hallgatólagos szerződéses követelményeket határoz meg, nem tartalmaz az ezen irányelv értelmében vett tilalmat valamely termék gyártására, behozatalára, forgalmazására vagy felhasználására, szolgáltatás nyújtására vagy használatára, illetve szolgáltatóként való letelepedésére vonatkozóan.”</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2020. május 28-i ECO</w:t>
        </w:r>
      </w:hyperlink>
      <w:r>
        <w:t xml:space="preserve"> -WIND Construction ítélet, C-727/17, EU:C:2020:393, 45–47. pont.</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A szélturbinák telepítésére vonatkozó minimális távolságot előíró szabályozás nem tiltja valamely termék gyártását, behozatalát, forgalmazását vagy használatát, kivéve, ha az a szélturbinák forgalmazásának de facto tilalmát vonja maga után, és a szélturbinák kizárólag marginális használatát teszi lehetővé.</w:t>
      </w:r>
    </w:p>
    <w:p w14:paraId="57350EE4" w14:textId="77777777">
      <w:pPr>
        <w:pStyle w:val="BodyText"/>
        <w:jc w:val="left"/>
      </w:pPr>
    </w:p>
    <w:p w14:paraId="671DACC6" w14:textId="1CB89713">
      <w:pPr>
        <w:pStyle w:val="P68B1DB1-BodyText19"/>
        <w:ind w:left="567"/>
        <w:rPr>
          <w:iCs/>
        </w:rPr>
      </w:pPr>
      <w:r>
        <w:t xml:space="preserve">„45. E kategória azt feltételezi, hogy a szóban forgó intézkedés hatálya egyértelműen túlmegy a termék néhány lehetséges felhasználásának korlátozásán, és nem szorítkozik azok használatának egyszerű korlátozására (2005. április 21-i Lindberg ítélet, C-267/03, EU:C:2005:246, 76. pont; 2012. július 19-i Fortuna és társai ítélet, C-213/11, C-214/11 és C-217/11, EU:C:2012:495, 31. pont).</w:t>
      </w:r>
    </w:p>
    <w:p w14:paraId="787A0A4F" w14:textId="77777777">
      <w:pPr>
        <w:pStyle w:val="P68B1DB1-BodyText19"/>
        <w:ind w:left="567"/>
        <w:rPr>
          <w:iCs/>
        </w:rPr>
      </w:pPr>
    </w:p>
    <w:p w14:paraId="7CEA657E" w14:textId="35F61E5B">
      <w:pPr>
        <w:pStyle w:val="P68B1DB1-BodyText19"/>
        <w:ind w:left="567"/>
        <w:rPr>
          <w:iCs/>
        </w:rPr>
      </w:pPr>
      <w:r>
        <w:t xml:space="preserve">46. Az említett kategória ugyanis különösen azokat a nemzeti intézkedéseket érinti, amelyek nem tesznek lehetővé az érintett terméktől észszerűen elvárható tisztán másodlagos használattól eltérő használatot (2005. április 21-i Lindberg ítélet, C-267/03, EU:C:2005:246, 77. pont; 2012. július 19-i Fortuna és társai ítélet, C-213/11, C-214/11 és C-217/11, EU:C:2012:495, 32. pont).</w:t>
      </w:r>
    </w:p>
    <w:p w14:paraId="47448916" w14:textId="77777777">
      <w:pPr>
        <w:pStyle w:val="P68B1DB1-BodyText19"/>
        <w:ind w:left="567"/>
        <w:rPr>
          <w:iCs/>
        </w:rPr>
      </w:pPr>
    </w:p>
    <w:p w14:paraId="6508CA59" w14:textId="00D7F268">
      <w:pPr>
        <w:pStyle w:val="P68B1DB1-BodyText19"/>
        <w:ind w:left="567"/>
        <w:rPr>
          <w:iCs/>
        </w:rPr>
      </w:pPr>
      <w:r>
        <w:t xml:space="preserve">47. A jelen ügyben, bár az alapügyben szóban forgó nemzeti szabályozás által előírt azon követelmény, amely szerint a szélturbina telepítésének feltétele az e szélerőmű és a lakóépületek közötti minimális távolságra vonatkozó feltétel tiszteletben tartása, kétségtelenül magában foglalja annak tilalmát, hogy a szélturbinát a tervezett létesítmény teljes magasságának legalább tízszeresével kisebb távolságra építsék be minden lakóépülettől, meg kell azonban állapítani, hogy e szabályozás nem tiltja meg a gazdasági szereplők számára, hogy folytassák szélturbinák telepítését, és így szélgenerátorok használatát és forgalmazását.”</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műszaki előírások</w:t>
      </w:r>
      <w:bookmarkEnd w:id="109"/>
      <w:bookmarkEnd w:id="110"/>
    </w:p>
    <w:p w14:paraId="297F85EC" w14:textId="77777777">
      <w:pPr>
        <w:pStyle w:val="BodyText"/>
      </w:pPr>
    </w:p>
    <w:p w14:paraId="6C908457" w14:textId="3B825828">
      <w:pPr>
        <w:pStyle w:val="P68B1DB1-BodyText11"/>
        <w:ind w:left="567"/>
        <w:rPr>
          <w:i/>
        </w:rPr>
      </w:pPr>
      <w:r>
        <w:t xml:space="preserve">„A de facto műszaki szabályok a következőket foglalják magukban: </w:t>
      </w:r>
    </w:p>
    <w:p w14:paraId="277715A6" w14:textId="77777777">
      <w:pPr>
        <w:pStyle w:val="BodyText"/>
        <w:ind w:left="567"/>
        <w:rPr>
          <w:i/>
        </w:rPr>
      </w:pPr>
    </w:p>
    <w:p w14:paraId="28BCD2BD" w14:textId="757EEC79">
      <w:pPr>
        <w:pStyle w:val="P68B1DB1-BodyText11"/>
        <w:numPr>
          <w:ilvl w:val="0"/>
          <w:numId w:val="31"/>
        </w:numPr>
        <w:rPr>
          <w:i/>
        </w:rPr>
      </w:pPr>
      <w:r>
        <w:t xml:space="preserve">valamely tagállam törvényi, rendeleti vagy közigazgatási rendelkezései, amelyek vagy a szolgáltatással kapcsolatos műszaki leírásokra vagy más követelményekre, illetve szabályokra vonatkoznak, vagy olyan szakmai vagy gyakorlati szabályzatokra, amelyek viszont műszaki leírásokra vagy más követelményekre, illetve szolgáltatásokra vonatkozó szabályokra vonatkoznak, és amelyek betartása feltételezi a fent említett törvények, rendeletek és közigazgatási rendelkezések által előírt kötelezettségeknek való megfelelést; </w:t>
      </w:r>
    </w:p>
    <w:p w14:paraId="32E4257D" w14:textId="77777777">
      <w:pPr>
        <w:pStyle w:val="BodyText"/>
        <w:ind w:left="1287"/>
        <w:rPr>
          <w:i/>
        </w:rPr>
      </w:pPr>
    </w:p>
    <w:p w14:paraId="5E0B6B62" w14:textId="2D5EF06C">
      <w:pPr>
        <w:pStyle w:val="P68B1DB1-BodyText11"/>
        <w:numPr>
          <w:ilvl w:val="0"/>
          <w:numId w:val="31"/>
        </w:numPr>
        <w:rPr>
          <w:i/>
        </w:rPr>
      </w:pPr>
      <w:r>
        <w:t xml:space="preserve">önkéntes megállapodások, amelyeknél az egyik szerződő fél egy hatóság, amely a köz érdekében intézkedik, műszaki leírások vagy más követelmények, illetve szolgáltatásra vonatkozó szabályok teljesítéséről, kivéve a közbeszerzési ajánlati leírásokat; </w:t>
      </w:r>
    </w:p>
    <w:p w14:paraId="4BEF10A9" w14:textId="77777777">
      <w:pPr>
        <w:pStyle w:val="BodyText"/>
        <w:rPr>
          <w:i/>
        </w:rPr>
      </w:pPr>
    </w:p>
    <w:p w14:paraId="5C79F6B1" w14:textId="7967F579">
      <w:pPr>
        <w:pStyle w:val="P68B1DB1-BodyText11"/>
        <w:numPr>
          <w:ilvl w:val="0"/>
          <w:numId w:val="31"/>
        </w:numPr>
        <w:rPr>
          <w:i/>
        </w:rPr>
      </w:pPr>
      <w:r>
        <w:t xml:space="preserve">műszaki leírások vagy más követelmények, illetve szolgáltatásra vonatkozó szabályok, amelyek az ezeknek való megfelelés ösztönzése által termékek fogyasztására vagy szolgáltatások igénybevételére hatással bíró adó- vagy pénzügyi intézkedésekkel kapcsolatosak; a nemzeti társadalombiztosítási rendszerekkel kapcsolatos műszaki leírások a szolgáltatások egyéb követelményei, vagy szabályai azonban nem tartoznak közéjük. </w:t>
      </w:r>
    </w:p>
    <w:p w14:paraId="712A28B1" w14:textId="77777777">
      <w:pPr>
        <w:pStyle w:val="BodyText"/>
        <w:rPr>
          <w:i/>
        </w:rPr>
      </w:pPr>
    </w:p>
    <w:p w14:paraId="24545D3F" w14:textId="615DFC82">
      <w:pPr>
        <w:pStyle w:val="P68B1DB1-BodyText11"/>
        <w:ind w:left="567"/>
        <w:rPr>
          <w:i/>
        </w:rPr>
      </w:pPr>
      <w:r>
        <w:t xml:space="preserve">Ez magában foglalja a tagállamok által kijelölt hatóságok által előírt műszaki szabályokat, amelyek szerepelnek a Bizottság által a 2. cikkben említett bizottság keretében összeállított és adott esetben naprakésszé tett listán.”</w:t>
      </w:r>
    </w:p>
    <w:p w14:paraId="5E87FB40" w14:textId="77777777">
      <w:pPr>
        <w:pStyle w:val="BodyText"/>
        <w:ind w:left="567"/>
        <w:rPr>
          <w:i/>
        </w:rPr>
      </w:pPr>
    </w:p>
    <w:p w14:paraId="5389ED96" w14:textId="0CBC1966">
      <w:pPr>
        <w:pStyle w:val="BodyText"/>
        <w:jc w:val="right"/>
      </w:pPr>
      <w:r>
        <w:t xml:space="preserve">(az (EU) 2015/1535 irányelv 1. cikke (1) bekezdése f) pontjának második és harmadik mondata)</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r>
        <w:t xml:space="preserve">A Bíróság </w:t>
      </w:r>
      <w:hyperlink r:id="rId66" w:history="1">
        <w:r>
          <w:rPr>
            <w:color w:val="0000FF"/>
            <w:u w:val="single"/>
          </w:rPr>
          <w:t xml:space="preserve">1997. március 20-i ítélete, Bic</w:t>
        </w:r>
      </w:hyperlink>
      <w:r>
        <w:t xml:space="preserve"> Benelux, C-13/96, EU:C:1997:173, 23–25. pont.</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Olyan jelölési követelmény, amelynek célja, hogy tájékoztassa a fogyasztót bizonyos termékek környezeti lábnyomáról, és egy adóhoz kapcsolódik, de műszaki leírásnak minősül. Nem tekinthető úgy, hogy kizárólag „adóintézkedéshez kapcsolódik”, és ezért nem tartozik a „de facto műszaki szabályok” fogalma alá.</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először is, az alapügyben szóban forgó jelölési követelmény a 83/189 irányelv 1. cikkének (5) bekezdésében szereplő fogalommeghatározás szerint de jure műszaki szabálynak minősül, mivel annak „betartása kötelező az érintett termék forgalmazása esetén”, és mivel az 1. cikk (1) bekezdésében szereplő meghatározás szerint műszaki leírásnak minősül, mivel a rendelkező rész meghatározza „a termék megkövetelt jellemzőit, mint például a [...] jelölésre vagy címkézésre vonatkozó, a termékre alkalmazandó követelményeket”.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Másodszor, a szóban forgó megjelölés célja, hogy tájékoztassa a nyilvánosságot többek között a termékek környezetre gyakorolt hatásairól, és a belga kormány megerősítette, hogy a jelölésre vonatkozó szabályozásnak jelentőséget kell tulajdonítani. A környezetvédelmi adónak a környezet védelmére irányuló célját tehát megerősíti a jelölés, amely más környezetvédelmi címkézéshez hasonlóan – függetlenül attól, hogy a környezetvédelmi adóhoz kapcsolódik-e vagy sem – emlékezteti a fogyasztókat a szóban forgó termékek környezetre gyakorolt káros hatásaira.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Mivel a szóban forgó jelölési követelmény semmiképpen nem tekinthető kizárólag adóügyi kísérő intézkedésnek, nem minősül a 94/10 irányelvvel módosított 83/189 irányelv 1. cikke (9) bekezdése második albekezdésének harmadik francia bekezdése értelmében vett adóintézkedéshez kapcsolódó követelménynek.”</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2014. július 10-i Ivansson</w:t>
        </w:r>
      </w:hyperlink>
      <w:r>
        <w:rPr>
          <w:b/>
          <w:i/>
        </w:rPr>
        <w:t xml:space="preserve"> és társai ítélet</w:t>
      </w:r>
      <w:r>
        <w:rPr>
          <w:sz w:val="25"/>
        </w:rPr>
        <w:t>,</w:t>
      </w:r>
      <w:r>
        <w:rPr>
          <w:b/>
          <w:i/>
        </w:rPr>
        <w:t xml:space="preserve"> C-307/13, EU:C:2014:2058, 30. és 31. pont</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A „műszaki leírást” vagy „egyéb követelményeket” tartalmazó részletes közigazgatási szabályokra való hivatkozás „de facto műszaki szabálynak” minősítheti a törvénytervezetet.</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meg kell állapítani, hogy bár e bekezdés önmagában </w:t>
      </w:r>
      <w:r>
        <w:rPr>
          <w:i w:val="0"/>
        </w:rPr>
        <w:t>nem</w:t>
      </w:r>
      <w:r>
        <w:t xml:space="preserve"> minősül műszaki szabálynak, második albekezdésében a tyúktartásra vonatkozó további rendelkezésekre hivatkozik, amelyeket a mezőgazdasági tanács egy későbbi időpontban közöl.</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A részletesebb közigazgatási szabályokra való ilyen hivatkozás – feltéve, hogy e szabályok önmagukban »műszaki leírásnak« vagy »egyéb követelményeknek« tekinthetők – a 98/34 irányelv 1. cikke 11. pontjának első francia bekezdése értelmében „de facto műszaki szabálynak” minősítheti az DSF 9. §-át.”</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2015. június 11-i Berlington</w:t>
        </w:r>
      </w:hyperlink>
      <w:r>
        <w:t xml:space="preserve"> Hungary és társai ítélet, C-98/14, EU:C:2015:386, 95–97. pont.</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Azok a nemzeti rendelkezések, amelyek ötszörösen szorozzák meg a játéktermekben üzemeltetett pénznyerő automaták után fizetendő adót, és e tevékenységre arányos adót vezetnek be, nem minősülnek „de facto műszaki szabálynak”, mivel az irányelv értelmében vett adójogi rendelkezésekről, nem pedig „adószabályozáshoz kapcsolódó műszaki előírásokról” van szó.</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Ezen irányelv 1. cikke 11. pontjának harmadik francia bekezdése értelmében az e rendelkezés értelmében vett „de facto műszaki szabályok” „olyan műszaki leírásokat vagy egyéb követelményeket vagy szolgáltatásokra vonatkozó szabályokat foglalnak magukban, amelyek a termékek vagy szolgáltatások fogyasztását az ilyen műszaki leírásoknak vagy egyéb követelményeknek, illetve szolgáltatásokra vonatkozó szabályoknak való megfelelés ösztönzése révén érintő adó- vagy pénzügyi intézkedésekhez kapcsolódnak”.</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E megfogalmazásból következik, hogy a „de facto műszaki szabályok” fogalma nem magukat az adóintézkedéseket jelenti, hanem a műszaki leírásokat vagy az azokhoz kapcsolódó egyéb követelményeket.</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Következésképpen az olyan adójogi szabályozás, mint amelyről az alapügyben szó van, nem minősíthető „de facto műszaki szabálynak” olyan műszaki leírással vagy más követelménnyel, amelynek való megfelelés biztosítására irányul.”</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2020. október 8-i Admiral</w:t>
        </w:r>
      </w:hyperlink>
      <w:r>
        <w:t xml:space="preserve"> Sportwetten és társai ítélet, EU:C:2020:812, 38. és 41. pont</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Nem minősíthető „de facto műszaki szabálynak” az olyan adójogszabály, amelyhez nem kapcsolódik semmilyen „műszaki leírás” vagy más olyan követelmény, amelynek a megfelelés biztosítása a célja. A sportfogadási automaták üzemeltetésének adóztatását előíró nemzeti adójogi szabályozás tehát nem minősül „műszaki szabálynak”.</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a 2015/1535 irányelv 1. cikke (1) bekezdése f) pontjának iii. alpontja értelmében vett de facto műszaki szabályokat illetően a Bíróság már kimondta, hogy az olyan adójogi szabályozás, amelyhez nem kapcsolódik olyan műszaki leírás vagy más követelmény, amelynek való megfelelés biztosítására irányul, nem minősíthető „de facto műszaki szabálynak” (lásd ebben az értelemben: 2015. június 11-i Berlington Hungary és társai ítélet, C 98/14</w:t>
        <w:noBreakHyphen/>
        <w:t xml:space="preserve">, EU:C:2015:386, 97. pont).”</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Következésképpen a fenti megfontolások összességére tekintettel az első kérdésre azt a választ kell adni, hogy a 2015/1535 irányelv 1. cikkét úgy kell értelmezni, hogy az olyan nemzeti adószabály, amely a fogadóterminálok üzemeltetésének adóztatását írja elő, nem minősül az e cikk értelmében vett »műszaki szabálynak«.”</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2022. december 22-i Airbnb</w:t>
        </w:r>
      </w:hyperlink>
      <w:r>
        <w:rPr>
          <w:rFonts w:ascii="Times New Roman" w:hAnsi="Times New Roman" w:cs="Times New Roman" w:eastAsia="Times New Roman"/>
          <w:b/>
          <w:i/>
          <w:szCs w:val="20"/>
        </w:rPr>
        <w:t xml:space="preserve"> Ireland és Airbnb Payments UK ítélet, C 83/21</w:t>
        <w:noBreakHyphen/>
        <w:t xml:space="preserve">, EU:C:2022:1018, 29. és 30. pont.</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Az adójogi jellegű szabályozás önmagában nem minősíthető „de facto műszaki szabálynak”.</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Harmadszor, a 2015/1535 irányelvet illetően meg kell állapítani, hogy az „az [EUM-Szerződésre], és különösen annak 114., 337. és 43. cikkére” vonatkozik. Ennek megfelelően először is meg kell állapítani, hogy az EUMSZ 114. cikk (2) bekezdésében előírt, az „adózásra” vonatkozó kivételt ezen irányelvvel kapcsolatban is alkalmazni kell, a jelen ítélet 25. pontjában kifejtett indokok miatt.</w:t>
      </w:r>
    </w:p>
    <w:p w14:paraId="5619063A" w14:textId="77777777">
      <w:pPr>
        <w:pStyle w:val="P68B1DB1-BodyText19"/>
        <w:ind w:left="567"/>
      </w:pPr>
    </w:p>
    <w:p w14:paraId="43BD732D" w14:textId="6B6E6B11">
      <w:pPr>
        <w:pStyle w:val="P68B1DB1-BodyText19"/>
        <w:ind w:left="567"/>
        <w:rPr>
          <w:iCs/>
        </w:rPr>
      </w:pPr>
      <w:r>
        <w:t xml:space="preserve">30. Ezenfelül, a 2015/1535 irányelv tartalma közvetetten megerősíti az „adózásnak” az ezen irányelv hatálya alóli kizárását, mivel a 2015/1535 irányelv 1. cikke (1) bekezdése f) pontja iii. alpontjának megfogalmazása a de facto műszaki szabályok között említi a műszaki szabályokat vagy más követelményeket, illetve az olyan szolgáltatásokra vonatkozó szabályokat, amelyek „adó- vagy pénzügyi intézkedésekkel kapcsolatosak”. Ennélfogva nem tényleges adóintézkedésekről, hanem kizárólag adóintézkedésekhez kapcsolódó intézkedésekről van szó (lásd ebben az értelemben: 2020. október 8-i Admiral Sportwetten és társai ítélet, C-711/19, EU:C:2020:812, 38. pont); ez utóbbi tehát mint olyan nem tartozik az említett irányelv hatálya alá.”</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Kizárt kérdések</w:t>
      </w:r>
      <w:bookmarkEnd w:id="117"/>
      <w:bookmarkEnd w:id="118"/>
      <w:bookmarkEnd w:id="119"/>
    </w:p>
    <w:p w14:paraId="1278603B" w14:textId="77777777">
      <w:pPr>
        <w:pStyle w:val="BodyText"/>
        <w:rPr>
          <w:b/>
          <w:bCs/>
        </w:rPr>
      </w:pPr>
    </w:p>
    <w:p w14:paraId="1B32B976" w14:textId="77777777">
      <w:pPr>
        <w:pStyle w:val="P68B1DB1-BodyText11"/>
        <w:ind w:left="567"/>
      </w:pPr>
      <w:r>
        <w:t xml:space="preserve">„2. Ez az irányelv nem vonatkozik a következőkre: </w:t>
      </w:r>
    </w:p>
    <w:p w14:paraId="04019AF2" w14:textId="77777777">
      <w:pPr>
        <w:pStyle w:val="P68B1DB1-BodyText11"/>
        <w:ind w:left="1287" w:firstLine="153"/>
      </w:pPr>
      <w:r>
        <w:t xml:space="preserve">rádiós műsorszórási szolgáltatások; </w:t>
      </w:r>
    </w:p>
    <w:p w14:paraId="1EADA741" w14:textId="108B47F0">
      <w:pPr>
        <w:pStyle w:val="P68B1DB1-BodyText11"/>
        <w:ind w:left="1440"/>
      </w:pPr>
      <w:r>
        <w:t xml:space="preserve">b) a 2010/13/EU európai parlamenti és tanácsi irányelv (1) 1. cikke (1) bekezdése e) pontjának hatálya alá tartozó televíziós műsorszolgáltató szolgáltatások. </w:t>
      </w:r>
    </w:p>
    <w:p w14:paraId="7DD31811" w14:textId="77777777">
      <w:pPr>
        <w:pStyle w:val="P68B1DB1-BodyText11"/>
        <w:ind w:left="567"/>
      </w:pPr>
    </w:p>
    <w:p w14:paraId="21C04911" w14:textId="0885ED27">
      <w:pPr>
        <w:pStyle w:val="P68B1DB1-BodyText11"/>
        <w:ind w:left="567"/>
      </w:pPr>
      <w:r>
        <w:t xml:space="preserve">3. Ez az irányelv nem alkalmazandó a 2002/21/EK európai parlamenti és tanácsi irányelv (2) hatálya alá tartozó távközlési szolgáltatásokra vonatkozó uniós jogszabályok hatálya alá tartozó kérdésekkel kapcsolatos szabályokra. </w:t>
      </w:r>
    </w:p>
    <w:p w14:paraId="14E66827" w14:textId="77777777">
      <w:pPr>
        <w:pStyle w:val="P68B1DB1-BodyText11"/>
        <w:ind w:left="567"/>
      </w:pPr>
    </w:p>
    <w:p w14:paraId="21D3AD3B" w14:textId="663656A4">
      <w:pPr>
        <w:pStyle w:val="P68B1DB1-BodyText11"/>
        <w:ind w:left="567"/>
      </w:pPr>
      <w:r>
        <w:t xml:space="preserve">4. Ez az irányelv nem alkalmazandó az ezen irányelv II. mellékletében nem kimerítő jelleggel felsorolt, a pénzügyi szolgáltatások területére vonatkozó uniós jogszabályok hatálya alá tartozó kérdésekkel kapcsolatos szabályokra. </w:t>
      </w:r>
    </w:p>
    <w:p w14:paraId="0E58960E" w14:textId="77777777">
      <w:pPr>
        <w:pStyle w:val="P68B1DB1-BodyText11"/>
        <w:ind w:left="567"/>
      </w:pPr>
    </w:p>
    <w:p w14:paraId="66AEA247" w14:textId="77777777">
      <w:pPr>
        <w:pStyle w:val="P68B1DB1-BodyText11"/>
        <w:ind w:left="567"/>
      </w:pPr>
      <w:r>
        <w:t xml:space="preserve">5. Az 5. cikk (3) bekezdésének kivételével ez az irányelv nem alkalmazandó a 2004/39/EK európai parlamenti és tanácsi irányelv (3) szerinti szabályozott piacok által vagy azok számára, vagy az e piacokon klíring- vagy kiegyenlítési feladatokat ellátó más piacok vagy szervek által vagy azok számára elfogadott szabályokra.</w:t>
      </w:r>
    </w:p>
    <w:p w14:paraId="5D510CB9" w14:textId="77777777">
      <w:pPr>
        <w:pStyle w:val="P68B1DB1-BodyText11"/>
        <w:ind w:left="567"/>
      </w:pPr>
    </w:p>
    <w:p w14:paraId="70E3F74F" w14:textId="117D7E99">
      <w:pPr>
        <w:pStyle w:val="P68B1DB1-BodyText11"/>
        <w:ind w:left="567"/>
      </w:pPr>
      <w:r>
        <w:t xml:space="preserve">6. Ezen irányelv nem vonatkozik azokra az intézkedésekre, amelyeket a tagállamok a Szerződések alapján a termékeket használó személyek, különösen a munkavállalók védelme szempontjából szükségesnek ítélnek, amennyiben ezek az intézkedések nincsenek hatással a termékekre.</w:t>
      </w:r>
    </w:p>
    <w:p w14:paraId="24FE75EA" w14:textId="77777777">
      <w:pPr>
        <w:pStyle w:val="P68B1DB1-BodyText11"/>
        <w:ind w:left="567"/>
      </w:pPr>
    </w:p>
    <w:p w14:paraId="74938EC0" w14:textId="5965F3C9">
      <w:pPr>
        <w:pStyle w:val="BodyText"/>
        <w:ind w:left="1080"/>
        <w:jc w:val="right"/>
      </w:pPr>
      <w:r>
        <w:t xml:space="preserve">(Az (EU) 2015/1535 irányelv 1. cikkének (2)–(6) bekezdése)</w:t>
      </w:r>
    </w:p>
    <w:p w14:paraId="2BAD670C" w14:textId="77777777">
      <w:pPr>
        <w:pStyle w:val="BodyText"/>
        <w:rPr>
          <w:i/>
          <w:iCs/>
          <w:sz w:val="20"/>
        </w:rPr>
      </w:pPr>
    </w:p>
    <w:p w14:paraId="0C974BBF" w14:textId="3B58908A">
      <w:pPr>
        <w:pStyle w:val="P68B1DB1-BodyText23"/>
        <w:ind w:left="567"/>
        <w:rPr>
          <w:iCs/>
        </w:rPr>
      </w:pPr>
      <w:r>
        <w:t xml:space="preserve">„»televíziós műsorszolgáltatás« vagy »televíziós műsorszolgáltatás« (azaz lineáris audiovizuális médiaszolgáltatás): olyan, médiaszolgáltató által nyújtott audiovizuális médiaszolgáltatás, amely műsorrend alapján a műsorszámok egyidejű megtekintését szolgálja;”</w:t>
      </w:r>
    </w:p>
    <w:p w14:paraId="68D48BC5" w14:textId="77777777">
      <w:pPr>
        <w:pStyle w:val="BodyText"/>
        <w:ind w:left="567"/>
        <w:rPr>
          <w:i/>
          <w:iCs/>
          <w:szCs w:val="24"/>
        </w:rPr>
      </w:pPr>
    </w:p>
    <w:p w14:paraId="1E9F9AD6" w14:textId="648E8643">
      <w:pPr>
        <w:pStyle w:val="BodyText"/>
        <w:ind w:left="1080"/>
        <w:jc w:val="right"/>
      </w:pPr>
      <w:r>
        <w:t xml:space="preserve">(A 2010/13/EU irányelv 1. cikke (1) bekezdésének e) pontja)</w:t>
      </w:r>
    </w:p>
    <w:p w14:paraId="13E3D11F" w14:textId="77777777">
      <w:pPr>
        <w:pStyle w:val="BodyText"/>
        <w:ind w:left="1080"/>
        <w:jc w:val="right"/>
      </w:pPr>
    </w:p>
    <w:p w14:paraId="6E0ADBB8" w14:textId="55100584">
      <w:pPr>
        <w:pStyle w:val="P68B1DB1-BodyText11"/>
        <w:jc w:val="center"/>
        <w:rPr>
          <w:i/>
        </w:rPr>
      </w:pPr>
      <w:r>
        <w:t xml:space="preserve">Az 1. cikk (4) bekezdésének hatálya alá tartozó pénzügyi szolgáltatások tájékoztató jegyzéke</w:t>
      </w:r>
    </w:p>
    <w:p w14:paraId="25F72A02" w14:textId="77777777">
      <w:pPr>
        <w:pStyle w:val="BodyText"/>
        <w:jc w:val="center"/>
        <w:rPr>
          <w:i/>
        </w:rPr>
      </w:pPr>
    </w:p>
    <w:p w14:paraId="319C26B1" w14:textId="77777777">
      <w:pPr>
        <w:pStyle w:val="P68B1DB1-BodyText11"/>
        <w:ind w:left="567"/>
        <w:rPr>
          <w:i/>
        </w:rPr>
      </w:pPr>
      <w:r>
        <w:t xml:space="preserve">– Befektetési szolgáltatások, </w:t>
      </w:r>
    </w:p>
    <w:p w14:paraId="4E853016" w14:textId="77777777">
      <w:pPr>
        <w:pStyle w:val="P68B1DB1-BodyText11"/>
        <w:ind w:left="567"/>
        <w:rPr>
          <w:i/>
        </w:rPr>
      </w:pPr>
      <w:r>
        <w:t xml:space="preserve">– biztosítási és viszontbiztosítási műveletek, </w:t>
      </w:r>
    </w:p>
    <w:p w14:paraId="6692A963" w14:textId="77777777">
      <w:pPr>
        <w:pStyle w:val="P68B1DB1-BodyText11"/>
        <w:ind w:left="567"/>
        <w:rPr>
          <w:i/>
        </w:rPr>
      </w:pPr>
      <w:r>
        <w:t xml:space="preserve">banki szolgáltatások, </w:t>
      </w:r>
    </w:p>
    <w:p w14:paraId="23791C4C" w14:textId="77777777">
      <w:pPr>
        <w:pStyle w:val="P68B1DB1-BodyText11"/>
        <w:ind w:left="567"/>
        <w:rPr>
          <w:i/>
        </w:rPr>
      </w:pPr>
      <w:r>
        <w:t xml:space="preserve">nyugdíjalapokkal kapcsolatos műveletek, </w:t>
      </w:r>
    </w:p>
    <w:p w14:paraId="783F6792" w14:textId="77777777">
      <w:pPr>
        <w:pStyle w:val="P68B1DB1-BodyText11"/>
        <w:ind w:left="567"/>
        <w:rPr>
          <w:i/>
        </w:rPr>
      </w:pPr>
      <w:r>
        <w:t xml:space="preserve">– határidős ügyletekkel vagy opciókkal kapcsolatos szolgáltatások. </w:t>
      </w:r>
    </w:p>
    <w:p w14:paraId="2DCD1B55" w14:textId="77777777">
      <w:pPr>
        <w:pStyle w:val="BodyText"/>
        <w:ind w:left="567"/>
        <w:rPr>
          <w:i/>
        </w:rPr>
      </w:pPr>
    </w:p>
    <w:p w14:paraId="337555AF" w14:textId="77777777">
      <w:pPr>
        <w:pStyle w:val="P68B1DB1-BodyText11"/>
        <w:ind w:left="567"/>
        <w:rPr>
          <w:i/>
        </w:rPr>
      </w:pPr>
      <w:r>
        <w:t xml:space="preserve">Az ilyen szolgáltatások különösen a következőket tartalmazzák: </w:t>
      </w:r>
    </w:p>
    <w:p w14:paraId="3764E7FA" w14:textId="7CA8CD82">
      <w:pPr>
        <w:pStyle w:val="P68B1DB1-BodyText11"/>
        <w:ind w:left="567"/>
        <w:rPr>
          <w:i/>
        </w:rPr>
      </w:pPr>
      <w:r>
        <w:t xml:space="preserve">a 2004/39/EK irányelv mellékletében említett befektetési szolgáltatások; kollektív befektetési vállalkozások szolgáltatásai; </w:t>
      </w:r>
    </w:p>
    <w:p w14:paraId="5E0AD7FB" w14:textId="67C20460">
      <w:pPr>
        <w:pStyle w:val="P68B1DB1-BodyText11"/>
        <w:ind w:left="567"/>
        <w:rPr>
          <w:i/>
        </w:rPr>
      </w:pPr>
      <w:r>
        <w:t xml:space="preserve">b) a 2013/36/EU európai parlamenti és tanácsi irányelv (1) I. mellékletében említett kölcsönös elismerés hatálya alá tartozó tevékenységek körébe tartozó szolgáltatások; </w:t>
      </w:r>
    </w:p>
    <w:p w14:paraId="48C2F22B" w14:textId="3B1B8A48">
      <w:pPr>
        <w:pStyle w:val="P68B1DB1-BodyText11"/>
        <w:ind w:left="567"/>
        <w:rPr>
          <w:i/>
        </w:rPr>
      </w:pPr>
      <w:r>
        <w:t xml:space="preserve">C) a 2009/138/EK európai parlamenti és tanácsi irányelvben (2) említett biztosítási és viszontbiztosítási tevékenységek hatálya alá tartozó műveletek.</w:t>
      </w:r>
    </w:p>
    <w:p w14:paraId="29E9A8E3" w14:textId="77777777">
      <w:pPr>
        <w:pStyle w:val="BodyText"/>
        <w:ind w:left="720"/>
        <w:rPr>
          <w:i/>
        </w:rPr>
      </w:pPr>
    </w:p>
    <w:p w14:paraId="79D13F1F" w14:textId="142C9AC5">
      <w:pPr>
        <w:pStyle w:val="BodyText"/>
        <w:ind w:left="1080"/>
        <w:jc w:val="right"/>
      </w:pPr>
      <w:r>
        <w:t xml:space="preserve">(Az (EU) 2015/1535 irányelv II. melléklete)</w:t>
      </w:r>
    </w:p>
    <w:p w14:paraId="0C95D790" w14:textId="77777777">
      <w:pPr>
        <w:pStyle w:val="BodyText"/>
        <w:ind w:left="567"/>
        <w:rPr>
          <w:i/>
          <w:iCs/>
          <w:szCs w:val="24"/>
        </w:rPr>
      </w:pPr>
    </w:p>
    <w:p w14:paraId="7A47117F" w14:textId="7E196DE2">
      <w:pPr>
        <w:pStyle w:val="P68B1DB1-BodyText23"/>
        <w:ind w:left="567"/>
        <w:rPr>
          <w:iCs/>
        </w:rPr>
      </w:pPr>
      <w:r>
        <w:t xml:space="preserve">„»szabályozott piac«: piacműködtető által működtetett és/vagy irányított multilaterális rendszer, amely – a rendszeren belül és annak megkülönböztetésmentes szabályaival összhangban – összehozza vagy elősegíti több harmadik fél pénzügyi eszközökre vonatkozó vételi és eladási szándékát oly módon, hogy az szerződést eredményez a szabályai és/vagy rendszerei alapján kereskedésre bevezetett pénzügyi eszközök tekintetében, és amely engedéllyel rendelkezik, és ezen irányelv III. címével összhangban rendszeresen működik;”</w:t>
      </w:r>
    </w:p>
    <w:p w14:paraId="326B89D5" w14:textId="77777777">
      <w:pPr>
        <w:pStyle w:val="BodyText"/>
        <w:ind w:left="567"/>
        <w:rPr>
          <w:i/>
          <w:iCs/>
          <w:szCs w:val="24"/>
        </w:rPr>
      </w:pPr>
    </w:p>
    <w:p w14:paraId="2EE59DAD" w14:textId="7FE2F68F">
      <w:pPr>
        <w:pStyle w:val="P68B1DB1-BodyText24"/>
        <w:ind w:left="567"/>
        <w:jc w:val="right"/>
      </w:pPr>
      <w:r>
        <w:t xml:space="preserve">(A 2014/65/EU irányelv 4. cikkének 21. pontja, </w:t>
      </w:r>
    </w:p>
    <w:p w14:paraId="510D994F" w14:textId="6EE676DC">
      <w:pPr>
        <w:pStyle w:val="P68B1DB1-BodyText24"/>
        <w:ind w:left="567"/>
        <w:jc w:val="right"/>
      </w:pPr>
      <w:r>
        <w:t xml:space="preserve">a 2004/39/EK irányelv átdolgozása)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2005. június 2-i Mediakabel</w:t>
        </w:r>
      </w:hyperlink>
      <w:r>
        <w:rPr>
          <w:rFonts w:ascii="Times New Roman" w:hAnsi="Times New Roman" w:cs="Times New Roman" w:eastAsia="Times New Roman"/>
          <w:b/>
          <w:i/>
          <w:szCs w:val="20"/>
        </w:rPr>
        <w:t xml:space="preserve"> BV ítélet, C-89/04, EU:C:2005:348, 22. és 23. pont.</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Az előfizető által kérésre rendelkezésre álló televíziós műsorszolgáltatás, amely olyan filmekből áll, amelyek gyakoriságát és időzítését a szolgáltató határozza meg, a „televíziós műsorszolgáltatás” fogalmába tartozó „lehíváshoz közeli” szolgáltatásnak minősül. Ezt a fogalmat a 2010/13/EU irányelv (korábban 89/552/EGK irányelv) önállóan határozza meg, függetlenül az „információs társadalommal összefüggő szolgáltatás” fogalmától.</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a „televíziós műsorszolgáltatás” fogalmának hatálya semmiképpen sem vezethető le az „információs társadalommal összefüggő szolgáltatás” fogalmából való kizárással. A 98/34 irányelv ugyanis 1. cikkének 2. pontjában és V. mellékletében egyaránt megemlít olyan szolgáltatásokat, amelyeket nem fed az „információs társadalommal összefüggő szolgáltatás” fogalom, és amelyek nem minősülnek televíziós műsorszolgáltatásnak. Ez a helyzet például a rádiós műsorszolgáltatások esetében. A televíziós műsorszolgáltatásokat nem lehet a 98/34 irányelv V. melléklete 3. pontjában említett, az „egyéni kérelem nélküli, adatátvitel útján, korlátlan számú egyéni igénybevevő részére egyidejűleg nyújtott” szolgáltatásokra korlátozni. Ha elfogadnánk ezt az értelmezést, az olyan szolgáltatások, mint a korlátozott számú igénybevevőnek nyújtott előfizetéses televíziós műsorszolgáltatás, kikerülnének a televíziós műsorszolgáltatás fogalma alól, annak ellenére, hogy a 89/552 irányelv 1. cikkének a) pontjában lefektetett kritériumok alapján e fogalomba tartoznak.</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Végül pedig a közösségi jogalkalmazónak – amikor a 98/34 és 98/48 irányelvet elfogadta – nem az volt a szándéka, hogy a 89/552 irányelvet módosítsa, amelyet egy évvel korábban a 97/36 irányelvvel már módosítottak. Így a 98/34 irányelvet módosító 98/48 irányelv (20) preambulumbekezdése kimondja, hogy a 98/48 irányelv „nem érinti a 89/552 irányelv hatályát”.</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2019. szeptember 12-i VG</w:t>
        </w:r>
      </w:hyperlink>
      <w:r>
        <w:t xml:space="preserve"> Media ítélet, C-299/17, EU:C:2019:716, 38. pont.</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A „műszaki szabályok” a szellemi tulajdon területén nincsenek kizárva az irányelv hatálya alól, ellentétben a távközlésre vagy a pénzügyi szolgáltatásokra vonatkozó szabályokkal.</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az a körülmény, hogy az UrhG 87 g. §-ának (4) bekezdése a szerzői és szomszédos jogokra vonatkozó nemzeti szabályozás részét képezi, nem kérdőjelezi meg ezt az értékelést. A szellemi tulajdonra vonatkozó műszaki szabályok ugyanis a távközlési szolgáltatásokra és a pénzügyi szolgáltatásokra vonatkozó európai szabályozással ellentétben nincsenek kifejezetten kivéve a 98/34 irányelv 1. cikke 5. pontjának hatálya alól. Ezenkívül a 2007. november 8-i Schwibbert ítéletből (C 20/05</w:t>
        <w:noBreakHyphen/>
        <w:t xml:space="preserve">, EU:C:2007:652) kitűnik, hogy a szellemi tulajdonra vonatkozó nemzeti jogszabályok rendelkezései az ezen irányelv 8. cikkének (1) bekezdése szerinti bejelentési kötelezettség alá tartozó „műszaki szabálynak” minősülhetnek.”</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Értesítési kötelezettség</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Értesítés a tervezett fázisban</w:t>
      </w:r>
      <w:bookmarkEnd w:id="123"/>
      <w:bookmarkEnd w:id="124"/>
    </w:p>
    <w:p w14:paraId="27EBED2C" w14:textId="3CCBF668">
      <w:pPr>
        <w:pStyle w:val="BodyText"/>
        <w:rPr>
          <w:b/>
          <w:bCs/>
        </w:rPr>
      </w:pPr>
    </w:p>
    <w:p w14:paraId="58135D0C" w14:textId="021350D1">
      <w:pPr>
        <w:pStyle w:val="P68B1DB1-BodyText11"/>
        <w:ind w:left="567"/>
        <w:rPr>
          <w:iCs/>
        </w:rPr>
      </w:pPr>
      <w:r>
        <w:t xml:space="preserve">„A 7. cikkre is figyelemmel a tagállamok haladéktalanul közlik a Bizottsággal a műszakiszabály-tervezeteket, kivéve, ha az csak egy nemzetközi vagy európai szabvány teljes szövegét ülteti át, amely esetben elegendő a vonatkozó szabványra vonatkozó információ; a tagállamok tájékoztatják továbbá a Bizottságot azokról az indokokról, amelyek egy ilyen műszaki szabály elfogadását szükségessé teszik, amennyiben ezeket az indokokat a tervezetben még nem határozták meg.”</w:t>
      </w:r>
    </w:p>
    <w:p w14:paraId="79E57C28" w14:textId="77777777">
      <w:pPr>
        <w:pStyle w:val="BodyText"/>
        <w:ind w:left="567"/>
        <w:rPr>
          <w:i/>
          <w:iCs/>
        </w:rPr>
      </w:pPr>
    </w:p>
    <w:p w14:paraId="4348B9F9" w14:textId="1F348A6E">
      <w:pPr>
        <w:pStyle w:val="BodyText"/>
        <w:jc w:val="right"/>
      </w:pPr>
      <w:r>
        <w:t xml:space="preserve">(az (EU) 2015/1535 irányelv 5. cikke (1) bekezdésének első mondata)</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1993. augusztus 2-i Bizottság</w:t>
        </w:r>
      </w:hyperlink>
      <w:r>
        <w:t xml:space="preserve"> kontra Olaszország ítélet, C-139/92, EU:C:1993:346, 8. és 9. pont.</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Olaszország – mivel a tervezet szakaszában nem jelentette be a legnagyobb teljesítmény meghatározásáról és ellenőrzéséről, valamint a kedvtelési célú vízi járművek motorjainak építéséről és beépítéséről szóló miniszteri rendeletet – nem teljesítette a műszakiszabály-tervezetek bejelentésére vonatkozó kötelezettségét.</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Az olasz kormány nem vitatja, hogy nem közölte a Bizottsággal a szóban forgó miniszteri rendeletet a tervezet szakaszában.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Mivel megállapítást nyert, hogy megsértették az irányelv 8. és 9. cikkét, a Bizottság által kért módon meg kell állapítani a kötelezettségszegés fennállását.”</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1994. július 14-i Bizottság</w:t>
        </w:r>
      </w:hyperlink>
      <w:r>
        <w:t xml:space="preserve"> kontra Hollandia ítélet, C-61/93, EU:C:1994:302, 6. és 10. pont.</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Hollandia azáltal, hogy az üdítőital-palackokra vonatkozó rezisztenciakövetelményekről, valamint a peszticidek összetételéről, osztályozásáról, csomagolásáról és címkézéséről szóló rendeleteket fogadott el, anélkül hogy azokat a tervezetben közölte volna a Bizottsággal, nem teljesítette a műszakiszabály-tervezetek bejelentésére vonatkozó kötelezettségét.</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1989. november 17–i levelükben a holland hatóságok elismerték, hogy az 1989. január 16–i rendelet tartalmazta a 83/189 irányelv hatálya alá tartozó műszaki szabványokat, és hogy nem közölték a Bizottsággal a módosítás tervezetét. Rámutattak azonban arra, hogy a rendeletet megküldték a Bizottságnak, amelyet egy 1989. május 22-i levélhez csatoltak, amely tájékoztatást nyújtott ezen intézmény számára a súly- és mérőhatóságok privatizációjáról.”</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Nem vitatott, hogy az irányelv 8. cikkének megfelelően az 1989. január 16-i, az 1988. augusztus 24-i és az 1988. október 21-i rendelettervezetekről a kidolgozás szakaszában haladéktalanul értesíteni kellett volna a Bizottságot, és hogy ilyen bejelentésre nem került sor.”</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1994. július 14-i Bizottság</w:t>
        </w:r>
      </w:hyperlink>
      <w:r>
        <w:t xml:space="preserve"> kontra Hollandia ítélet, C-52/93, EU:C:1994:301, 6. és 10. pont.</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Hollandia azáltal, hogy anélkül módosította a virághagymákra vonatkozó minőségi előírásokról szóló rendeletet, hogy erről a Bizottságot a tervezet tervezetében értesítette volna, nem teljesítette a műszakiszabály-tervezetek bejelentésére vonatkozó kötelezettségét.</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1991. november 4-i levelükben a holland hatóságok elismerték, hogy a szóban forgó rendelet a 83/189 irányelv értelmében vett műszaki szabálynak minősül, és nem értesítették a Bizottságot a módosítástervezetről.”</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Nem vitatott, hogy az irányelv 8. cikke értelmében a PVS-rendelet XIII. módosítástervezetét haladéktalanul be kellett volna jelenteni a Bizottságnak, és hogy ilyen értesítést nem adtak meg.”</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2005. szeptember 8-i Bizottság</w:t>
        </w:r>
      </w:hyperlink>
      <w:r>
        <w:t xml:space="preserve"> kontra Portugália ítélet, C-500/03, EU:C:2005:515, 39–41. pont.</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Az irányelv előírja a tagállamok számára, hogy minden műszakiszabály-tervezetről haladéktalanul értesítsék a Bizottságot. Portugália azáltal, hogy anélkül fogadta el a műszaki szabályt, hogy arról értesítette volna a Bizottságot, nem teljesítette a műszakiszabály-tervezetek bejelentésére vonatkozó kötelezettségét.</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(Mivel az ítélet kizárólag francia és portugál nyelven áll rendelkezésre, a következő szöveg fordítás.)</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Mivel a jelen kötelezettségszegés megállapítása iránti kereset a hivatalos előzetes értesítési eljárás be nem tartásának megállapítására irányuló kérelemre korlátozódik, elegendő megállapítani – anélkül, hogy a felek többi érvére válaszolni kellene –, hogy a Bíróság már kimondta, hogy a 98/34 irányelv 8. cikkének (1) bekezdése arra kötelezi a tagállamokat, hogy haladéktalanul közöljék a Bizottsággal a műszakiszabály-tervezeteket (lásd ebben az értelemben az ezen irányelv rendelkezéseihez hasonló rendelkezéseket illetően különösen a 139/92. sz., Bizottság kontra Olaszország ügyben 1993. augusztus 2–án hozott ítélet [EBHT 4707., I.3. o.] 31. pontját</w:t>
        <w:noBreakHyphen/>
        <w:t xml:space="preserve">és a 273/94. sz., Bizottság kontra Hollandia ügyben 1996. január 11–én hozott ítélet [EBHT 1996.</w:t>
        <w:noBreakHyphen/>
        <w:t>,</w:t>
        <w:noBreakHyphen/>
        <w:t xml:space="preserve">I-I- o.] 31. pontját).</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Mivel a 783/98 rendelet releváns rendelkezései a 98/34 irányelv értelmében vett műszaki szabályoknak minősülnek, amint az a jelen ítélet 31. pontjában megállapításra került, a Portugál Köztársaság köteles volt azokat a 98/34 irányelv 8. cikkének (1) bekezdése értelmében tervezet formájában közölni (lásd ebben az értelemben a 98/34 irányelv rendelkezéseihez hasonló rendelkezéseket illetően a 145/97. sz., Bizottság kontra Belgium ügyben 1998. május 7–</w:t>
        <w:noBreakHyphen/>
        <w:t xml:space="preserve">én hozott ítélet [EBHT 2643.,</w:t>
        <w:noBreakHyphen/>
        <w:t xml:space="preserve">I-13. o.] 43. pontját és a 267/03. sz. Lindberg-ügyben 2005. április 21–én hozott ítélet [ </w:t>
        <w:noBreakHyphen/>
        <w:t xml:space="preserve">EBHT 2005., I-. o.] 43. pontját).</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Következésképpen meg kell állapítani, hogy a Portugál Köztársaság – mivel anélkül fogadta el a 783/98. sz. rendeletet, hogy azt a tervezetben közölte volna a Bizottsággal – nem teljesítette a 98/34 irányelv 8. cikkéből eredő kötelezettségeit.”</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2006. október 26-i Bizottság</w:t>
        </w:r>
      </w:hyperlink>
      <w:r>
        <w:t xml:space="preserve"> kontra Görögország ítélet, C-65/05, EU:C:2006:673, 60–62. pont</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Az irányelv előírja a tagállamok számára, hogy minden műszakiszabály-tervezetről haladéktalanul értesítsék a Bizottságot. Görögország – mivel a műszaki szabály elfogadása előtt nem küldött ilyen értesítést – nem teljesítette az ezen irányelvből eredő kötelezettségeit.</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az 1367/2006 rendelet egyetlen eleme sem teszi lehetővé annak megállapítását, hogy az e rendelet 6. cikke (1) bekezdésének első mondata értelmében vett „környezetbe történő kibocsátás” fogalmát bizonyos ipari létesítményekből, például gyárakból és erőművekből származó kibocsátásokra kell korlátozni.</w:t>
      </w:r>
    </w:p>
    <w:p w14:paraId="4BFB9A72" w14:textId="77777777">
      <w:pPr>
        <w:pStyle w:val="P68B1DB1-BodyText25"/>
        <w:ind w:left="510"/>
      </w:pPr>
    </w:p>
    <w:p w14:paraId="0E60EA19" w14:textId="5C6F09B6">
      <w:pPr>
        <w:pStyle w:val="P68B1DB1-BodyText25"/>
        <w:ind w:left="510"/>
      </w:pPr>
      <w:r>
        <w:t xml:space="preserve">61. E korlátozás nem vezethető le az Århusi Egyezményből sem, amelyet figyelembe kell venni az 1367/2006 rendelet értelmezése során, mivel ezen egyezmény 1. cikke kimondja, hogy e rendelet célja az, hogy hozzájáruljon az ezen egyezmény alapján fennálló kötelezettségek végrehajtásához, az egyezmény rendelkezéseinek uniós intézményekre és szervekre történő alkalmazását szolgáló szabályok meghatározása által.</w:t>
      </w:r>
    </w:p>
    <w:p w14:paraId="37017D07" w14:textId="77777777">
      <w:pPr>
        <w:pStyle w:val="P68B1DB1-BodyText25"/>
        <w:ind w:left="510"/>
      </w:pPr>
    </w:p>
    <w:p w14:paraId="36CD38D8" w14:textId="043FC15A">
      <w:pPr>
        <w:pStyle w:val="P68B1DB1-BodyText25"/>
        <w:ind w:left="510"/>
        <w:rPr>
          <w:iCs/>
        </w:rPr>
      </w:pPr>
      <w:r>
        <w:t xml:space="preserve">62. Éppen ellenkezőleg, ahogyan azt a Bíróság a mai napon kihirdetett Bayer CropScience és Stichting De Bijenstichting ítélet (C-442/14) 72. pontjában hangsúlyozta, az ilyen korlátozás ellentétes volna magának az Århusi Egyezmény 4. cikke (4) bekezdése első albekezdése d) pontjának szövegével. E rendelkezés ugyanis kimondja, hogy a környezetvédelem szempontjából releváns kibocsátási adatoknak nyilvánosnak kell lenniük. Az ipari létesítményektől eltérő forrásokból származó kibocsátásokra vonatkozó információk, például a növényvédő szerek növényeken vagy talajon történő használatából származó kibocsátások ugyanolyan fontosak a környezetvédelem szempontjából, mint az ipari eredetű kibocsátásokra vonatkozó információk.”</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Új műszaki előírásokról szóló értesítések</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1994. június 1-jei</w:t>
        </w:r>
      </w:hyperlink>
      <w:r>
        <w:t xml:space="preserve"> Bizottság kontra Németország ítélet, C-317/92, EU:C:1994:212, 25. és 26. pont.</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Egy meglévő „műszaki szabály” új termékekre való kiterjesztése a bejelentési kötelezettség hatálya alá tartozik, annak ellenére, hogy az eredeti műszaki szabályt, amelynek alkalmazási körét kiterjesztik, már bejelentették a Bizottságnak.</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Ezen érv nem fogadható el. A szóban forgó német szabályozás a fent hivatkozott 1. cikk értelmében vett új műszaki előírásnak minősül, mivel a nem újrahasználható steril orvosi eszközök Németországban csak akkor hozhatók forgalomba vagy használhatók, ha eleget tesznek bizonyos kötelezettségeknek, amelyek alkalmazása korábban a gyógyszerek címkézésére korlátozódott. Egy olyan szabály adott termékekre történő alkalmazása, amely korábban csak más termékeket érintett, az előbbihez képest új rendeletnek minősül, ezért azt az irányelvnek megfelelően be kell jelenteni.</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E megállapítást nem kérdőjelezi meg az a tény, hogy – amint azt a német kormány állítja – a szabály hatályának kiterjesztése a Bizottsággal korábban közölt felhatalmazó rendelkezésen alapul. Ez az engedélyező intézkedés, mint olyan, nem követeli meg a fent említett 8. cikk alapján történő értesítést, mivel nem minősül új termékleírásnak. Más a helyzet ezen intézkedés végrehajtását illetően, amely új pontosítást jelent, amelyet be kell jelenteni.”</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1999. június 3-i Colim</w:t>
        </w:r>
      </w:hyperlink>
      <w:r>
        <w:rPr>
          <w:b/>
          <w:i/>
          <w:sz w:val="22"/>
          <w:szCs w:val="22"/>
        </w:rPr>
        <w:t xml:space="preserve"> NV ítélet, C-33/189, EU:C:1999:274, 22. pont.</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Nem minősül „műszakiszabály-tervezetnek” az olyan nemzeti intézkedés, amely átveszi vagy felváltja a meglévő „műszaki szabályokat”, amelyeket már bejelentettek a Bizottságnak, anélkül, hogy új előírásokat tartalmazna.</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a 83/189 irányelv célja, hogy megelőző ellenőrzés révén védje az áruk szabad mozgását, amely a Közösség egyik alapköve (a C-13/96. sz. Bic Benelux ν Belgian State ügyben 1997. március 17–én hozott ítélet [EBHT 1997., I-1753. o.] 19. pontja). E nyomon követés célja az áruk szabad mozgását gátló azon akadályok felszámolása vagy csökkentése, amelyek a tagállamok által elfogadni javasolt műszaki szabályokból eredhetnek. Nem tekinthető a 83/189 irányelv 1. cikkének (6) bekezdése értelmében vett „műszakiszabály-tervezetnek”, és következésképpen bejelentési kötelezettség alá tartozik az olyan nemzeti intézkedés, amely a 83/189 irányelv hatálybalépését követően elfogadott, a Bizottsággal szabályszerűen közölt meglévő műszaki szabályokat új vagy kiegészítő előírások hozzáadása nélkül többszörözi vagy felváltja.”</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2005. április 21-i Lindberg</w:t>
        </w:r>
      </w:hyperlink>
      <w:r>
        <w:t xml:space="preserve"> ítélet, C-267/03, EU:C:2005:246, 82. és 85. pont.</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Nem szükséges bejelenteni azt a szabályt, amely pusztán megismétli vagy felváltja a már bejelentett szabályokat anélkül, hogy új „műszaki szabályokat” illesztene be.</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először is meg kell állapítani, hogy nem tekinthető a 83/189 irányelv 1. cikkének (9) bekezdése értelmében vett „műszakiszabály-tervezetnek”, következésképpen bejelentési kötelezettség alá tartozónak az olyan nemzeti intézkedés, amely a 83/189 irányelv hatálybalépését követően elfogadott, a Bizottsággal szabályszerűen közölt meglévő műszaki szabályokat új vagy kiegészítő előírások hozzáadása nélkül átveszi vagy felváltja (lásd a fent hivatkozott Colim-ügyben hozott ítélet 22. pontját). A jelen ügyben a 83/189 irányelv Svéd Királyság tekintetében történő hatálybalépésének időpontját kell figyelembe venni.”</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A fentiekre tekintettel a harmadik kérdésre azt a választ kell adni, hogy valamely termék tervezésével, különösen bizonyos játékautomaták üzemeltetésével kapcsolatos szolgáltatásnak a nemzeti szabályozásban történő újradefiniálása, amint azt az 1996. évi törvény tette, műszaki szabálynak minősülhet, amelyet a 83/189 irányelv értelmében be kell jelenteni, ha ez az új szabályozás nem szorítkozik arra, hogy átveszi vagy felváltja azokat a meglévő műszaki szabályokat, amelyeket a 83/189 irányelvnek az érintett tagállamban történő hatálybalépését követően fogadtak el, és amelyekről a Bizottságot megfelelően értesítették.”</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2025. március 13-i Unigames</w:t>
        </w:r>
      </w:hyperlink>
      <w:r>
        <w:rPr>
          <w:rFonts w:ascii="Times New Roman" w:hAnsi="Times New Roman" w:cs="Times New Roman" w:eastAsia="Times New Roman"/>
          <w:b/>
          <w:i/>
          <w:szCs w:val="20"/>
        </w:rPr>
        <w:t xml:space="preserve"> UAB ítélet, C-120/24, EU:C:2025:174, 57. és 58. pont.</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A műszakiszabály-tervezet hatályát lényegesen kiterjesztő módosítást be kell jelenteni. Az új magatartásra szankciókat bevezető módosítást a műszaki szabály jelentős felülvizsgálatának kell tekinteni.</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Az előzetes döntéshozatal iránti kérelemből kitűnik, hogy a szerencsejátékokról szóló törvény 10. cikkének (19) bekezdése „lényegesen felülvizsgálta” a szerencsejátékban való részvétel ösztönzésének tilalmát. Közelebbről, a kérdést előterjesztő bíróság rámutat arra, hogy az Unigames-nak a jelenleg hatályos jog alapján felrótt magatartás, amely abban áll, hogy e társaság honlapján információkat tesz közzé az általa kínált szerencsejáték-tevékenységekkel kapcsolatban, nem szankcionálható a szerencsejátékokról szóló régi törvény alapján. Ennélfogva a kérdést előterjesztő bíróság szerint e 10. cikk (19) bekezdése kiterjesztette e tilalom hatályát.</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Az előzetes döntéshozatal iránti kérelemben szereplő információkból tehát az következik, hogy a szerencsejátékokról szóló törvény 10. cikkének (19) bekezdése a szerencsejátékokról szóló korábbi törvény 10. cikkének 19. pontjához képest a jelen ítélet 52. pontjában felidézett ítélkezési gyakorlat értelmében vett új vagy további követelményeket vezetett be. Ebből következik, hogy a kérdést előterjesztő bíróság által elvégzendő esetleges vizsgálatokra is figyelemmel a jelenleg hatályos törvényhez vezető módosítást a 2015/1535 irányelv 5. cikke (1) bekezdésének első albekezdése alapján be kellett volna jelenteni.”</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Értesítés a teljes szövegről</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r>
        <w:t xml:space="preserve">A Bíróság </w:t>
      </w:r>
      <w:hyperlink r:id="rId82" w:history="1">
        <w:r>
          <w:rPr>
            <w:color w:val="0000FF"/>
            <w:u w:val="single"/>
          </w:rPr>
          <w:t xml:space="preserve">1997. szeptember 16-i ítélete, Bizottság kontra Olaszország, C</w:t>
        </w:r>
      </w:hyperlink>
      <w:r>
        <w:t xml:space="preserve"> -279/94, EU:C:1997:396, 38. és 42. pont;</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A „műszaki szabályokat” tartalmazó szöveget teljes egészében be kell jelenteni, beleértve azokat az intézkedéseket is, amelyek nem „műszaki szabályok”, még akkor is, ha csak a „műszaki előírások” tartoznak a szünetelési időszak hatálya alá.</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Ami az olasz kormány azon kötelezettségét illeti, hogy közölje a 257/92. sz. törvény teljes szövegét, beleértve azokat a rendelkezéseket is, amelyek nem minősülnek műszaki szabálynak, meg kell jegyezni, hogy az irányelv 8. cikke (1) bekezdése első albekezdésének utolsó mondata szerint a tagállamoknak közölniük kell a Bizottsággal az elsődlegesen és közvetlenül érintett alapvető törvényi vagy rendeleti rendelkezések szövegét is, amennyiben e szöveg ismerete szükséges a műszakiszabály-tervezet következményeinek értékeléséhez.”</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Mindazonáltal önmagában az a tény, hogy a 257/92. sz. törvény valamennyi rendelkezését közlik a Bizottsággal, nem akadályozza meg az Olasz Köztársaságot abban, hogy az irányelv által előírt vizsgálati eljárás eredményeinek megvárása nélkül azonnal hatályba léptetze azokat a rendelkezéseket, amelyek nem minősülnek műszaki szabálynak.”</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Értesítés az érintett alapvető </w:t>
      </w:r>
      <w:bookmarkEnd w:id="139"/>
      <w:r>
        <w:t>rendelkezésekről</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„Adott esetben, és kivéve, ha azt előzetes értesítéssel együtt már megküldték, a tagállamok egyidejűleg közlik a Bizottsággal az elsődlegesen és közvetlenül érintett alapvető törvényi vagy rendeleti rendelkezések szövegét, amennyiben az ilyen szöveg ismerete szükséges a műszakiszabály-tervezet következményeinek értékeléséhez.”</w:t>
      </w:r>
    </w:p>
    <w:p w14:paraId="3C018828" w14:textId="77777777">
      <w:pPr>
        <w:pStyle w:val="BodyText"/>
        <w:ind w:left="1440"/>
        <w:jc w:val="right"/>
        <w:rPr>
          <w:i/>
          <w:iCs/>
        </w:rPr>
      </w:pPr>
    </w:p>
    <w:p w14:paraId="21D14611" w14:textId="15758967">
      <w:pPr>
        <w:pStyle w:val="BodyText"/>
        <w:ind w:left="1440"/>
        <w:jc w:val="right"/>
      </w:pPr>
      <w:r>
        <w:t xml:space="preserve">(az (EU) 2015/1535 irányelv 5. cikke (1) bekezdésének második mondata)</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r>
        <w:t xml:space="preserve">A Bíróság </w:t>
      </w:r>
      <w:hyperlink r:id="rId83" w:history="1">
        <w:r>
          <w:rPr>
            <w:color w:val="0000FF"/>
            <w:u w:val="single"/>
          </w:rPr>
          <w:t xml:space="preserve">1998. május 7-i ítélete, Bizottság</w:t>
        </w:r>
      </w:hyperlink>
      <w:r>
        <w:t xml:space="preserve"> kontra Belgium, C-145/97, EU:C:1998:212, 11. és 12. pont.</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A tagállamoknak nemcsak a „műszaki szabályokat” tartalmazó szövegtervezetet, hanem az elsődlegesen és közvetlenül érintett alapvető törvényi vagy rendeleti rendelkezések szövegét is közölniük kell. E kötelezettség célja, hogy lehetővé tegye a Bizottság számára, hogy a lehető legtöbb információval rendelkezzen, és így hatékonyan gyakorolhassa az irányelv által ráruházott hatásköröket.</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Másodszor, ami a közlési kötelezettség pontos terjedelmét illeti, az irányelv 8. cikke (1) bekezdése első albekezdésének utolsó fordulata előírja, hogy a tagállamoknak közölniük kell az elsődlegesen és közvetlenül érintett alapvető törvényi vagy rendeleti rendelkezések szövegét is, amennyiben e szöveg ismerete szükséges a műszakiszabály-tervezet hatásainak értékeléséhez.</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Amint azt a Bíróság a C-279/94. sz., Bizottság kontra Olaszország ügyben hozott ítéletének (EBHT 1997., I-4743. o.) 40. pontjában egyértelművé tette, e rendelkezés célja annak lehetővé tétele, hogy a Bizottság a lehető legtöbb információval rendelkezzen minden műszakiszabály-tervezetről annak tartalmát, hatályát és általános összefüggéseit illetően, annak érdekében, hogy a lehető leghatékonyabban gyakorolhassa az irányelv által ráruházott hatásköröket.”</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Ismételt értesítés a felfüggesztési időszak</w:t>
      </w:r>
      <w:bookmarkEnd w:id="143"/>
      <w:r>
        <w:t xml:space="preserve"> alatt</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„A tagállamok az e bekezdés első és második albekezdésében meghatározott feltételek mellett ismét közlik a Bizottsággal a műszakiszabály-tervezetet, ha a tervezeten olyan változtatásokat hajtanak végre, amelyek jelentősen megváltoztatják annak hatályát, lerövidítik a végrehajtás eredetileg tervezett menetrendjét, specifikációkat vagy követelményeket egészítenek ki, vagy ez utóbbiakat szigorítják.”</w:t>
      </w:r>
    </w:p>
    <w:p w14:paraId="3E582DDB" w14:textId="77777777">
      <w:pPr>
        <w:pStyle w:val="BodyText"/>
        <w:ind w:left="1440"/>
        <w:jc w:val="right"/>
        <w:rPr>
          <w:i/>
          <w:iCs/>
        </w:rPr>
      </w:pPr>
    </w:p>
    <w:p w14:paraId="57E3F15D" w14:textId="51B7D3EF">
      <w:pPr>
        <w:pStyle w:val="BodyText"/>
        <w:ind w:left="1440"/>
        <w:jc w:val="right"/>
      </w:pPr>
      <w:r>
        <w:t xml:space="preserve">(az (EU) 2015/1535 irányelv 5. cikke (1) bekezdésének harmadik mondata)</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2010. április 15-i Sandström</w:t>
        </w:r>
      </w:hyperlink>
      <w:r>
        <w:t xml:space="preserve"> ítélet, C-433/05, EU:C:2010:184, 47. és 48. pont.</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Bizottságnak már bejelentett műszakiszabály-tervezet azon módosításai, amelyek pusztán enyhítik a szóban forgó termék felhasználási feltételeit, nem jelentenek további bejelentést igénylő jelentős változtatást.</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a 98/34 irányelvnek a jelen ítélet 41. pontjában említett céljára tekintettel a 98/34 irányelv 8. cikke (1) bekezdésének első albekezdése alapján a Bizottsággal már közölt műszakiszabály-tervezet azon módosításai, amelyek a bejelentett tervezethez képest csupán a szóban forgó termék használati feltételeinek lazítását tartalmazzák, és amelyek következésképpen csökkentik a műszaki szabály kereskedelemre gyakorolt esetleges hatását, nem minősülnek az említett irányelv 8. cikke (1) bekezdésének harmadik albekezdése értelmében vett jelentős módosításnak. Az ilyen módosításokra tehát nem vonatkozik az előzetes értesítés kötelezettsége.</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Bár a 98/34 irányelv 8. cikkének (3) bekezdése értelmében a tagállamok haladéktalanul közlik a Bizottsággal a műszaki szabály végleges szövegét, az ilyen rendelet nem jelentős módosításáról annak elfogadását megelőzően történő közlés elmulasztása nem érinti e rendelet alkalmazhatóságát, amennyiben nem áll fenn előzetes értesítési kötelezettség.”</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2013. január 31-i Belgische</w:t>
        </w:r>
      </w:hyperlink>
      <w:r>
        <w:t xml:space="preserve"> Petroleum Unie és társai ítélet, C-26/11, EU:C:2013:44, 56. és 57. pont.</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Az irányelv nem írja elő a nemzeti jogszabálytervezetek újbóli bejelentését, amennyiben az értesítést követően a tervezetet a Bizottság észrevételeinek figyelembevétele érdekében módosították, és a módosított tervezetet ezt követően közölték a Bizottsággal.</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a Belga Királyság e körülmények között arra szorítkozott, hogy a Bizottság azon kérésének megfelelően módosítsa a jogszabálytervezet rendelkezéseit, hogy szüntesse meg a kereskedelmet gátló akadályt, és így a 98/34 irányelv 10. cikke (1) bekezdésének utolsó francia bekezdése értelmében az ezen irányelv 8. cikke (1) bekezdésének első albekezdésében előírt, a Bizottság értesítésére vonatkozó kötelezettség nem alkalmazandó a keverési kötelezettségről szóló törvénytervezetre.</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E körülmények között a második kérdésre azt a választ kell adni, hogy a 98/34 irányelv 8. cikkét ezen irányelv 10. cikke (1) bekezdésének utolsó francia bekezdésével összefüggésben úgy kell értelmezni, hogy az nem írja elő az olyan nemzeti jogszabálytervezetek közlését, amelyek a benzin- és/vagy dízelüzemanyagokat forgalomba hozó kőolajipari vállalkozásokat arra kötelezik, hogy ugyanabban a naptári évben bizonyos százalékban bioüzemanyagokat is forgalomba hozzanak, amennyiben a 8. cikk (1) bekezdésének első albekezdése szerinti értesítést követően a tervezetet a Bizottság arra vonatkozó észrevételeinek figyelembevétele érdekében módosították, és a módosított tervezetet ezt követően közölték a Bizottsággal.”</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2014. július 10-i Ivansson</w:t>
        </w:r>
      </w:hyperlink>
      <w:r>
        <w:rPr>
          <w:b/>
          <w:i/>
        </w:rPr>
        <w:t xml:space="preserve"> és társai ítélet</w:t>
      </w:r>
      <w:r>
        <w:rPr>
          <w:sz w:val="25"/>
        </w:rPr>
        <w:t>,</w:t>
      </w:r>
      <w:r>
        <w:rPr>
          <w:rFonts w:ascii="Open Sans" w:hAnsi="Open Sans" w:cs="Open Sans" w:eastAsiaTheme="minorHAnsi"/>
          <w:color w:val="000000"/>
          <w:sz w:val="18"/>
          <w:szCs w:val="18"/>
        </w:rPr>
        <w:t xml:space="preserve"> </w:t>
      </w:r>
      <w:r>
        <w:rPr>
          <w:sz w:val="25"/>
        </w:rPr>
        <w:t xml:space="preserve">C-307/13, EU:C:2014:2058, 48–50. pont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nemzeti intézkedések végrehajtására vonatkozó ütemterv bármely jelentős változásáról, beleértve a jelentős lerövidítést is, tájékoztatni kell a Bizottságot. A bejelentés elmulasztása az intézkedést alkalmazhatatlanná és magánszemélyekkel szemben végrehajthatatlanná teszi.</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E tekintetben emlékeztetni kell arra, hogy a Bíróság kimondta, hogy az közlési kötelezettség megsértése olyan eljárási hiba az érintett műszaki szabályok elfogadásában, amely e műszaki szabályok alkalmazhatatlanságát eredményezi, úgyhogy azok nem érvényesíthetők magánszemélyekkel szemben (lásd különösen: CIA Security International ítélet, C-194/94, EU:C:1996:172, 54. pont, és Schwibbert-ítélet, C-20/05, EU:C:2007:652, 44. pont). A magánszemélyek hivatkozhatnak a szabályok alkalmazhatatlanságára a nemzeti bíróság előtt, amely köteles elutasítani az olyan nemzeti műszaki szabály alkalmazását, amelyet nem közöltek a 98/34 irányelvnek megfelelően (lásd különösen: Schwibbert-ítélet, EU:C:2007:652, 44. pont, valamint az ott hivatkozott ítélkezési gyakorlat).</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Ebből következik, hogy abban az esetben, ha az (1988:539) rendelet 9. §–ának a Bizottsággal való közlése valóban tartalmazta a hatálybalépés napjaként a 2003. május 1–jei időpontot, és ha a végrehajtásra előirányzott időtartam ugyanezen év április 15–re történő lerövidítése jelentős mértéket öltött, az említett nemzeti rendelkezés Bizottsággal való újraközlésének elmulasztása azzal jár, hogy az nem érvényesíthető az alapügy vádlottjaival szemben.</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Következésképpen a második kérdésre azt a választ kell adni, hogy ha a műszaki szabály hatálybalépésére vonatkozó határidő lerövidítése a 98/34 irányelv 8. cikke (1) bekezdésének harmadik albekezdésében előírt, a Bizottsággal való közlés kötelezettségétől függ, az ilyen közlés elmulasztása e nemzeti intézkedés alkalmazhatatlanságát eredményezné, így az magánszemélyekkel szemben nem érvényesíthető.”</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Kivételek a bejelentési kötelezettség alól</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Az európai jogi aktus átültetése</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„Az 5. és 6. cikk nem alkalmazandó a tagállamok azon törvényi, rendeleti és közigazgatási rendelkezéseire, illetve önkéntes megállapodásokra, amelyek révén a tagállamok: </w:t>
      </w:r>
    </w:p>
    <w:p w14:paraId="2762B474" w14:textId="77777777">
      <w:pPr>
        <w:pStyle w:val="BodyText"/>
        <w:ind w:left="567"/>
        <w:rPr>
          <w:i/>
        </w:rPr>
      </w:pPr>
    </w:p>
    <w:p w14:paraId="753FC221" w14:textId="4E9C46C0">
      <w:pPr>
        <w:pStyle w:val="P68B1DB1-BodyText11"/>
        <w:ind w:left="1440"/>
        <w:rPr>
          <w:iCs/>
        </w:rPr>
      </w:pPr>
      <w:r>
        <w:t xml:space="preserve">megfelelnek a kötelező erejű uniós jogi aktusoknak, amelyek műszaki előírások vagy szolgáltatásokra vonatkozó szabályok elfogadását eredményezik;”</w:t>
      </w:r>
    </w:p>
    <w:p w14:paraId="2A077376" w14:textId="77777777">
      <w:pPr>
        <w:pStyle w:val="BodyText"/>
        <w:ind w:left="567"/>
        <w:rPr>
          <w:i/>
          <w:iCs/>
        </w:rPr>
      </w:pPr>
    </w:p>
    <w:p w14:paraId="7AE538ED" w14:textId="4CFA3BCA">
      <w:pPr>
        <w:pStyle w:val="BodyText"/>
        <w:jc w:val="right"/>
      </w:pPr>
      <w:r>
        <w:t xml:space="preserve">(Az (EU) 2015/1535 irányelv 7. cikke (1) bekezdésének a) pontja)</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1996. szeptember 17-i Bizottság</w:t>
        </w:r>
      </w:hyperlink>
      <w:r>
        <w:t xml:space="preserve"> kontra Olaszország ítélet, C-289/94, EU:C:1996:330, 43–45. pont.</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Ahhoz, hogy valamely nemzeti intézkedést a bejelentés alól mentesített átültető intézkedésnek lehessen tekinteni, közvetlen kapcsolatot kell megállapítani egy kötelező erejű közösségi jogi aktussal.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A 91/492 irányelv sokkal tágabb rendelkezéseket tartalmaz nemcsak a kéthéjú kagylók, hanem a tengeri haslábúak, zsákállatok és tüskésbőrűek forgalmazására vonatkozóan is. A rendelet új követelményeket állapít meg a puhatestűek összegyűjtésének, kezelésének, tárolásának, szállításának és elosztásának valamennyi szakaszára vonatkozóan, továbbá nyilvántartási és jelölési rendszert vezet be, amely lehetővé teszi az egyes tételek származásának egészségügyi célú azonosítását.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Egyébiránt a 91/492 irányelv és a szóban forgó két rendelet közötti közvetlen kapcsolat hiányát megerősíti az olasz kormány azon állítása, amely szerint az irányelvet a fent említett, 1992. december 30-i 530. sz. törvényerejű rendelettel ültették át az olasz jogba, amely – amint azt maga is állítja – a 91/492 irányelv végrehajtásának egyetlen intézkedése, amellyel kapcsolatban a Bizottság 1993. január 27–én részletes véleményt küldött, amelyben kifogásolta e rendeletet, mivel az a 91/492 irányelvben nem említett másik toxinra (NSP) vonatkozott.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Mivel nem minősülnek a 91/492 irányelvet átültető olyan intézkedésnek, amely indokolná a 83/189 irányelv 10. cikkének alkalmazását, az 1990. augusztus 1-jei 257. sz. rendeletet és az 1990. szeptember 1-jei rendeletet az utóbbi irányelv 8. cikke értelmében be kellett jelenteni a Bizottságnak.”</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2000. szeptember 26-i Unilever</w:t>
        </w:r>
      </w:hyperlink>
      <w:r>
        <w:t xml:space="preserve"> ítélet, C-443/98, EU:C:2000:496, 28. és 29. pont.</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Amennyiben a tagállamok széles mérlegelési mozgástérrel rendelkeznek valamely uniós irányelv átültetése során, az e célból elfogadott nemzeti intézkedések nem tekinthetők olyan nemzeti rendelkezéseknek, amelyek „megfelelnek valamely kötelező erejű közösségi jogi aktusnak”.</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Másodszor, az olasz kormány azt állítja, hogy a vitatott törvény mentesült a 83/189 irányelv 10. cikke szerinti bejelentési kötelezettség alól, mivel azt a végső fogyasztók részére értékesítendő élelmiszerek címkézésére, kiszerelésére és reklámozására vonatkozó tagállami jogszabályok közelítéséről szóló, 1978. december 18-i 79/112/EGK tanácsi irányelvvel (HL 1979. L 33., 1. o.; magyar nyelvű különkiadás 15. fejezet, 1. kötet, 3. o.) összhangban fogadták el. Ezen irányelv 3. cikke (1) bekezdésének 7. pontja előírja, hogy a termék származási helyét vagy eredetét fel kell tüntetni a címkén olyan esetekben, amikor az ilyen tájékoztatás elmulasztása az élelmiszer tényleges származását vagy eredetét illetően félrevezethetné a fogyasztókat.</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Ezen állítás nem fogadható el. Amint arra a Bizottság rámutatott, a 79/112 irányelv ezen általános megfogalmazása elegendő mozgásteret biztosít a tagállamok számára annak megállapításához, hogy a származásra vonatkozó, a megtámadott törvényben elfogadottakhoz hasonló nemzeti címkézési szabályok nem tekinthetők a 83/189 irányelv 10. cikke (1) bekezdésének első francia bekezdése értelmében vett, kötelező erejű közösségi jogi aktusnak megfelelő nemzeti rendelkezéseknek.”</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r>
        <w:t xml:space="preserve">A Bíróság </w:t>
      </w:r>
      <w:hyperlink r:id="rId89" w:history="1">
        <w:r>
          <w:rPr>
            <w:color w:val="0000FF"/>
            <w:u w:val="single"/>
          </w:rPr>
          <w:t xml:space="preserve">2000. január 22-i ítélete</w:t>
        </w:r>
      </w:hyperlink>
      <w:r>
        <w:t xml:space="preserve">, Canal Satélite Digital, C-390/99, EU:C:2002:34, 48. pont.</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A „műszaki leírásokat” tartalmazó, kötelező erejű közösségi intézkedéseket átültető nemzeti rendelkezések nem tartoznak a bejelentési kötelezettség hatálya alá, feltéve, hogy szigorúan az ilyen átültetésre korlátozódnak.</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Ami a harmadik kérdés második részét illeti, amely a 83/189 irányelv 8. cikkéből eredő azon kötelezettségre vonatkozik, hogy minden műszakiszabály-tervezetet közölni kell a Bizottsággal, ezen irányelv 10. cikkéből kitűnik, hogy a 8. és 9. cikk nem alkalmazandó a tagállamok törvényi, rendeleti vagy közigazgatási rendelkezéseire, illetve az általuk kötött olyan önkéntes megállapodásokra, amelyek értelmében a tagállamok tiszteletben tartják azokat a kötelező közösségi intézkedéseket, amelyek műszaki leírások elfogadását eredményezik. Így, amennyiben az alapügyben szóban forgó nemzeti szabályozás a 95/47 irányelvet ülteti át, és csak ennyiben, a 83/189 irányelv alapján nem áll fenn bejelentési kötelezettség.”</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2005. szeptember 8-i Bizottság</w:t>
        </w:r>
      </w:hyperlink>
      <w:r>
        <w:t xml:space="preserve"> kontra Portugália ítélet, C-500/03, EU:C:2005:515, 34. és 35. pont.</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A kedvtelési célú vízi járművek jellemzőit meghatározó nemzeti rendelkezések nem részesülhetnek az átültetésre fenntartott bejelentési kötelezettség alóli mentességben, mivel a hivatkozott irányelv lehetővé teszi a tagállamok számára, hogy meghatározzák azokat a feltételeket, amelyeket a vízi utak környezetének, konfigurációjának és biztonságának védelme érdekében szükségesnek tartanak.</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(Az ítélet kizárólag francia és portugál nyelven áll rendelkezésre, a következő szöveg fordítás.)</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A 94/25 irányelv 2. cikkének (2) bekezdése értelmében a tagállamoknak jogukban áll, hogy nemzeti szinten meghatározzák azokat a feltételeket, amelyeket egyes vizeken történő hajózás tekintetében szükségesnek ítélnek a környezet és a vízi utak szerkezetének védelme, valamint e vizek biztonságának garantálása érdekében. A nemzeti jogszabályok e rendelkezései azonban semmiképpen sem tekinthetők úgy, mint amelyeket valamely kötelező erejű közösségi jogi aktusnak való megfelelés érdekében fogadtak el.</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Ebből következik, hogy a lagúnákban való hajózásról szóló rendelet, amely a 94/25 irányelv 2. cikkének (2) bekezdése alapján műszaki korlátokat állapít meg a kedvtelési célú vízi járművekre vonatkozóan, nem tartozik a 98/34 irányelv 10. cikke (1) bekezdése első francia bekezdésének hatálya alá.”</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A védzáradék alkalmazása</w:t>
      </w:r>
      <w:bookmarkEnd w:id="158"/>
      <w:bookmarkEnd w:id="159"/>
    </w:p>
    <w:p w14:paraId="19EB441C" w14:textId="77777777">
      <w:pPr>
        <w:pStyle w:val="BodyText"/>
        <w:ind w:left="567"/>
      </w:pPr>
    </w:p>
    <w:p w14:paraId="3421D751" w14:textId="45643AD7">
      <w:pPr>
        <w:pStyle w:val="P68B1DB1-BodyText11"/>
        <w:ind w:left="567"/>
        <w:rPr>
          <w:iCs/>
        </w:rPr>
      </w:pPr>
      <w:r>
        <w:t xml:space="preserve">„A </w:t>
      </w:r>
      <w:r>
        <w:rPr>
          <w:i w:val="0"/>
        </w:rPr>
        <w:t xml:space="preserve">[bejelentési kötelezettségről és a szerződéskötési tilalmi időszakról szóló] </w:t>
      </w:r>
      <w:r>
        <w:t xml:space="preserve">5. és 6. cikk nem alkalmazandó a tagállamok azon törvényi, rendeleti és közigazgatási rendelkezéseire vagy önkéntes megállapodásaira, amelyek révén a tagállamok: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a kötelező erejű uniós jogi aktusokban előírt védzáradékok alkalmazása;”</w:t>
      </w:r>
    </w:p>
    <w:p w14:paraId="3AF0BFA4" w14:textId="77777777">
      <w:pPr>
        <w:pStyle w:val="P68B1DB1-BodyText11"/>
        <w:ind w:left="567"/>
        <w:rPr>
          <w:iCs/>
        </w:rPr>
      </w:pPr>
    </w:p>
    <w:p w14:paraId="6099E717" w14:textId="6C5840E7">
      <w:pPr>
        <w:pStyle w:val="BodyText"/>
        <w:jc w:val="right"/>
      </w:pPr>
      <w:r>
        <w:t xml:space="preserve">(Az (EU) 2015/1535 irányelv 7. cikke (1) bekezdésének c) pontja)</w:t>
      </w:r>
    </w:p>
    <w:p w14:paraId="0B43480F" w14:textId="77777777">
      <w:pPr>
        <w:pStyle w:val="BodyText"/>
        <w:jc w:val="right"/>
      </w:pPr>
    </w:p>
    <w:p w14:paraId="2F300DBD" w14:textId="39C2EC6A">
      <w:pPr>
        <w:pStyle w:val="P68B1DB1-BodyText11"/>
        <w:ind w:left="567"/>
        <w:rPr>
          <w:iCs/>
        </w:rPr>
      </w:pPr>
      <w:r>
        <w:t xml:space="preserve">„A fentiekben említett harmonizációs intézkedések indokolt esetben védzáradékot tartalmaznak, amely felhatalmazza a tagállamokat arra, hogy a 36. cikkben említett egy vagy több nem gazdasági okból, uniós ellenőrzési eljárás alá tartozó ideiglenes intézkedéseket hozzanak.”</w:t>
      </w:r>
    </w:p>
    <w:p w14:paraId="618BDE87" w14:textId="77777777">
      <w:pPr>
        <w:pStyle w:val="BodyText"/>
        <w:jc w:val="right"/>
      </w:pPr>
    </w:p>
    <w:p w14:paraId="4DE4DD33" w14:textId="77777777">
      <w:pPr>
        <w:pStyle w:val="BodyText"/>
        <w:jc w:val="right"/>
      </w:pPr>
      <w:r>
        <w:t xml:space="preserve">(Az Európai Unió működéséről szóló szerződés 114. cikkének (10) bekezdése)</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2005. szeptember 8-i Bizottság</w:t>
        </w:r>
      </w:hyperlink>
      <w:r>
        <w:t xml:space="preserve"> kontra Portugália ítélet, C-500/03, EU:C:2005:515, 34. és 35. pont.</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Az állandó intézkedéseket létrehozó nemzeti rendelkezések nem részesülhetnek a védzáradékok számára fenntartott értesítési kötelezettség alóli mentességben, mivel az utóbbiak természetüknél fogva csak ideiglenes intézkedéseket tartalmaznak.</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(Mivel az ítélet kizárólag francia és portugál nyelven áll rendelkezésre, a következő szöveg fordítás.)</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Mivel a jelen kötelezettségszegés megállapítása iránti kereset a hivatalos előzetes értesítési eljárás be nem tartásának megállapítására irányuló kérelemre korlátozódik, elegendő megállapítani – anélkül, hogy a felek többi érvére válaszolni kellene –, hogy a Bíróság már kimondta, hogy a 98/34 irányelv 8. cikkének (1) bekezdése arra kötelezi a tagállamokat, hogy haladéktalanul közöljék a Bizottsággal a műszakiszabály-tervezeteket (lásd ebben az értelemben az ezen irányelv rendelkezéseihez hasonló rendelkezéseket illetően a C-139/92. sz., Bizottság kontra Olaszország ügyben 1993. augusztus 2–án hozott ítélet [EBHT 1993., I-3. o.] 31. pontját és a C-273/94. sz., Bizottság kontra Hollandia ügyben 1996. január 11–én hozott ítélet [EBHT 1996., I-I- o.] 31. pontját).</w:t>
      </w:r>
    </w:p>
    <w:p w14:paraId="4A696586" w14:textId="77777777">
      <w:pPr>
        <w:pStyle w:val="BodyText"/>
        <w:ind w:left="567"/>
        <w:rPr>
          <w:i/>
          <w:iCs/>
          <w:sz w:val="20"/>
          <w:szCs w:val="16"/>
        </w:rPr>
      </w:pPr>
    </w:p>
    <w:p w14:paraId="7FC8797C" w14:textId="46BA7B1B">
      <w:pPr>
        <w:pStyle w:val="P68B1DB1-BodyText25"/>
        <w:ind w:left="567"/>
        <w:jc w:val="left"/>
      </w:pPr>
      <w:r>
        <w:t xml:space="preserve">40. Mivel a 783/98 rendelet releváns rendelkezései a 98/34 irányelv értelmében vett műszaki szabályoknak minősülnek, amint az a jelen ítélet 31. pontjában megállapításra került, a Portugál Köztársaság a 98/34 irányelv 8. cikkének (1) bekezdése értelmében köteles volt azokat tervezet formájában közölni (lásd ebben az értelemben a 98/34 irányelv rendelkezéseihez hasonló rendelkezéseket illetően a C-145/97. sz., Bizottság kontra Belgium ügyben 1998. május 7–én hozott ítélet [EBHT 2643., I-13. o.] 43. pontját, valamint a C-267/03. sz., Lindberg-ügyben 2005. április 21–én hozott ítélet [EBHT 2005., I-. o.] 43. pontját).”</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2020. október 8-i Union</w:t>
        </w:r>
      </w:hyperlink>
      <w:r>
        <w:t xml:space="preserve"> des industries de la protection des plantes ítélet, C-514/19, EU:C:2020:803, 46. és 47. pont.</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(hivatkozás </w:t>
      </w:r>
      <w:hyperlink r:id="rId93" w:history="1">
        <w:r>
          <w:rPr>
            <w:rStyle w:val="Hyperlink"/>
            <w:rFonts w:ascii="Times New Roman" w:hAnsi="Times New Roman" w:cs="Times New Roman" w:eastAsia="Times New Roman"/>
            <w:b/>
            <w:i/>
            <w:color w:val="0000FF"/>
            <w:szCs w:val="20"/>
          </w:rPr>
          <w:t xml:space="preserve">Kokott főtanácsnok indítványára</w:t>
        </w:r>
      </w:hyperlink>
      <w:r>
        <w:rPr>
          <w:rFonts w:ascii="Times New Roman" w:hAnsi="Times New Roman" w:cs="Times New Roman" w:eastAsia="Times New Roman"/>
          <w:b/>
          <w:i/>
          <w:szCs w:val="20"/>
        </w:rPr>
        <w:t xml:space="preserve">, EU:C:2020:422, 58. pont)</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Az Európai Unió működéséről szóló szerződés 114. cikkében szereplő meghatározásnak megfelelő záradék védzáradék, még akkor is, ha azt az azt előíró jogi aktus nem nevezi meg. Ezért mentesül a bejelentési kötelezettség alól.</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(A Bíróság ítélete)</w:t>
      </w:r>
      <w:r>
        <w:rPr>
          <w:i/>
        </w:rPr>
        <w:t xml:space="preserve"> „46 [...] E rendelet 71. cikkének (1) bekezdését védzáradékként kell kezelni, amint arra a főtanácsnok indítványának 58. pontjában rámutatott.</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Az ezen irányelv 5. cikkében és az említett rendelet 71. cikkében előírt eljárások közötti különbséget tehát megerősíti ezen irányelv 7. cikke (1) bekezdésének c) pontja, amely előírja, hogy az említett irányelv 5. és 6. cikke nem alkalmazandó a tagállamok azon rendelkezéseire, amelyek révén a tagállamok a kötelező erejű uniós jogi aktusokban előírt védzáradékokat alkalmazzák.”</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(Kokott főtanácsnok indítványa)</w:t>
      </w:r>
      <w:r>
        <w:rPr>
          <w:i/>
        </w:rPr>
        <w:t xml:space="preserve"> </w:t>
      </w:r>
      <w:bookmarkStart w:id="163" w:name="point58"/>
      <w:r>
        <w:rPr>
          <w:i/>
        </w:rPr>
        <w:t>„</w:t>
      </w:r>
      <w:bookmarkEnd w:id="163"/>
      <w:r>
        <w:rPr>
          <w:i/>
        </w:rPr>
        <w:t xml:space="preserve">58.      Bár a növényvédő szerekről szóló rendelet 71. cikke egyes hasonló szabályozásoktól eltérően nem a „Védzáradék” címet viseli, tartalmi szempontból azonban e rendelkezés megfelel a védzáradékok fogalma EUMSZ 114. cikk (10) bekezdésében foglalt meghatározásának. Ezért az értesítési irányelv 7. cikke (1) bekezdésének c) pontja értelmében védzáradéknak is tekinthető.”</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2023. március 9-i Vapo</w:t>
        </w:r>
      </w:hyperlink>
      <w:r>
        <w:rPr>
          <w:rFonts w:ascii="Times New Roman" w:hAnsi="Times New Roman" w:cs="Times New Roman" w:eastAsia="Times New Roman"/>
          <w:b/>
          <w:i/>
          <w:szCs w:val="20"/>
        </w:rPr>
        <w:t xml:space="preserve"> Atlantic ítélet, C</w:t>
        <w:noBreakHyphen/>
        <w:t xml:space="preserve">604/21, EU:C:2023:175, 55–57. pont</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Az értesítési kötelezettség alóli, „védzáradékon” alapuló kivétel csak akkor lehetséges, ha a hivatkozott harmonizációs jogszabály kifejezetten tartalmaz egy, az Európai Unió működéséről szóló szerződés 114. cikkében szereplő meghatározásnak megfelelő záradékot.</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Meg kell állapítani, hogy a 2009/30 irányelv 4. cikke (1) bekezdésének első két albekezdése arra szorítkozik, hogy határidőt állapít meg a tagállamok számára az irányelv átültetésére, azaz legkésőbb 2010. december 31-ig az ehhez szükséges törvényi, rendeleti vagy közigazgatási rendelkezések útján, és felhívja őket, hogy haladéktalanul közöljék a Bizottsággal e rendelkezések szövegét. E rendelkezés harmadik albekezdése előírja, hogy amikor a tagállamok elfogadják ezeket a rendelkezéseket, azok utaljanak a 2009/30 irányelvre.</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Márpedig a 2009/30 irányelv 4. cikke (1) bekezdésének szövegében semmi nem enged arra következtetni, hogy az uniós jogalkotó az irányelvbe olyan, az EUMSZ 114. cikk (10) bekezdése értelmében vett védzáradékot kívánt volna bevezetni, amelyet a tagállamok alkalmazhattak volna.</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Ami ezt illeti, ez utóbbi rendelkezés előírja, hogy a harmonizációs intézkedések indokolt esetben védzáradékot tartalmaznak, amely felhatalmazza a tagállamokat arra, hogy az EUMSZ 36. cikkben említett egy vagy több nem gazdasági okból, uniós ellenőrzési eljárás alá tartozó ideiglenes intézkedéseket hozzanak. Ebből következik, hogy az ilyen védzáradékot a harmonizációs aktusnak kifejezetten elő kell írnia. A 2009/30 irányelv 4. cikkének (1) bekezdése nem rendelkezik ezekkel a jellemzőkkel, és ezért nem minősülhet ilyen védzáradéknak.”</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A Bizottság kérésének megfelelő módosítás</w:t>
      </w:r>
      <w:bookmarkEnd w:id="169"/>
      <w:bookmarkEnd w:id="170"/>
    </w:p>
    <w:p w14:paraId="049085CF" w14:textId="77777777">
      <w:pPr>
        <w:pStyle w:val="BodyText"/>
        <w:jc w:val="left"/>
      </w:pPr>
    </w:p>
    <w:p w14:paraId="40F4BBF6" w14:textId="77777777">
      <w:pPr>
        <w:pStyle w:val="P68B1DB1-BodyText11"/>
        <w:ind w:left="567"/>
        <w:rPr>
          <w:iCs/>
        </w:rPr>
      </w:pPr>
      <w:r>
        <w:t xml:space="preserve">„A </w:t>
      </w:r>
      <w:r>
        <w:rPr>
          <w:i w:val="0"/>
        </w:rPr>
        <w:t xml:space="preserve">[bejelentési kötelezettségről és a szerződéskötési tilalmi időszakról szóló] </w:t>
      </w:r>
      <w:r>
        <w:t xml:space="preserve">5. és 6. cikk nem alkalmazandó a tagállamok azon törvényi, rendeleti és közigazgatási rendelkezéseire vagy önkéntes megállapodásaira, amelyek révén a tagállamok: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a Bizottság kérésének megfelelően az 1. cikk (1) bekezdésének f) pontja szerinti műszaki szabály módosítására szorítkozik azzal a céllal, hogy megszüntesse a kereskedelmet, illetve a szolgáltatásokra vonatkozó szabályok esetében a szolgáltatások szabad mozgását vagy a szolgáltatók letelepedési szabadságát gátló akadályokat.”</w:t>
      </w:r>
    </w:p>
    <w:p w14:paraId="21F03EA5" w14:textId="77777777">
      <w:pPr>
        <w:pStyle w:val="BodyText"/>
        <w:jc w:val="center"/>
      </w:pPr>
    </w:p>
    <w:p w14:paraId="7883B4B7" w14:textId="369773F7">
      <w:pPr>
        <w:pStyle w:val="BodyText"/>
        <w:jc w:val="right"/>
      </w:pPr>
      <w:r>
        <w:t xml:space="preserve">(Az (EU) 2015/1535 irányelv 7. cikke (1) bekezdésének f) pontja)</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2013. január 31-i Belgische</w:t>
        </w:r>
      </w:hyperlink>
      <w:r>
        <w:t xml:space="preserve"> Petroleum Unie és társai ítélet, C-26/11, EU:C:2013:44, 56. és 57. pont.</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Az irányelv nem írja elő a nemzeti jogszabálytervezetek bejelentését abban az esetben, ha az első értesítést követően a tervezetet a Bizottság észrevételeinek figyelembevétele érdekében módosították, és a módosított változatot ezt követően közölték a Bizottsággal.</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a Belga Királyság e körülmények között arra szorítkozott, hogy a Bizottság azon kérésének megfelelően módosítsa a jogszabálytervezet rendelkezéseit, hogy szüntesse meg a kereskedelmet gátló akadályt, és így a 98/34 irányelv 10. cikke (1) bekezdésének utolsó francia bekezdése értelmében az ezen irányelv 8. cikke (1) bekezdésének első albekezdésében előírt, a Bizottság értesítésére vonatkozó kötelezettség nem alkalmazandó a keverési kötelezettségről szóló törvénytervezetre.</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E körülmények között a második kérdésre azt a választ kell adni, hogy a 98/34 irányelv 8. cikkét ezen irányelv 10. cikke (1) bekezdésének utolsó francia bekezdésével összefüggésben úgy kell értelmezni, hogy az nem írja elő az olyan nemzeti jogszabálytervezetek közlését, amelyek a benzin- és/vagy dízelüzemanyagokat forgalomba hozó kőolajipari vállalkozásokat arra kötelezik, hogy ugyanabban a naptári évben bizonyos százalékban bioüzemanyagokat is forgalomba hozzanak, amennyiben a 8. cikk (1) bekezdésének első albekezdése szerinti értesítést követően a tervezetet a Bizottság arra vonatkozó észrevételeinek figyelembevétele érdekében módosították, és a módosított tervezetet ezt követően közölték a Bizottsággal.”</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Azon körülmények, amelyek nem képeznek kivételt</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1996. január 11-i Bizottság</w:t>
        </w:r>
      </w:hyperlink>
      <w:r>
        <w:t xml:space="preserve"> kontra Hollandia ítélet, C-273/94, EU:C:1996:4, 14. és 15. pont.</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Az értesítési kötelezettség nem függ a tagállamok közötti kereskedelemre vonatkozó szabály feltételezett hatásától.</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Ezt az értékelést nem kérdőjelezheti meg a holland kormány azon érve, amely szerint a vitatott rendelet célja a margarin forgalmazásának ösztönzése, és ezért megfelel az irányelvnek a Közösségen belüli árukereskedelem akadályainak megszüntetésére irányuló fő célkitűzésének.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A tagállamoknak az irányelv 8. cikkével összhangban közölniük kell a Bizottsággal a műszakiszabály-tervezeteket. Az ilyen kötelezettség nem függhet a szabályozást megfogalmazó tagállam egyoldalú értékelésétől azon hatások tekintetében, amelyeket a rendelet a tagállamok közötti kereskedelemre gyakorolhat.”</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1998. június 16-i Lemmens</w:t>
        </w:r>
      </w:hyperlink>
      <w:r>
        <w:t xml:space="preserve"> ítélet, C-226/97, EU:C:1998:296, 18–20. pont.</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Az irányelv a „műszaki szabályokra” vonatkozik, függetlenül elfogadásuk okától. Az a tény, hogy valamely intézkedés a büntetőjog hatálya alá tartozik, nem mentesíti azt a bejelentési kötelezettség alól. Így a rendőrség által az alkohol mérésére használt légzőkészülékre vonatkozó nemzeti rendelkezések olyan műszaki szabálynak minősülnek, amelyet annak elfogadása előtt be kellett volna jelenteni a Bizottságnak.</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A francia kormány a maga részéről azt állítja, hogy az irányelv nem alkalmazandó azokra a termékekre, amelyeket – a jelen ügyhöz hasonlóan – közhatalom gyakorlása keretében, és még inkább a tagállamok által indított büntetőeljárások keretében kívánnak felhasználni.</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Ezek az érvek nem elfogadhatók. Bár a büntetőjog és a büntetőeljárási szabályok főszabály szerint a tagállamok hatáskörébe tartoznak, ebből nem következik, hogy a közösségi jog nem érintheti ezt a jogágat (lásd ebben az értelemben a 186/87. sz. Cowan-ügyben 1989. július 11–én hozott ítélet [EBHT 1989., 195. o.] 19. pontját és a 203/80. sz. Casati-ügyben 1981. december 12–én hozott ítélet [EBHT 1981., 2595. o.] 27. pontját).</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Ebben az esetben az irányelvben semmi nem utal arra, hogy az irányelv 1. cikke szerinti műszaki szabályok azért ne tartozzanak a bejelentési kötelezettség hatálya alá, mert a büntetőjog hatálya alá tartoznak, vagy hogy az irányelv hatálya azokra a termékekre korlátozódna, amelyeket nem a közhatalom gyakorlásával összefüggésben kívánnak felhasználni. Amint azt a Bíróság a C-13/96. sz. Bic Benelux-ügyben 1997. március 17–én hozott ítéletének (EBHT 1997., I-1753. o.) 19. pontjában már megállapította, az irányelv a műszaki szabályokra attól függetlenül alkalmazandó, hogy azokat milyen alapon fogadták el.”</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2005. április 21-i Lindberg</w:t>
        </w:r>
      </w:hyperlink>
      <w:r>
        <w:t xml:space="preserve"> ítélet, C-267/03, EU:C:2005:246, 86., 91. és 92. pont.</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A valamely szabály hatálya alá tartozó termék értéke, piacának mérete és e szabálynak a Közösségen belüli kereskedelemre gyakorolt hatása nem releváns kritérium annak meghatározásához, hogy be kell-e jelenteni egy „műszaki szabályt”.</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A negyedik kérdéssel a kérdést előterjesztő bíróság arra kér választ a Bíróságtól, hogy milyen jelentőséget kell tulajdonítani a 83/189 irányelvben előírt közlési kötelezettség céljából következő körülményeknek:</w:t>
      </w:r>
    </w:p>
    <w:p w14:paraId="767A8711" w14:textId="77777777">
      <w:pPr>
        <w:pStyle w:val="P68B1DB1-P68B1DB1-ListParagraph226"/>
        <w:tabs>
          <w:tab w:val="left" w:pos="396"/>
          <w:tab w:val="left" w:pos="425"/>
        </w:tabs>
        <w:ind w:left="709"/>
      </w:pPr>
      <w:r>
        <w:t xml:space="preserve">Az engedélykötelezettségnek a nemzeti jog szerinti tilalommal való felváltása,</w:t>
      </w:r>
    </w:p>
    <w:p w14:paraId="559C82EC" w14:textId="77777777">
      <w:pPr>
        <w:pStyle w:val="P68B1DB1-P68B1DB1-ListParagraph226"/>
        <w:tabs>
          <w:tab w:val="left" w:pos="396"/>
          <w:tab w:val="left" w:pos="425"/>
        </w:tabs>
        <w:ind w:left="709"/>
      </w:pPr>
      <w:r>
        <w:t xml:space="preserve">– A termék/szolgáltatás kisebb vagy nagyobb értéke,</w:t>
      </w:r>
    </w:p>
    <w:p w14:paraId="7057795D" w14:textId="77777777">
      <w:pPr>
        <w:pStyle w:val="P68B1DB1-P68B1DB1-ListParagraph226"/>
        <w:tabs>
          <w:tab w:val="left" w:pos="396"/>
          <w:tab w:val="left" w:pos="425"/>
        </w:tabs>
        <w:ind w:left="709"/>
      </w:pPr>
      <w:r>
        <w:t xml:space="preserve">– A termék/szolgáltatás piacának mérete, vagy</w:t>
      </w:r>
    </w:p>
    <w:p w14:paraId="7E4DCD6F" w14:textId="27AB1FF7">
      <w:pPr>
        <w:pStyle w:val="P68B1DB1-P68B1DB1-ListParagraph226"/>
        <w:tabs>
          <w:tab w:val="left" w:pos="396"/>
          <w:tab w:val="left" w:pos="425"/>
        </w:tabs>
        <w:ind w:left="709"/>
      </w:pPr>
      <w:r>
        <w:t xml:space="preserve">Egy új nemzeti rendelkezés hatása a használatra, amely lehet akár a használat teljes tilalma, akár egy lehetséges felhasználási területen belüli tiltás vagy korlátozás?”</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A negyedik előzetes döntéshozatalra előterjesztett kérdés második és harmadik körülménye esetében emlékeztetni kell, hogy amint a jelen ítélet 50. pontjában megemlítetésre került, a 83/189 irányelv a megelőző ellenőrzés eljárási mechanizmusát írja elő, amely lehetővé teszi annak vizsgálatát, hogy egy műszaki szabályt tartalmazó nemzeti szabványra vonatkoznak-e az áruk szabad mozgására vonatkozó szerződéses rendelkezések, és amennyiben ez így van, egy ilyen szabvány összeegyeztethető-e azokkal.</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E tekintetben a jelen ítélet 51. pontjában megállapításra került, hogy a műszaki szabálynak a Közösségen belüli kereskedelemre gyakorolt esetleges hatásai nem minősülnek a 83/189 irányelv hatálya meghatározásának kritériumának, különösen az abban előírt értesítési kötelezettség tekintetében.”</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Alkalmazhatatlanság</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Alkalmazhatatlanság a bejelentés elmaradásának esetére</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1996. április 30-i CIA</w:t>
        </w:r>
      </w:hyperlink>
      <w:r>
        <w:t xml:space="preserve"> Security International SA ítélet, C-194/94, EU:C:1996:172, 48. és 55. pont.</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Az értesítési kötelezettség megsértése miatt az érintett „műszaki szabályok” nem alkalmazhatók, így azok magánszemélyekkel szemben nem érvényesíthetők. A magánszemélyek hivatkozhatnak a 83/189 irányelv 8. és 9. cikkére a nemzeti bíróság előtt, amelynek meg kell tagadnia az ezen irányelvnek megfelelően be nem jelentett nemzeti „műszaki szabály” alkalmazását.</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A 83/189 irányelvből eredő kötelezettségek megsértésének ilyen következményének nem feltétele ilyen értelmű kifejezett rendelkezés. Mint ahogy már megállapításra került, egyértelmű, hogy az irányelv célja az, hogy megelőző ellenőrzés révén védje az áruk szabad mozgását, és hogy az értesítési kötelezettség e közösségi ellenőrzés megvalósításának lényeges jogi eszköze. A közösségi ellenőrzés hatékonysága sokkal nagyobb, ha az irányelvet úgy értelmezzük, hogy az értesítési kötelezettség megsértése olyan lényeges eljárási hibának minősül, amely a szóban forgó műszaki szabályok magánszemélyekre való alkalmazhatatlanságát eredményezi.”</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Az ötödik és a hatodik kérdésre tehát azt a választ kell adni, hogy a 83/189 irányelv 8. és 9. cikkét úgy kell értelmezni, hogy azokra a magánszemélyek hivatkozhatnak a nemzeti bíróság előtt, amelynek meg kell tagadnia az irányelvnek megfelelően be nem jelentett nemzeti műszaki szabály alkalmazását.”</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1998. június 16-i Lemmens</w:t>
        </w:r>
      </w:hyperlink>
      <w:r>
        <w:t xml:space="preserve"> ítélet, C-226/97, EU:C:1998:296, 34–37. pont.</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A leheletelemzésre vonatkozó műszaki szabály közlésére vonatkozó kötelezettség elmulasztása nem vonja maga után azt, hogy a be nem jelentett szabályok szerint engedélyezett leheletelemző készülékkel szerzett bizonyítékokat érvényesíthetetlenné teszi az ittas vezetéssel terhelt személlyel szemben.</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Az olyan büntetőeljárásokban, mint amelyek az alapügyben szerepelnek, a vádlottakra azokat a szabályokat kell alkalmazni, amelyek egyrészt tiltják és szankcionálják az alkohol hatása alatt történő vezetést, másrészt pedig arra kötelezik a járművezetőt, hogy légzését az alkoholtartalom mérésére szolgáló készülékbe engedje ki, és e teszt eredménye a büntetőeljárás során bizonyítéknak minősül. Ezek a szabályozások eltérnek azoktól, amelyeket az irányelvnek megfelelően nem jelentettek be a Bizottságnak, és amelyek magánszemélyekkel szemben nem érvényesíthetők.</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Bár a műszaki szabályok bejelentésének elmulasztása, ami az elfogadásuk során eljárási hibának minősül, alkalmazhatatlanná teszi az ilyen szabályokat, mivel akadályozza az azoknak meg nem felelő termék használatát vagy forgalmazását, azonban nem eredményezi a be nem jelentett szabályoknak megfelelő termék használatának jogellenességét.</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A terméknek a hatóságok általi használata a jelen ügyhöz hasonló esetben nem okozhat olyan kereskedelmi akadályt, amelyet a bejelentési eljárás lefolytatása esetén el lehetett volna kerülni.</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Az első kérdésre tehát azt a választ kell adni, hogy az irányelvet úgy kell értelmezni, hogy az irányelv 8. cikkében előírt, a leheletelemzésre vonatkozó műszaki szabály közlésére vonatkozó kötelezettség megsértése nem zárja ki, hogy a be nem jelentett szabályoknak megfelelően engedélyezett ilyen készülékkel szerzett bizonyítékokra az alkohol hatása alatt vezetéssel terhelt személlyel szemben hivatkozni lehessen.”</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2002. június 6-i Sapod</w:t>
        </w:r>
      </w:hyperlink>
      <w:r>
        <w:t xml:space="preserve"> Audic ítélet, C-159/00, EU:C:2002:343, 52. és 53. pont</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A nemzeti bíróság feladata, hogy megtagadja az értesítés elmulasztása miatt alkalmazhatatlan rendelkezések alkalmazását. Az ilyen alkalmazhatatlanság következményeit a nemzeti jog szabályozza, feltéve, hogy az nem kedvezőtlenebb, mint a hasonló belföldi keresetek esetében, és nem teszi lehetetlenné az uniós jogok gyakorlását.</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Meg kell azonban jegyezni, hogy a 92–377. sz. rendelet 4. cikke második bekezdésének az alkalmazandó nemzeti jog szerinti szankció súlyosságára – mint például a Sapod és az Eco-Emballages közötti szerződés semmisségére vagy végrehajthatatlanságára – vonatkozó alkalmazhatatlanságából az alapügyben levonandó következtetések kérdése a nemzeti jog által szabályozott kérdés, különösen a szerződési jog azon szabályait és elveit illetően, amelyek korlátozzák vagy kiigazítják e szankciót annak érdekében, hogy annak súlyossága arányos legyen a megállapított konkrét hibával. Ezek a szabályok és elvek azonban nem lehetnek kedvezőtlenebbek, mint a hasonló, belső jellegű keresetekre vonatkozó szabályok és elvek (az egyenértékűség elve), és nem tehetik gyakorlatilag lehetetlenné a közösségi jog által biztosított jogok gyakorlását (a tényleges érvényesülés elve) (lásd többek között a 33/76. sz., Rewe kontra Landwirtschaftskammer für das Saarland ügyben 1976. július 11–én hozott ítélet [EBHT 1976., 1989. o.] 5. pontját, valamint a C-52/99. és C-53/99. sz., Camorotto és Vignone egyesített ügyekben 2001. március 13–án hozott ítélet [EBHT 2001., I-1395. o.] 21. pontját).</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A második kérdés második részére tehát a 83/189 irányelvet érintő részében azt a választ kell adni, hogy abban az esetben, ha a 92–377. sz. rendelet 4. cikkének második bekezdéséhez hasonló nemzeti rendelkezést úgy kell értelmezni, hogy az valamely védjegy vagy címke alkalmazását írja elő, a magánszemély hivatkozhat arra, hogy az említett irányelv 8. cikkének megfelelően nem jelentették be e nemzeti rendelkezést. Ezt követően a nemzeti bíróság feladata, hogy megtagadja e rendelkezés alkalmazását, mivel az e nemzeti rendelkezés alkalmazhatatlanságából levonandó következtetések kérdése az alkalmazandó nemzeti jog szerinti szankció súlyossága, mint például a szerződés semmissége vagy végrehajthatatlansága tekintetében a nemzeti jog által szabályozott kérdés. Ez a következtetés azonban attól a feltételtől függ, hogy a nemzeti jog alkalmazandó szabályai nem lehetnek kedvezőtlenebbek, mint a hasonló nemzeti keresetekre vonatkozó szabályok, és nem úgy vannak kialakítva, hogy gyakorlatilag lehetetlenné tegyék a közösségi jog által biztosított jogok gyakorlását.”</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2005. szeptember 8-i Lidl</w:t>
        </w:r>
      </w:hyperlink>
      <w:r>
        <w:t xml:space="preserve"> Italia ítélet, C-303/04, EU:C:2005:528, 22. és 23. pont.</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Az értesítési kötelezettség megsértése olyan lényeges eljárási hibának minősül, amely a szóban forgó „műszaki szabályokat” alkalmazhatatlanná, és így magánszemélyekkel szemben érvényesíthetetlenné teszi.</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az állandó ítélkezési gyakorlat szerint a 98/34 irányelv célja az áruk szabad mozgásának megelőző ellenőrzés révén történő védelme, amely a Közösség egyik alapját képezi, és hogy ez az ellenőrzés hasznos célt szolgál abban az értelemben, hogy az ezen irányelv hatálya alá tartozó műszaki szabályok a tagállamok közötti árukereskedelem akadályát képezhetik, mivel az ilyen akadályok csak akkor fogadhatók el, ha a közérdeken alapuló kényszerítő követelményeknek való megfeleléshez szükségesek (lásd ebben az értelemben a C-194/94. sz. CIA Security International ügyben 1996. március 15–én hozott ítélet [EBHT 1996., I-2201. o.] 40. pontját és a C-226/97. sz. Lemmens-ügyben 1998. május 17–én hozott ítélet [EBHT 1998., I-3711. o.] 32. pontját).</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Mivel a többek között a 98/34 irányelv 8. cikke (1) bekezdésének első albekezdésében említett értesítési kötelezettség elengedhetetlen e közösségi ellenőrzés megvalósításához, az ilyen ellenőrzés hatékonysága sokkal nagyobb lesz, ha ezt az irányelvet úgy értelmezzük, hogy az értesítési kötelezettség megsértése olyan lényeges eljárási hibának minősül, amely a szóban forgó műszaki szabályokat alkalmazhatatlanná, és így magánszemélyekkel szemben alkalmazhatatlanná teszi (a fent hivatkozott CIA Security International ügyben hozott ítélet 44., 48. és 54. pontja, valamint a Lemmens-ügyben hozott ítélet 33. pontja).”</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2013. január 31-i Belgische</w:t>
        </w:r>
      </w:hyperlink>
      <w:r>
        <w:t xml:space="preserve"> Petroleum Unie és társai ítélet, C 26/11</w:t>
        <w:noBreakHyphen/>
        <w:t xml:space="preserve">, EU:C:2013:44, 50. pont.</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Az értesítési kötelezettség megsértése olyan lényeges eljárási hibának minősül, amely a szóban forgó „műszaki szabályokat” alkalmazhatatlanná, és így magánszemélyekkel szemben érvényesíthetetlenné teszi.</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Mivel a 98/34 irányelv 8. cikke (1) bekezdésének első albekezdésében említett értesítési kötelezettség elengedhetetlen ezen ellenőrzés megvalósításához, az ilyen ellenőrzés hatékonysága sokkal nagyobb lesz, ha ezt az irányelvet úgy értelmezzük, hogy az értesítési kötelezettség megsértése olyan lényeges eljárási hibának minősül, amely a szóban forgó műszaki szabályokat alkalmazhatatlanná, és így magánszemélyekkel szemben érvényesíthetetlenné teszi (lásd a fent hivatkozott Lidl Italia ügyben hozott ítélet 23. pontját és a fent hivatkozott Sandström-ügyben hozott ítélet 43. pontját).”</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2016. február 2-i Ince</w:t>
        </w:r>
      </w:hyperlink>
      <w:r>
        <w:t xml:space="preserve"> ítélet, C-336/14, EU:C:2016:72, 67. és 68. pont.</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„műszaki szabály” közlésének elmulasztása miatt az nem alkalmazható és nem érvényesíthető magánszemélyekkel szemben. Ez utóbbi hivatkozhat a 98/34 irányelv 8. cikkére a nemzeti bíróságok előtt, amelyek ezért kötelesek megtagadni a be nem jelentett szabály alkalmazását.</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Elöljáróban emlékeztetni kell arra, hogy a 98/34 irányelv 8. cikkének (1) bekezdésében előírt közlési kötelezettség megsértése olyan eljárási hiba az érintett műszaki szabályok elfogadásában, amely e műszaki szabályok alkalmazhatatlanságát eredményezi, ily módon azok nem érvényesíthetők magánszemélyekkel szemben (lásd különösen: Ivansson és társai ítélet, C-307/13, EU:C:2014:2058, 48. pont, valamint az ott hivatkozott ítélkezési gyakorlat).</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E tekintetben hangsúlyozni kell, hogy – amint arra a főtanácsnok az indítványának 60. pontjában rámutatott – még ha ezen irányelv 8. cikkének (1) bekezdése előírja is, hogy a műszaki szabályokat tartalmazó törvénytervezet egészét közölni kell a Bizottsággal (lásd ebben az értelemben: Bizottság kontra Olaszország ítélet, C-279/94, EU:C:1997:396, 40. és 41. pont), az e kötelezettség megsértéséből eredő alkalmazhatatlanság nem terjed ki az ilyen törvény valamennyi rendelkezésére, hanem csak az abban foglalt műszaki szabályokra.”</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2016. április 21-i Beca</w:t>
        </w:r>
      </w:hyperlink>
      <w:r>
        <w:t xml:space="preserve"> Engineering végzés, C-285/15, EU:C:2016:295, 37. pont.</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A „műszaki szabály” közlésének elmulasztása miatt az nem alkalmazható és nem érvényesíthető magánszemélyekkel szemben, akik a 98/34 irányelv 8. cikkére hivatkozhatnak a nemzeti bíróságok előtt, amelyek következésképpen kötelesek elutasítani annak alkalmazását.</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(Mivel a végzés kizárólag francia és olasz nyelven áll rendelkezésre, a következő szöveg fordítás.)</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Az állandó ítélkezési gyakorlat szerint a 98/34 irányelv 8. cikkében előírt azon kötelezettség megsértése, hogy a tagállamok haladéktalanul közöljék a Bizottságot a műszaki szabályokról, az érintett műszaki szabályok alkalmazhatatlanságát vonja maga után, így azok magánszemélyekkel szemben nem érvényesíthetők, és így ez utóbbiak hivatkozhatnak a 98/34 irányelv 8. cikkére a nemzeti bíróság előtt, amelynek meg kell tagadnia az ezen irányelvnek megfelelően be nem jelentett nemzeti műszaki szabály alkalmazását (lásd ebben az értelemben: 1996. április 30-i CIA Security International ítélet, 194/94</w:t>
        <w:noBreakHyphen/>
        <w:t xml:space="preserve">, EU:C:1996:172, 44. és 54. pont; 2000. szeptember 26-i Unilever ítélet</w:t>
        <w:noBreakHyphen/>
        <w:t xml:space="preserve">, 443/98, EU:C:2000:496, 49. pont; 2015. július 16-i UNIC és Uni.co.pel ítélet, 95/14</w:t>
        <w:noBreakHyphen/>
        <w:t xml:space="preserve">, EU:C:2015:492, 29. pont.”</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2017. február 1-jei</w:t>
        </w:r>
      </w:hyperlink>
      <w:r>
        <w:t xml:space="preserve"> Município de Palmela ítélet, C</w:t>
        <w:noBreakHyphen/>
        <w:t xml:space="preserve">144/16, EU:C:2017:76, 36. és 37. pont.</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be nem jelentett műszaki szabályok alkalmazhatatlansága csak az ilyennek minősülő rendelkezésekre terjed ki, nem pedig az egész szövegre, amelyben szerepelnek.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Egyébiránt az ilyen értesítési kötelezettség elmulasztásának szankciója a be nem jelentett műszaki szabályok alkalmazhatatlansága (lásd ebben az értelemben a 83/189 irányelvet illetően: 1996. április 30-i CIA Security International ítélet, C-194/94, EU:C:1996:172, 54. pont; a 98/34 irányelvet illetően: 2016. február 4-i Ince ítélet, C-336/14, EU:C:2016:72, 67. pont, valamint az ott hivatkozott ítélkezési gyakorlat).</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Ami az ilyen szankció mértékét illeti, noha a 83/189 irányelv 8. cikkének (1) bekezdése és a 98/34 irányelv 8. cikkének (1) bekezdése előírja, hogy a műszaki szabályokat tartalmazó törvénytervezet egészét közölni kell a Bizottsággal, az e kötelezettség megsértéséből eredő alkalmazhatatlanság nem az ilyen törvény valamennyi rendelkezésére, hanem csak az abban foglalt műszaki szabályokra terjed ki (lásd ebben az értelemben: 2016. február 4-i Ince ítélet, C-336/14, EU:C:2016:72, 68. pont).”</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2019. szeptember 12-i VG</w:t>
        </w:r>
      </w:hyperlink>
      <w:r>
        <w:t xml:space="preserve"> Media ítélet, C-299/17, EU:C:2019:716, 39. pont.</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A be nem jelentett „műszaki szabály” alkalmazhatatlanságára magánszemélyek közötti jogvitákban lehet hivatkozni.</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Amennyiben valamely szabály, az alapügy tárgyát képező szabályhoz hasonlóan kifejezetten az információs társadalom szolgáltatásaira vonatkozik, a műszaki szabály tervezetét a 98/34 irányelv 8. cikkének (1) bekezdése alapján előzetesen közölni kell a Bizottsággal. Ennek hiányában az állandó ítélkezési gyakorlat szerint az e rendelkezésnek megfelelően be nem jelentett műszaki szabály alkalmazhatatlanságára magánszemélyek közötti jogvitákban lehet hivatkozni (2016. október 27-i James Elliott Construction ítélet, C 613/14,</w:t>
        <w:noBreakHyphen/>
        <w:t xml:space="preserve">EU:C:2016:821, 64. pont, valamint az ott hivatkozott ítélkezési gyakorlat).”</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Alkalmazhatatlanság a felfüggesztési időszak alatti elfogadási eseményen</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2000. szeptember 26-i Unilever</w:t>
        </w:r>
      </w:hyperlink>
      <w:r>
        <w:t xml:space="preserve"> ítélet, C-443/98, EU:C:2000:496, 44. és 49. pont.</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„műszaki szabály” elfogadásának elhalasztására vonatkozó kötelezettség megsértése lényeges eljárási hibának minősül, és az ebből eredő alkalmazhatatlanságra polgári peres eljárásban lehet hivatkozni.</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Jóllehet a fent hivatkozott CIA Security ügyben hozott ítélet 48. pontjában a Bíróság, miután emlékeztetett arra, hogy a 83/189 irányelv célja az áruk szabad mozgásának megelőző ellenőrzés révén történő védelme, és hogy az értesítési kötelezettség elengedhetetlen az ilyen közösségi ellenőrzés megvalósításához, azt állapította meg, hogy az ilyen ellenőrzés hatékonysága sokkal nagyobb lenne, ha az irányelvet úgy értelmeznék, hogy az értesítési kötelezettség megsértése olyan lényeges eljárási hibának minősül, amely a szóban forgó műszaki szabályok magánszemélyekre való alkalmazhatatlanságát eredményezi, a jelen ítélet 40–43. pontjában kifejtett megfontolásokból az következik, hogy a 83/189 irányelv 9. cikkében előírt, az elfogadás elhalasztására vonatkozó kötelezettség megsértése olyan lényeges eljárási hibának minősül, amely a műszaki szabályokat alkalmazhatatlanná teszi.”</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Így a Bíróság ítélkezési gyakorlatából az következik, hogy a 83/189 irányelv 8. cikkének megfelelően be nem jelentett műszaki szabály alkalmazhatatlanságára magánszemélyek közötti jogvitákban a jelen ítélet 40–43. pontjában kifejtett okok miatt lehet hivatkozni. Ugyanez vonatkozik az említett irányelv 9. cikkében előírt kötelezettségek megsértésére is, és e tekintetben nem szükséges a magánszemélyek közötti, tisztességtelen versennyel kapcsolatos jogvitákat eltérően kezelni, mint a CIA Security International ügyben hozott ítéletben, a magánszemélyek közötti, szerződéses jellegű jogokkal és kötelezettségekkel kapcsolatos jogvitákhoz képest, mint az alapügyben.”</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2015. július 16-i UNIC</w:t>
        </w:r>
      </w:hyperlink>
      <w:r>
        <w:t xml:space="preserve"> és Uni.co.pel ítélet, C-95/14, EU:C:2015:492, 29. és 30. pont.</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A „műszaki szabály” nem alkalmazható, ha azt nem jelentették be, vagy ha annak ellenére, hogy bejelentették, azt a várakozási időszak vége előtt elfogadták és végrehajtották. E várakozási idő be nem tartása olyan lényeges eljárási hibának minősül, amely miatt a szóban forgó „műszaki szabály” nem alkalmazható és nem érvényesíthető magánszemélyekkel szemben.</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E tekintetben emlékeztetni kell arra, hogy valamely műszaki szabály nem alkalmazható, ha azt nem közölték a 98/34 irányelv 8. cikke (1) bekezdésének megfelelően, vagy ha azt közölték ugyan, de az említett irányelv 9. cikkének (1) bekezdésében előírt három hónapos felfüggesztési időszak lejártát megelőzően azt jóváhagyták és végrehajtották (lásd: CIA Security International ítélet, C-194/94, EU:C:1996:172, 41., 44. és 54. pont; Unilever ítélet, C-443/98, EU:C:2000:496, 49. pont).</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Következésképpen az alapügyben a kérdést előterjesztő bíróság feladata annak vizsgálata, hogy a 8/2013. sz. törvény a 98/34 irányelv 9. cikkében előírt várakozási idő tiszteletben tartása nélkül lépett-e hatályba. Amennyiben igen, e határidő megsértése az eljárási szabályok lényeges megsértésének minősül, amely a kérdéses műszaki szabály alkalmazhatatlanságához vezethet. Amint arra a főtanácsnok indítványának 44–47. pontjában rámutatott, a 8/2103. sz. törvény 3. cikkének (2) bekezdése ebben az esetben nem érvényesíthető magánszemélyekkel szemben.”</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2023. december 21-i Papier</w:t>
        </w:r>
      </w:hyperlink>
      <w:r>
        <w:rPr>
          <w:rFonts w:ascii="Times New Roman" w:hAnsi="Times New Roman" w:cs="Times New Roman" w:eastAsia="Times New Roman"/>
          <w:b/>
          <w:i/>
          <w:szCs w:val="20"/>
        </w:rPr>
        <w:t xml:space="preserve"> Mettler Italia ítélet, C-86/22, EU:C:2023:1023, 48. és 51. pont.</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A műszakiszabály-tervezetnek az értesítést követő hat nap elteltével történő elfogadása ellentétes az irányelvvel.</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Azok a rendelkezések, amelyek a jogszabály hatálybalépését attól teszik függővé, hogy a Bizottság nem reagál a szóban forgó jogszabályra („felfüggesztő záradékok”), ellentétesek az irányelvvel, mivel az ilyen jogszabály elfogadása nem teszi lehetővé más tagállamok álláspontjának figyelembevételét, és sérti a jogbiztonság elvét.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Másodszor, az alapügyben szóban forgó rendeletnek az ezen irányelv 8. cikkének (1) bekezdése alapján a Bizottsággal való közlésétől számított hat napon belüli elfogadása szintén sérti az ezen irányelv 9. cikkének (1) bekezdésében előírt kötelezettséget, amely szerint a tagállamok az irányelv 8. cikkének (1) bekezdésében említett közleménynek a Bizottság általi kézhezvételétől számított három hónappal elhalasztják a „műszakiszabály-tervezet” elfogadását.”</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Másrészt, az említett kormány azt állítja, hogy az alapügyben vitatott rendelet hatálybalépése 6. cikkének értelmében a 2013. március 12-én a 98/34 irányelv 8. cikkének (1) bekezdése alapján indított közlési eljárás „sikeres lezárásától” függött. Márpedig ezt az eljárást nem zárták le sikeresen, mivel a Bizottság nem bocsátott ki véleményt e rendeletet illetően. Ezt az érvet el kell utasítani, mivel egyrészt e rendelet elfogadása és kihirdetése önmagában bizonyos következményekkel járhat az érintett áruk szabad mozgására. másrészt nem tették lehetővé a Holland Királyság, a Svéd Királyság, valamint Nagy-Britannia és Észak-Írország Egyesült Királysága által tett észrevételek és részletes vélemények figyelembevételét; harmadszor, amint arra a főtanácsnok az indítványának 52. pontjában rámutatott, ezek olyan jogalkotási technikának minősülnek, amely összeegyeztethetetlen a jogbiztonság elvével.”</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Az alkalmazhatatlanság hatásának pontosítása</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2015. június 11-i Berlington</w:t>
        </w:r>
      </w:hyperlink>
      <w:r>
        <w:t xml:space="preserve"> Hungary és társai ítélet, C-98/14, EU:C:2015:386, 108. és 109. pont</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Az értesítési és felfüggesztési kötelezettségeknek nem célja, hogy magánszemélyek számára jogokat biztosítsanak. Következésképpen azok valamely tagállam általi megsértése az uniós jog alapján nem jogosítja fel a magánszemélyeket arra, hogy az ebből eredő károkért kártérítést kérjenek e tagállamtól.</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E tekintetben az ítélkezési gyakorlatból kitűnik, hogy bár a 98/34 irányelv célja az áruk szabad mozgásának biztosítása olyan megelőző ellenőrzés megszervezésével, amelynek hatékonysága megköveteli, hogy magánszemélyek közötti jogvita keretében mellőzzék az ezen irányelv 8. és 9. cikkének megsértésével elfogadott nemzeti intézkedés alkalmazását, ezen irányelv egyáltalán nem határozza meg azon jogszabály tárgyi hatályát, amely alapján a nemzeti bíróságnak az előtte folyamatban lévő ügyben határozatot kell hoznia. Így ez az irányelv sem jogokat, sem kötelezettségeket nem keletkeztet magánszemélyek számára (Unilever-ítélet, C-443/98, EU:C:2000:496, 51. pont).</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E körülmények között meg kell állapítani, hogy a 104. pontban felsorolt feltételek közül az első nem teljesül, így a magánszemélyek nem hivatkozhatnak az említett irányelv 8. és 9. cikkének megsértésére annak érdekében, hogy az uniós jog alapján megállapítsák az érintett tagállam felelősségét.”</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Kötelezettségszegési eljárás</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2009. június 4-i Bizottság</w:t>
        </w:r>
      </w:hyperlink>
      <w:r>
        <w:t xml:space="preserve"> kontra Görögország ítélet, C-109/08, EU:C:2009:346, 14–17. pont.</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 Bíróságnak az értesítési kötelezettség megsértését megállapító ítéletét haladéktalanul végre kell hajtani az uniós jog egységes alkalmazásának biztosítása érdekében. Azt a kérdést, hogy fennáll-e ilyen kötelezettségszegés az EK 228. cikk alapján, az indokolással ellátott véleményben meghatározott határidő lejártakor kell értékelni. A jelen ügyben, mivel Görögország az előírt határidő lejárta előtt nem hozott intézkedéseket, nem teljesítette az EK 228. cikk (1) bekezdéséből eredő kötelezettségeit.</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Bár az EK 228. cikk nem határozza meg azt a határidőt, amelyen belül a Bíróság kötelezettségszegést megállapító ítéletét végre kell hajtani, az állandó ítélkezési gyakorlatból az következik, hogy a közösségi jog azonnali és egységes alkalmazásának jelentősége azt jelenti, hogy a végrehajtási eljárást azonnal meg kell kezdeni, és a lehető legrövidebb időn belül le kell zárni (lásd különösen a C-121/07. sz., Bizottság kontra Franciaország ügyben 2008. január 10–én hozott ítélet [EBHT 2008.</w:t>
        <w:noBreakHyphen/>
        <w:t xml:space="preserve">, I 0000. o.] 21. pontját és az ott hivatkozott</w:t>
        <w:noBreakHyphen/>
        <w:t xml:space="preserve">ítélkezési gyakorlatot).</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Ezenkívül az EK 228. cikk szerinti kötelezettségszegés fennállásának értékelése szempontjából irányadó időpont az e rendelkezés alapján kibocsátott indokolással ellátott véleményben előírt határidő lejártának időpontja (lásd többek között a C-503/04. sz.,</w:t>
        <w:noBreakHyphen/>
        <w:t xml:space="preserve">Bizottság kontra Németország ügyben 2007. június 18–án hozott ítélet [EBHT 2007.</w:t>
        <w:noBreakHyphen/>
        <w:t xml:space="preserve">, I 6153. o.] 19. pontját és az ott hivatkozott</w:t>
        <w:noBreakHyphen/>
        <w:t xml:space="preserve">ítélkezési gyakorlatot).</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A jelen ügyben meg kell állapítani, hogy a 2007. június 29–i indokolással ellátott véleményben előírt két hónapos határidő lejártáig a Görög Köztársaság nem hozta meg a fent hivatkozott</w:t>
        <w:noBreakHyphen/>
        <w:t xml:space="preserve">Bizottság kontra Görögország ügyben hozott ítéletben foglaltak teljesítéséhez szükséges intézkedéseket, mivel az ezen ítélet végrehajtására irányuló első intézkedés tervezetét csak 2008. május 7–én közölték a Bizottsággal.</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E körülmények között meg kell állapítani, hogy a Görög Köztársaság – amint azt maga is elismeri – nem teljesítette az EK 228. cikk (1) bekezdéséből eredő kötelezettségeit.”</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A 2015/1535 irányelv és a 83/189/EGK irányelv összehasonlítása az eredeti, módosítás nélküli jogi aktusokon alapul, míg a 98/34/EK irányelv összehasonlítása az 1998. július 20-i 98/48/EK irányelvvel módosított változaton alapul.</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Az Európai Parlament és a Tanács 2015. szeptember 9-i (EU) 2015/1535 irányelve a műszaki szabályokkal és az információs társadalom szolgáltatásaira vonatkozó szabályokkal kapcsolatos információszolgáltatási eljárás megállapításáról (kodifikáció)</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Az 1998. július 20-i 98/48/EK irányelvvel módosított, a műszaki szabványok és szabályok terén történő információszolgáltatási eljárás megállapításáról szóló, 1998. június 22-i 98/34/EK európai parlamenti és tanácsi irányelv (a szolgáltatásokra vonatkozó szabályokat is beleértve)</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A Tanács 83/189/EGK irányelve (1983. március 28.) a műszaki szabványok és szabályok terén történő információszolgáltatási eljárás megállapításáról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hu"/>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