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0086 F-- FI- ------ 20200420 ---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18 päivänä marraskuuta 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Ranskan tasavallan virallinen lehti nro 0267, 17.11.2019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Teksti nro 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Asetus nro 2019-1186, annettu 15 päivänä marraskuuta 2019, radiolaitteiden ominaisabsorptionopeuden ilmoittamisesta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NOR: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 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Alias: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Asianosaiset: radiolaitteiden valmistajat, maahantuojat, jakelijat.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Aihe: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mittausvelvoitteen alaisten radiolaitteiden (matkapuhelimet, tabletit, radio-ohjattavat lelut ynnä muut) ominaisabsorptionopeuden (SAR) arvoa koskevien tietojen antaminen kuluttajalle.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Voimaantulo: asetus tulee voimaan 1 päivänä heinäkuuta 2020.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Huomautus: Kohtuullisuudesta, avoimuudesta, tietojen antamisesta ja yhteistoiminnasta sähkömagneettisille aalloille altistumisen osalta 9 päivänä helmikuuta 2015 annetun lain nro 2015-136 4 §:llä on muutettu kansallisesta sitoutumisesta ympäristöasioihin 12 päivänä heinäkuuta 2010 annetun lain nro 2010-788 184 § ainoastaan matkapuhelinlaitteita koskeneen ominaisabsorptionopeuden ilmoitusvelvoitteen laajentamiseksi mittausvelvoitteen alaisiin radiolaitteisiin.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Kuluttajansuojalain L. 412-1 §:n nojalla annetulla asetuksella säännökset saatetaan yhdenmukaisiksi edellä mainittujen laissa säädettyjen säännösten kanssa, jotta niitä voidaan soveltaa kaikkiin mittausvelvoitteen alaisiin radiolaitteisiin.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Viitteet:</w:t>
      </w:r>
      <w:r>
        <w:rPr>
          <w:sz w:val="24"/>
          <w:szCs w:val="24"/>
          <w:rFonts w:ascii="Arial" w:hAnsi="Arial"/>
        </w:rPr>
        <w:t xml:space="preserve"> tähän asetukseen voi tutustua Légifrance-verkkosivustolla (https://www.legifrance.gouv.fr).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Pääministeri, joka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solidaarisuus - ja terveysministerin selonteon perusteella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ottaa huomioon radiolaitteiden asettamista saataville markkinoilla koskevan jäsenvaltioiden lainsäädännön yhdenmukaistamisesta ja direktiivin 1999/5/EY kumoamisesta 16 päivänä huhtikuuta 2014 annetun Euroopan parlamentin ja neuvoston direktiivin 2014/53/EU ja erityisesti sen 7 artiklan,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ottaa huomioon teknisiä määräyksiä ja tietoyhteiskunnan palveluja koskevia määräyksiä koskevien tietojen toimittamisessa noudatettavasta menettelystä 9 päivänä syyskuuta 2015 annetun Euroopan parlamentin ja neuvoston direktiivin (EU) 2015/1535,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ottaa huomioon kuluttajansuojalain ja erityisesti sen L. 412-1 §:n,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ottaa huomioon postitoiminnasta ja sähköisestä viestinnästä annetun lain ja erityisesti sen L. 32, L. 36-5, R. 9 ja R. 20-11 §:n,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ottaa huomioon kansallisesta sitoutumisesta ympäristöasioihin 12 päivänä heinäkuuta 2010 annetun lain nro 2010-788, sellaisena kuin se on muutettuna, ja erityisesti sen 184 §:n,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ottaa huomioon radiopäätelaitteiden ominaisabsorptionopeuden ilmoittamisesta 12 päivänä lokakuuta 2010 annetun asetuksen nro 2010-1207,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ottaa huomioon Euroopan komissiolle direktiivin (EU) 2015/1535 nojalla toimitetun ilmoituksen nro 2018/0086/F,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ottaa huomioon 16 päivänä huhtikuuta – 13 päivänä toukokuuta 2018 ympäristölain L. 123-19-1 §:n mukaisesti järjestetyssä julkisessa kuulemisessa esitetyt havainnot,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ottaa huomioon sähköisen viestinnän ja postitoiminnan sääntelyviranomaisen 4 päivänä heinäkuuta 2019 antaman lausunnon nro 2019-0964 ja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kuultuaan Ranskan korkeinta hallinto-oikeutta (sosiaaliasioiden osastoa),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säätää seuraavaa: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1 §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Poistetaan edellä mainitun 12 päivänä lokakuuta 2010 annetun asetuksen otsikosta ilmaisu ”pääte”.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2 §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Korvataan edellä mainitun 12 päivänä lokakuuta 2010 annetun asetuksen 1 §:ssä ilmaisu ”kyseisen lain 32 §:n 10° ja 11° momentissa tarkoitettujen radiopäätelaitteiden” ilmaisulla ”radiolaitteiden, joiden lähetysteho on yli 20 milliwattia ja joita voidaan kohtuullisen ennakoitavasti olettaa käytettävän enintään 20 senttimetrin etäisyydellä päästä tai muusta ihmisruumiin osasta,”.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3 §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Tämä asetus tulee voimaan 1 päivänä heinäkuuta 2020.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4 §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Solidaarisuus- ja terveysministeri ja talous- ja valtiovarainministeri ovat kumpikin omalta osaltaan vastuussa tämän Ranskan tasavallan virallisessa lehdessä julkaistavan asetuksen täytäntöönpanosta.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Annettu 15 päivänä marraskuuta 2019.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Edouard Philippe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Pääministerin puolesta: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Solidaarisuus- ja terveysministeri,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Agnès Buzyn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Talous- ja valtiovarainministeri,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Bruno Le Maire</w:t>
      </w:r>
      <w:r>
        <w:rPr>
          <w:sz w:val="24"/>
          <w:szCs w:val="24"/>
          <w:rFonts w:ascii="Arial" w:hAnsi="Arial"/>
        </w:rPr>
        <w:t xml:space="preserve">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fi-F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ZAGHINI, Francesco</cp:lastModifiedBy>
  <cp:revision>5</cp:revision>
  <dcterms:created xsi:type="dcterms:W3CDTF">2019-11-18T09:24:00Z</dcterms:created>
  <dcterms:modified xsi:type="dcterms:W3CDTF">2020-04-08T09:21:00Z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