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1B" w:rsidRPr="00E41999" w:rsidRDefault="00A47A1B" w:rsidP="00A47A1B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  <w:r>
        <w:rPr>
          <w:rStyle w:val="Normal"/>
          <w:rFonts w:ascii="Courier New" w:hAnsi="Courier New"/>
          <w:sz w:val="20"/>
        </w:rPr>
        <w:t>1. ------IND- 2018 0211 LV- PT- ------ 20180524 --- --- PROJET</w:t>
      </w:r>
    </w:p>
    <w:p w:rsidR="00A47A1B" w:rsidRPr="000027DE" w:rsidRDefault="00A47A1B" w:rsidP="00A47A1B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PROJETO</w:t>
      </w:r>
    </w:p>
    <w:p w:rsidR="00A47A1B" w:rsidRPr="000027DE" w:rsidRDefault="00A47A1B" w:rsidP="00A47A1B">
      <w:pPr>
        <w:rPr>
          <w:rFonts w:ascii="Times New Roman" w:hAnsi="Times New Roman"/>
          <w:sz w:val="28"/>
          <w:szCs w:val="28"/>
        </w:rPr>
      </w:pPr>
    </w:p>
    <w:p w:rsidR="00A47A1B" w:rsidRPr="000027DE" w:rsidRDefault="00A47A1B" w:rsidP="00A47A1B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CONSELHO DE MINISTROS DA REPÚBLICA DA LETÓNIA</w:t>
      </w:r>
    </w:p>
    <w:p w:rsidR="00A47A1B" w:rsidRPr="000027DE" w:rsidRDefault="00A47A1B" w:rsidP="00A47A1B">
      <w:pPr>
        <w:pStyle w:val="BodyText"/>
        <w:rPr>
          <w:b/>
          <w:sz w:val="28"/>
          <w:szCs w:val="28"/>
        </w:rPr>
      </w:pPr>
    </w:p>
    <w:p w:rsidR="00A47A1B" w:rsidRDefault="00A47A1B" w:rsidP="00A47A1B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[data] de [mês] de 2018</w:t>
      </w:r>
      <w:r>
        <w:rPr>
          <w:rStyle w:val="BodyText"/>
          <w:sz w:val="28"/>
        </w:rPr>
        <w:tab/>
        <w:t xml:space="preserve"> Regulamento n.º</w:t>
      </w:r>
    </w:p>
    <w:p w:rsidR="00A47A1B" w:rsidRPr="000027DE" w:rsidRDefault="00A47A1B" w:rsidP="00A47A1B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 xml:space="preserve">Riga </w:t>
      </w:r>
      <w:r>
        <w:rPr>
          <w:rStyle w:val="BodyText"/>
          <w:sz w:val="28"/>
        </w:rPr>
        <w:tab/>
        <w:t>(Ata n.º § [a confirmar])</w:t>
      </w:r>
    </w:p>
    <w:p w:rsidR="00A47A1B" w:rsidRPr="000027DE" w:rsidRDefault="00A47A1B" w:rsidP="00A47A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7A1B" w:rsidRPr="000027DE" w:rsidRDefault="00A47A1B" w:rsidP="00A47A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7A1B" w:rsidRPr="000027DE" w:rsidRDefault="00A47A1B" w:rsidP="00A47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Procedimento para a cessação do estatuto de resíduo dos materiais de borracha obtidos a partir de pneus usados</w:t>
      </w:r>
    </w:p>
    <w:p w:rsidR="00A47A1B" w:rsidRPr="000027DE" w:rsidRDefault="00A47A1B" w:rsidP="00A47A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47A1B" w:rsidRPr="000027DE" w:rsidRDefault="00A47A1B" w:rsidP="00A47A1B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 xml:space="preserve">Emitido em conformidade com o </w:t>
      </w:r>
      <w:r>
        <w:br/>
      </w:r>
      <w:r>
        <w:rPr>
          <w:rStyle w:val="Normal"/>
          <w:rFonts w:ascii="Times New Roman" w:hAnsi="Times New Roman"/>
          <w:sz w:val="28"/>
        </w:rPr>
        <w:t>artigo 6.º, n.º 1-A</w:t>
      </w:r>
      <w:r>
        <w:br/>
      </w:r>
      <w:r>
        <w:rPr>
          <w:rStyle w:val="Normal"/>
          <w:rFonts w:ascii="Times New Roman" w:hAnsi="Times New Roman"/>
          <w:sz w:val="28"/>
        </w:rPr>
        <w:t>da lei relativa à gestão de resíduos</w:t>
      </w:r>
    </w:p>
    <w:p w:rsidR="00A47A1B" w:rsidRPr="000027DE" w:rsidRDefault="00A47A1B" w:rsidP="00A47A1B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O regulamento estabelece o procedimento para a cessação do estatuto de resíduo dos materiais de borracha obtidos a partir de pneus usados.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Na aceção do presente regulamento, por </w:t>
      </w:r>
      <w:r>
        <w:rPr>
          <w:rStyle w:val="NumPar1"/>
          <w:i/>
          <w:sz w:val="28"/>
        </w:rPr>
        <w:t>matérias-primas secundárias</w:t>
      </w:r>
      <w:r>
        <w:rPr>
          <w:rStyle w:val="NumPar1"/>
          <w:sz w:val="28"/>
        </w:rPr>
        <w:t xml:space="preserve"> entende-se materiais de borracha obtidos a partir de pneus usados, quebrando-os, esmagando-os, triturando-os, cortando-os ou reduzindo-os a granulados, se, após a transformação dos pneus, os referidos materiais se destinarem à venda no mercado para utilização subsequente, com ou sem ligantes, e cumprirem todos os critérios mencionados no Anexo 1 do presente regulamento.</w:t>
      </w:r>
    </w:p>
    <w:p w:rsidR="00A47A1B" w:rsidRPr="000027DE" w:rsidRDefault="00A47A1B" w:rsidP="00A47A1B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As seguintes matérias-primas secundárias podem ser obtidas a partir de pneus usados: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Borracha em pó: um material de borracha obtido mediante a trituração dos pneus usados em partículas com uma dimensão máxima de 0,8 mm; 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Granulado de borracha: um material de borracha obtido mediante a redução dos pneus usados a granulados com uma dimensão máxima das partículas de 0,9 a 20 mm; 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Cobertura de borracha: um material de borracha obtido esmigalhando, triturando ou cortando pneus usados em partículas de formato irregular com dimensões entre 10 e 50 mm. Admite-se a adição de têxteis; 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Borracha triturada: um material de borracha obtido esmigalhando, triturando ou cortando pneus usados em partículas de formato irregular maioritariamente com dimensões entre 50 e 300 mm. Admite-se a adição de têxteis e fios metálicos; 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Aparas de borracha: um material de borracha obtido esmigalhando, triturando ou cortando pneus usados em partículas de formato irregular </w:t>
      </w:r>
      <w:r>
        <w:rPr>
          <w:rStyle w:val="ListParagraph"/>
          <w:rFonts w:ascii="Times New Roman" w:hAnsi="Times New Roman"/>
          <w:sz w:val="28"/>
        </w:rPr>
        <w:lastRenderedPageBreak/>
        <w:t>maioritariamente com dimensões entre 300 e 500 mm. Admite-se a adição de têxteis e fios metálicos.</w:t>
      </w:r>
    </w:p>
    <w:p w:rsidR="00A47A1B" w:rsidRPr="000027DE" w:rsidRDefault="00A47A1B" w:rsidP="00A47A1B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Os materiais de borracha não devem ser considerados matérias-primas secundárias e devem ser considerados resíduos se forem utilizados para os seguintes fins: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Incineração com ou sem valorização energética;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Pirólise, plasmólise, gaseificação e processos tecnológicos semelhantes que implicam a modificação das propriedades físicas ou químicas dos materiais de borracha;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Deposição em aterros ou armazenamento durante mais de 1 ano.</w:t>
      </w:r>
    </w:p>
    <w:p w:rsidR="00A47A1B" w:rsidRPr="000027DE" w:rsidRDefault="00A47A1B" w:rsidP="00A47A1B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garantir o seguinte:</w:t>
      </w:r>
    </w:p>
    <w:p w:rsidR="00A47A1B" w:rsidRPr="00A87A80" w:rsidRDefault="00A47A1B" w:rsidP="00A47A1B">
      <w:pPr>
        <w:pStyle w:val="NumPar1"/>
        <w:numPr>
          <w:ilvl w:val="1"/>
          <w:numId w:val="1"/>
        </w:numPr>
        <w:rPr>
          <w:rFonts w:eastAsia="SimSun"/>
          <w:snapToGrid/>
          <w:sz w:val="28"/>
          <w:szCs w:val="28"/>
        </w:rPr>
      </w:pPr>
      <w:r>
        <w:rPr>
          <w:rStyle w:val="NumPar1"/>
          <w:snapToGrid/>
          <w:sz w:val="28"/>
        </w:rPr>
        <w:t>O preenchimento de uma declaração para cada lote de matérias-primas secundárias que demonstre que as matérias-primas secundárias cumprem os critérios de fim do estatuto de resíduo definidos no Anexo 1 do presente regulamento em conformidade com o respetivo Anexo 2 (doravante, «declaração de conformidade»);</w:t>
      </w:r>
    </w:p>
    <w:p w:rsidR="00A47A1B" w:rsidRPr="000027DE" w:rsidRDefault="00A47A1B" w:rsidP="00A47A1B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A conservação de registos de pneus usados recicláveis, de acordo com as regras e regulamentações aplicáveis aos formulários oficiais de estatísticas ambientais;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acompanhamento de cada lote de matérias-primas secundárias, durante o transporte, por uma cópia em suporte de papel da declaração de conformidade que permita que o Serviço Ambiental Estatal da República da Letónia solicite que o responsável pela transformação de pneus usados apresente a cópia original da declaração de conformidade.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conservar a declaração de conformidade durante 5 anos após a data da respetiva emissão e apresentá-la no prazo de 10 dias úteis sempre que as autoridades competentes responsáveis pela gestão de resíduos a solicitem.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A declaração de conformidade deve ser elaborada por via eletrónica em conformidade com as regras e regulamentações aplicáveis a documentos eletrónicos.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anexar a especificação técnica do produto a cada lote de matérias-primas secundárias.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A pessoa responsável pela importação das matérias-primas secundárias para a Letónia deve garantir que o responsável pela transformação dos pneus usados anexe, a cada lote de matérias-primas secundárias, uma </w:t>
      </w:r>
      <w:r>
        <w:rPr>
          <w:rStyle w:val="NumPar1"/>
          <w:sz w:val="28"/>
        </w:rPr>
        <w:lastRenderedPageBreak/>
        <w:t>declaração com informações sobre as propriedades físicas e químicas da transferência e dados do responsável pela transformação de pneus usados.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A pessoa responsável pela importação de matérias-primas secundárias para a Letónia deve conservar a declaração mencionada no n.º 9 do presente regulamento durante 5 anos após a respetiva data de elaboração e deve apresentá-la no prazo de 10 dias úteis sempre que as autoridades competentes responsáveis pela gestão de resíduos a solicitem.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introduzir um sistema de gestão da qualidade para garantir a rastreabilidade da transformação de pneus usados. O responsável pela transformação de pneus usados deve respeitar os requisitos do comprador de matérias-primas secundárias no que concerne à qualidade e às propriedades físicas e químicas das matérias-primas secundárias.</w:t>
      </w:r>
    </w:p>
    <w:p w:rsidR="00A47A1B" w:rsidRPr="000027DE" w:rsidRDefault="00A47A1B" w:rsidP="00A47A1B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sistema de gestão da qualidade deve incluir uma descrição pormenorizada da transformação dos pneus usados, do seguinte modo: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Descrição da monitorização da qualidade da transformação de pneus usados em conformidade com o Anexo 1 do presente regulamento;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Os métodos de amostragem utilizados, ensaios físicos e químicos das amostras, rotulagem de matérias-primas secundárias, descrição de processos de embalagem e armazenamento;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Critérios de conformidade e rejeição aplicáveis a pneus usados, tipos de medidas de controlo para avaliar a conformidade dos pneus usados e as formas de documentação dos resultados das medidas de controlo; 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Descrição de todo o ciclo de transformação de pneus usados, incluindo a gestão e o armazenamento subsequentes dos resíduos resultantes, bem como informações acerca da potencial venda das matérias-primas secundárias;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Critérios de conformidade da qualidade das matérias-primas secundárias e critérios de autoverificação em conformidade com o Anexo 1 do presente regulamento;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Lista dos colaboradores do responsável pela transformação dos pneus usados encarregues de cada fase de transformação dos pneus usados;</w:t>
      </w:r>
    </w:p>
    <w:p w:rsidR="00A47A1B" w:rsidRPr="000027DE" w:rsidRDefault="00A47A1B" w:rsidP="00A47A1B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Potencial volume de transformação de pneus usados.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conservar as informações relacionadas com a transformação de pneus usados especificadas no n.º 12 do presente regulamento durante 5 anos após a aceitação do lote pertinente de matérias-primas secundárias.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 xml:space="preserve">O responsável pela transformação de pneus usados deve proceder a uma revisão anual do sistema de gestão da qualidade, bem como sempre que sejam efetuadas alterações significativas aos processos tecnológicos das </w:t>
      </w:r>
      <w:r>
        <w:rPr>
          <w:rStyle w:val="NumPar1"/>
          <w:sz w:val="28"/>
        </w:rPr>
        <w:lastRenderedPageBreak/>
        <w:t>matérias-primas secundárias ou que as propriedades físicas ou químicas das matérias-primas secundárias sofram modificações.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Mediante pedido por escrito das autoridades competentes responsáveis pela gestão de resíduos, o responsável pela transformação de pneus usados ou a pessoa responsável pela importação de matérias-primas secundárias para a Letónia deve assegurar o acesso a todos os documentos, áreas e instalações associados à transformação e ao armazenamento de pneus usados, por forma a avaliar a respetiva conformidade com os requisitos estipulados no presente regulamento.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 responsável pela transformação de pneus usados deve informar o comprador das matérias-primas secundárias de que os pneus usados são objeto de transformação submetida a um sistema de gestão da qualidade.</w:t>
      </w:r>
    </w:p>
    <w:p w:rsidR="00A47A1B" w:rsidRPr="000027DE" w:rsidRDefault="00A47A1B" w:rsidP="00A47A1B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Se, aquando da importação de materiais de borracha obtidos a partir de pneus usados de outros países, as autoridades competentes de expedição e de destino não puderem concordar quanto à classificação do material de borracha, aplica-se o artigo 28.º, n.º 1, do Regulamento (CE) n.º 1013/2006 do Parlamento e do Conselho, de 14 de junho de 2006, relativo a transferências de resíduos.</w:t>
      </w:r>
    </w:p>
    <w:p w:rsidR="00A47A1B" w:rsidRPr="00AF72FA" w:rsidRDefault="00A47A1B" w:rsidP="00A47A1B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Anexo 1</w:t>
      </w:r>
      <w:r>
        <w:br/>
      </w:r>
      <w:r>
        <w:rPr>
          <w:rStyle w:val="Normal"/>
          <w:rFonts w:ascii="Times New Roman" w:hAnsi="Times New Roman"/>
          <w:sz w:val="28"/>
        </w:rPr>
        <w:t>do Regulamento n.º .....</w:t>
      </w:r>
      <w:r>
        <w:br/>
      </w:r>
      <w:r>
        <w:rPr>
          <w:rStyle w:val="Normal"/>
          <w:rFonts w:ascii="Times New Roman" w:hAnsi="Times New Roman"/>
          <w:sz w:val="28"/>
        </w:rPr>
        <w:t>do Conselho de Ministros</w:t>
      </w:r>
      <w:r>
        <w:br/>
      </w:r>
      <w:r>
        <w:rPr>
          <w:rStyle w:val="Normal"/>
          <w:rFonts w:ascii="Times New Roman" w:hAnsi="Times New Roman"/>
          <w:sz w:val="28"/>
        </w:rPr>
        <w:t>de [data] de [mês] de 2018</w:t>
      </w:r>
    </w:p>
    <w:p w:rsidR="00A47A1B" w:rsidRPr="00B45A62" w:rsidRDefault="00A47A1B" w:rsidP="00A47A1B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A47A1B" w:rsidRPr="00B45A62" w:rsidRDefault="00A47A1B" w:rsidP="00A47A1B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Critérios de fim do estatuto de resíduo para materiais de borracha obtidos a partir de pneus usados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A47A1B" w:rsidRPr="00C02523" w:rsidTr="00A47A1B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2632C2" w:rsidRDefault="00A47A1B" w:rsidP="00A47A1B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Critérios de fim do estatuto de resíduo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C02523" w:rsidRDefault="00A47A1B" w:rsidP="00A47A1B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Critérios de autoverificação</w:t>
            </w:r>
          </w:p>
        </w:tc>
      </w:tr>
      <w:tr w:rsidR="00A47A1B" w:rsidRPr="00C02523" w:rsidTr="00A47A1B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2632C2" w:rsidRDefault="00A47A1B" w:rsidP="00A47A1B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Requisitos de qualidade para materiais de borracha obtidos a partir de pneus usados através da transformação mecânica: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Não possuem propriedades perigosas mencionadas no Regulamento (UE) n.º 1357/2014 da Comissão, de 18 de dezembro de 2014, que substitui o anexo III da Diretiva 2008/98/CE do Parlamento Europeu e do Conselho, relativa aos resíduos e que revoga certas diretivas e não excedem os limites de concentração especificados no Anexo IV do Regulamento (CE) n.º 850/2004 do Parlamento Europeu e do Conselho de 29 de abril de 2004 relativo a poluentes orgânicos persistentes e que altera a Diretiva 79/117/CEE;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Cumprem as restrições do Anexo XVII, artigo 50.º, do Regulamento (CE) n.º 1907/2006 do Parlamento Europeu e do Conselho de 18 de dezembro de 2006 relativo ao registo, avaliação, autorização e restrição dos produtos químicos (REACH), que cria a Agência Europeia dos Produtos Químicos, que altera a Diretiva 1999/45/CE e revoga o Regulamento (CEE) n.º 793/93 do Conselho e o Regulamento (CE) n.º 1488/94 da Comissão, bem como a Diretiva </w:t>
            </w: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76/769/CEE do Conselho e as Diretivas 91/155/CEE, 93/67/CEE, 93/105/CE e 2000/21/CE da Comissão;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Não contêm quantidades percetíveis de óleo e lubrificantes;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A separação e a determinação quantitativa são realizadas de acordo com o tipo/a dimensão.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A qualidade dos materiais de borracha deve ser objeto de avaliação:</w:t>
            </w:r>
          </w:p>
          <w:p w:rsidR="00A47A1B" w:rsidRPr="002632C2" w:rsidRDefault="00A47A1B" w:rsidP="00A47A1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mediante inspeção visual;</w:t>
            </w:r>
          </w:p>
          <w:p w:rsidR="00A47A1B" w:rsidRPr="002632C2" w:rsidRDefault="00A47A1B" w:rsidP="00A47A1B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no caso das propriedades físicas e químicas – mediante relatórios de ensaios laboratoriais, incluindo os abrangidos pelas especificações técnicas dos compradores de matérias-primas secundárias. Mediante pedido do comprador das matérias-primas secundárias, podem ser realizados outros ensaios laboratoriais em conformidade com as especificações adicionais do comprador das matérias-primas secundárias. 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Deve proceder-se a um ensaio de amostras representativas para cada tipo de matéria-prima secundária obtida a partir de pneus usados.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As amostras representativas devem ser obtidas de acordo com o procedimento de amostragem abrangido e descrito pormenorizadamente no âmbito do sistema de gestão da qualidade </w:t>
            </w: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(métodos de amostragem utilizados, frequência de amostragem, dimensões, tipos e número das amostras, análise estatística, etc.).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 propriedades físicas e químicas devem ser objeto de ensaio num laboratório.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Os critérios de conformidade de matérias-primas secundárias especificadas no n.º 1 do anexo devem ser introduzidos e descritos no âmbito do sistema de gestão da qualidade utilizado.</w:t>
            </w:r>
          </w:p>
        </w:tc>
      </w:tr>
      <w:tr w:rsidR="00A47A1B" w:rsidRPr="00C02523" w:rsidTr="00A47A1B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2632C2" w:rsidRDefault="00A47A1B" w:rsidP="00A47A1B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Requisitos para os resíduos a reciclar como matérias-primas secundárias: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Apenas podem ser utilizados pneus usados correspondentes à classificação de resíduo e às propriedades de resíduos perigosos especificadas em regras e regulamentações; </w:t>
            </w:r>
          </w:p>
          <w:p w:rsidR="00A47A1B" w:rsidRPr="002632C2" w:rsidRDefault="00A47A1B" w:rsidP="00A47A1B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Não é admitida a utilização de pneus usados contaminados com substâncias perigosas ou resíduos perigosos.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 qualidade dos materiais de borracha deve ser avaliada mediante inspeção visual.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 quantidades de pneus usados recebidos e transformados devem ser registadas em conformidade com as regras e regulamentações aplicáveis aos formulários oficiais de estatísticas ambientais.</w:t>
            </w:r>
          </w:p>
        </w:tc>
      </w:tr>
      <w:tr w:rsidR="00A47A1B" w:rsidRPr="00C02523" w:rsidTr="00A47A1B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2632C2" w:rsidRDefault="00A47A1B" w:rsidP="00A47A1B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Os pneus usados devem ser objeto de transformação da seguinte forma:</w:t>
            </w:r>
          </w:p>
          <w:p w:rsidR="00A47A1B" w:rsidRPr="002632C2" w:rsidRDefault="00A47A1B" w:rsidP="00A47A1B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3.1. Deve proceder-se à remoção de objetos estranhos, tais como pedras, pedaços de metal e detritos;</w:t>
            </w:r>
          </w:p>
          <w:p w:rsidR="00A47A1B" w:rsidRPr="002632C2" w:rsidRDefault="00A47A1B" w:rsidP="00A47A1B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3.2. Os métodos e os processos utilizados não podem ter um impacto prejudicial no ambiente;</w:t>
            </w:r>
          </w:p>
          <w:p w:rsidR="00A47A1B" w:rsidRPr="002632C2" w:rsidRDefault="00A47A1B" w:rsidP="00A47A1B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3.3. Devem ser cumpridas as regras e regulamentações aplicáveis à gestão e ao manuseamento de resíduos.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Os pneus devem ser objeto de limpeza mecânica ou manual.</w:t>
            </w:r>
          </w:p>
        </w:tc>
      </w:tr>
    </w:tbl>
    <w:p w:rsidR="00A47A1B" w:rsidRPr="00AF72FA" w:rsidRDefault="00A47A1B" w:rsidP="00A47A1B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Anexo 2</w:t>
      </w:r>
      <w:r>
        <w:br/>
      </w:r>
      <w:r>
        <w:rPr>
          <w:rStyle w:val="Normal"/>
          <w:rFonts w:ascii="Times New Roman" w:hAnsi="Times New Roman"/>
          <w:sz w:val="28"/>
        </w:rPr>
        <w:t>do Regulamento n.º .....</w:t>
      </w:r>
      <w:r>
        <w:br/>
      </w:r>
      <w:r>
        <w:rPr>
          <w:rStyle w:val="Normal"/>
          <w:rFonts w:ascii="Times New Roman" w:hAnsi="Times New Roman"/>
          <w:sz w:val="28"/>
        </w:rPr>
        <w:t>do Conselho de Ministros</w:t>
      </w:r>
      <w:r>
        <w:br/>
      </w:r>
      <w:r>
        <w:rPr>
          <w:rStyle w:val="Normal"/>
          <w:rFonts w:ascii="Times New Roman" w:hAnsi="Times New Roman"/>
          <w:sz w:val="28"/>
        </w:rPr>
        <w:t>de [data] de [mês] de 2018</w:t>
      </w:r>
    </w:p>
    <w:p w:rsidR="00A47A1B" w:rsidRDefault="00A47A1B" w:rsidP="00A47A1B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1B" w:rsidRDefault="00A47A1B" w:rsidP="00A47A1B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Declaração de que as matérias-primas secundárias cumprem os critérios de fim do estatuto de resíduo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A47A1B" w:rsidRPr="00C02523" w:rsidTr="00A47A1B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Dados do responsável pela transformação de pneus usados: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Nome da pessoa coletiva: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N.º de registo: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Endereço efetivo: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Sede social: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Contacto: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Telefone: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Endereço de correio eletrónico: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Requisitos técnicos especificados na especificação técnica do comprador de matérias-primas secundárias, incluindo composição, dimensão, adição, propriedades físicas e químicas, etc. (especifique os requisitos técnicos):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 matérias-primas secundárias obtidas a partir de pneus usados cumprem os requisitos estipulados nas especificações técnicas.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Dimensão da transferência em kg: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 matérias-primas secundárias obtidas a partir de pneus usados cumprem os critérios de fim do estatuto de resíduo.*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 responsável pela transformação de pneus usados opera em conformidade com o sistema de gestão da qualidade.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 matérias-primas secundárias incluídas na transferência destinam-se apenas a uso direto (especifique a utilização prevista): __________________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7.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Declaração do responsável pela transformação de pneus usados:</w:t>
            </w:r>
          </w:p>
          <w:p w:rsidR="00A47A1B" w:rsidRPr="00C02523" w:rsidRDefault="00A47A1B" w:rsidP="00A47A1B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A1B" w:rsidRPr="00C02523" w:rsidRDefault="00A47A1B" w:rsidP="00A47A1B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Pelo presente, confirmo que as informações constantes na declaração estão completas e são corretas.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Outras informações:</w:t>
            </w:r>
          </w:p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Representante do operador económico</w:t>
            </w:r>
          </w:p>
          <w:p w:rsidR="00A47A1B" w:rsidRPr="00B67F94" w:rsidRDefault="00A47A1B" w:rsidP="00A47A1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Nome completo:__________________________</w:t>
            </w:r>
          </w:p>
          <w:p w:rsidR="00A47A1B" w:rsidRPr="00B67F94" w:rsidRDefault="00A47A1B" w:rsidP="00A47A1B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Cargo, assinatura:_________________________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Data:</w:t>
            </w:r>
          </w:p>
        </w:tc>
      </w:tr>
      <w:tr w:rsidR="00A47A1B" w:rsidRPr="00C02523" w:rsidTr="00A47A1B">
        <w:trPr>
          <w:cantSplit/>
        </w:trPr>
        <w:tc>
          <w:tcPr>
            <w:tcW w:w="493" w:type="pct"/>
            <w:vMerge/>
            <w:shd w:val="clear" w:color="auto" w:fill="auto"/>
          </w:tcPr>
          <w:p w:rsidR="00A47A1B" w:rsidRPr="00C02523" w:rsidRDefault="00A47A1B" w:rsidP="00A47A1B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A47A1B" w:rsidRPr="00C02523" w:rsidRDefault="00A47A1B" w:rsidP="00A47A1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Assinatura:</w:t>
            </w:r>
          </w:p>
        </w:tc>
      </w:tr>
    </w:tbl>
    <w:p w:rsidR="00A47A1B" w:rsidRPr="006A4968" w:rsidRDefault="00A47A1B" w:rsidP="00A47A1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>* Os critérios são definidos no Anexo 1 do Regulamento n.º ____ do Conselho de Ministros, de [data] de [mês] de 2018, relativo ao procedimento para a cessação do estatuto de resíduo dos materiais de borracha obtidos a partir de pneus usados e fazem parte do sistema de gestão da qualidade para pneus usados do responsável pela transformação.</w:t>
      </w:r>
    </w:p>
    <w:sectPr w:rsidR="00A47A1B" w:rsidRPr="006A4968" w:rsidSect="00A47A1B">
      <w:headerReference w:type="default" r:id="rId9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1B" w:rsidRDefault="00A47A1B">
      <w:pPr>
        <w:spacing w:after="0" w:line="240" w:lineRule="auto"/>
      </w:pPr>
      <w:r>
        <w:separator/>
      </w:r>
    </w:p>
  </w:endnote>
  <w:endnote w:type="continuationSeparator" w:id="0">
    <w:p w:rsidR="00A47A1B" w:rsidRDefault="00A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1B" w:rsidRDefault="00A47A1B">
      <w:pPr>
        <w:spacing w:after="0" w:line="240" w:lineRule="auto"/>
      </w:pPr>
      <w:r>
        <w:separator/>
      </w:r>
    </w:p>
  </w:footnote>
  <w:footnote w:type="continuationSeparator" w:id="0">
    <w:p w:rsidR="00A47A1B" w:rsidRDefault="00A4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1B" w:rsidRPr="00BB2301" w:rsidRDefault="00A47A1B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 </w:instrText>
    </w:r>
    <w:r>
      <w:rPr>
        <w:rStyle w:val="Header"/>
        <w:rFonts w:ascii="Times New Roman" w:hAnsi="Times New Roman"/>
        <w:sz w:val="24"/>
      </w:rPr>
      <w:fldChar w:fldCharType="separate"/>
    </w:r>
    <w:r w:rsidR="00916C0C">
      <w:rPr>
        <w:rStyle w:val="Header"/>
        <w:rFonts w:ascii="Times New Roman" w:hAnsi="Times New Roman"/>
        <w:noProof/>
        <w:sz w:val="24"/>
      </w:rPr>
      <w:t>2</w:t>
    </w:r>
    <w:r>
      <w:rPr>
        <w:rStyle w:val="Header"/>
        <w:rFonts w:ascii="Times New Roman" w:hAnsi="Times New Roman"/>
        <w:sz w:val="24"/>
      </w:rPr>
      <w:fldChar w:fldCharType="end"/>
    </w:r>
  </w:p>
  <w:p w:rsidR="00A47A1B" w:rsidRDefault="00A47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3"/>
    <w:rsid w:val="0027455E"/>
    <w:rsid w:val="00916C0C"/>
    <w:rsid w:val="00A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pt-PT" w:eastAsia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pt-PT" w:eastAsia="pt-PT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pt-PT" w:eastAsia="pt-PT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pt-PT" w:eastAsia="pt-PT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pt-PT" w:eastAsia="pt-PT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pt-PT" w:eastAsia="pt-PT"/>
    </w:rPr>
  </w:style>
  <w:style w:type="character" w:styleId="Strong">
    <w:name w:val="Strong"/>
    <w:uiPriority w:val="22"/>
    <w:qFormat/>
    <w:rsid w:val="00695329"/>
    <w:rPr>
      <w:b/>
      <w:bCs/>
      <w:lang w:val="pt-PT" w:eastAsia="pt-PT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pt-PT" w:eastAsia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pt-PT" w:eastAsia="pt-PT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pt-PT" w:eastAsia="pt-PT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pt-PT" w:eastAsia="pt-PT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pt-PT" w:eastAsia="pt-PT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pt-PT" w:eastAsia="pt-PT"/>
    </w:rPr>
  </w:style>
  <w:style w:type="character" w:styleId="Strong">
    <w:name w:val="Strong"/>
    <w:uiPriority w:val="22"/>
    <w:qFormat/>
    <w:rsid w:val="00695329"/>
    <w:rPr>
      <w:b/>
      <w:bCs/>
      <w:lang w:val="pt-PT" w:eastAsia="pt-PT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823D-2F07-4208-B212-69444C9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dc:description>67026487, natalija.slaidina@varam.gov.lv, 67026515, ilze.donina@varam.gov.lv</dc:description>
  <cp:lastModifiedBy>Parracho, Tania</cp:lastModifiedBy>
  <cp:revision>2</cp:revision>
  <cp:lastPrinted>2018-03-14T11:38:00Z</cp:lastPrinted>
  <dcterms:created xsi:type="dcterms:W3CDTF">2018-05-23T14:17:00Z</dcterms:created>
  <dcterms:modified xsi:type="dcterms:W3CDTF">2018-05-23T14:17:00Z</dcterms:modified>
</cp:coreProperties>
</file>