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3D06E3" w:rsidRDefault="004A68F0" w:rsidP="004A68F0">
      <w:pPr>
        <w:pStyle w:val="PlainText"/>
        <w:ind w:left="1418"/>
        <w:jc w:val="center"/>
        <w:rPr>
          <w:rStyle w:val="BodyTextChar"/>
          <w:rFonts w:ascii="Courier New" w:hAnsi="Courier New" w:cs="Courier New"/>
        </w:rPr>
      </w:pPr>
      <w:r w:rsidRPr="003D06E3">
        <w:rPr>
          <w:rStyle w:val="BodyTextChar"/>
          <w:rFonts w:ascii="Courier New" w:hAnsi="Courier New"/>
        </w:rPr>
        <w:t>1. ------IND- 2018 0094 I</w:t>
      </w:r>
      <w:r w:rsidR="002561FF">
        <w:rPr>
          <w:rStyle w:val="BodyTextChar"/>
          <w:rFonts w:ascii="Courier New" w:hAnsi="Courier New"/>
        </w:rPr>
        <w:t>-</w:t>
      </w:r>
      <w:bookmarkStart w:id="0" w:name="_GoBack"/>
      <w:bookmarkEnd w:id="0"/>
      <w:r w:rsidRPr="003D06E3">
        <w:rPr>
          <w:rStyle w:val="BodyTextChar"/>
          <w:rFonts w:ascii="Courier New" w:hAnsi="Courier New"/>
        </w:rPr>
        <w:t>- SK- ------ 20180326 --- --- PROJET</w:t>
      </w:r>
    </w:p>
    <w:p w:rsidR="00952519" w:rsidRPr="003D06E3" w:rsidRDefault="00952519" w:rsidP="00B310BB">
      <w:pPr>
        <w:jc w:val="center"/>
        <w:rPr>
          <w:rFonts w:ascii="Times New Roman" w:hAnsi="Times New Roman" w:cs="Times New Roman"/>
          <w:sz w:val="28"/>
          <w:szCs w:val="28"/>
        </w:rPr>
      </w:pPr>
      <w:r w:rsidRPr="003D06E3">
        <w:rPr>
          <w:rFonts w:ascii="Times New Roman" w:hAnsi="Times New Roman"/>
          <w:sz w:val="28"/>
        </w:rPr>
        <w:t>VYHLÁŠKA</w:t>
      </w:r>
    </w:p>
    <w:p w:rsidR="00BF7796" w:rsidRPr="003D06E3" w:rsidRDefault="009E4D53" w:rsidP="00BF7796">
      <w:pPr>
        <w:jc w:val="center"/>
        <w:rPr>
          <w:rFonts w:ascii="Times New Roman" w:hAnsi="Times New Roman" w:cs="Times New Roman"/>
          <w:b/>
          <w:sz w:val="24"/>
          <w:szCs w:val="24"/>
        </w:rPr>
      </w:pPr>
      <w:r w:rsidRPr="003D06E3">
        <w:rPr>
          <w:rFonts w:ascii="Times New Roman" w:hAnsi="Times New Roman"/>
          <w:b/>
          <w:sz w:val="24"/>
        </w:rPr>
        <w:t xml:space="preserve">ktorou sa vykonáva článok 157 ods. 3 legislatívnej vyhlášky č. 230 zo 17. marca 1995, v znení zmien, ktorou sa stanovujú vykonávacie metódy, obsah osvedčení o rádiometrickom monitorovaní a zoznam kovových polovýrobkov podliehajúcich rádiometrickému monitorovaniu </w:t>
      </w:r>
    </w:p>
    <w:p w:rsidR="00AB0F43" w:rsidRPr="003D06E3" w:rsidRDefault="00AB0F43" w:rsidP="00BF7796">
      <w:pPr>
        <w:jc w:val="center"/>
        <w:rPr>
          <w:rFonts w:ascii="Times New Roman" w:hAnsi="Times New Roman" w:cs="Times New Roman"/>
          <w:b/>
          <w:sz w:val="24"/>
          <w:szCs w:val="24"/>
        </w:rPr>
      </w:pPr>
    </w:p>
    <w:p w:rsidR="000501D0" w:rsidRPr="003D06E3" w:rsidRDefault="00B310BB" w:rsidP="000501D0">
      <w:pPr>
        <w:jc w:val="center"/>
        <w:rPr>
          <w:rFonts w:ascii="Times New Roman" w:hAnsi="Times New Roman" w:cs="Times New Roman"/>
          <w:sz w:val="24"/>
          <w:szCs w:val="24"/>
        </w:rPr>
      </w:pPr>
      <w:r w:rsidRPr="003D06E3">
        <w:rPr>
          <w:rFonts w:ascii="Times New Roman" w:hAnsi="Times New Roman"/>
          <w:sz w:val="24"/>
        </w:rPr>
        <w:t>MINISTER HOSPODÁRSKEHO ROZVOJA</w:t>
      </w:r>
    </w:p>
    <w:p w:rsidR="00AB0F43" w:rsidRPr="003D06E3" w:rsidRDefault="00B310BB" w:rsidP="00AB0F43">
      <w:pPr>
        <w:jc w:val="center"/>
        <w:rPr>
          <w:rFonts w:ascii="Times New Roman" w:hAnsi="Times New Roman" w:cs="Times New Roman"/>
          <w:sz w:val="24"/>
          <w:szCs w:val="24"/>
        </w:rPr>
      </w:pPr>
      <w:r w:rsidRPr="003D06E3">
        <w:rPr>
          <w:rFonts w:ascii="Times New Roman" w:hAnsi="Times New Roman"/>
          <w:sz w:val="24"/>
        </w:rPr>
        <w:t xml:space="preserve">PO DOHODE SO </w:t>
      </w:r>
    </w:p>
    <w:p w:rsidR="00AB0F43"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ŠTÁTNYM TAJOMNÍKOM PRE EURÓPSKE ZÁLEŽITOSTI</w:t>
      </w:r>
    </w:p>
    <w:p w:rsidR="00AB0F43"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MINISTROM ZDRAVOTNÍCTVA</w:t>
      </w:r>
    </w:p>
    <w:p w:rsidR="001B3A1F"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 xml:space="preserve">MINISTROM ŽIVOTNÉHO PROSTREDIA A OCHRANY PRÍRODNÝCH ZDROJOV A MORA </w:t>
      </w:r>
    </w:p>
    <w:p w:rsidR="00AB0F43"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MINISTROM PRÁCE A SOCIÁLNEJ POLITIKY</w:t>
      </w:r>
    </w:p>
    <w:p w:rsidR="00AB0F43"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MINISTROM VNÚTRA</w:t>
      </w:r>
    </w:p>
    <w:p w:rsidR="00AB0F43"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MINISTROM HOSPODÁRSTVA A FINANCIÍ</w:t>
      </w:r>
    </w:p>
    <w:p w:rsidR="00B310BB" w:rsidRPr="003D06E3" w:rsidRDefault="001B3A1F" w:rsidP="00AB0F43">
      <w:pPr>
        <w:jc w:val="center"/>
        <w:rPr>
          <w:rFonts w:ascii="Times New Roman" w:hAnsi="Times New Roman" w:cs="Times New Roman"/>
          <w:sz w:val="24"/>
          <w:szCs w:val="24"/>
        </w:rPr>
      </w:pPr>
      <w:r w:rsidRPr="003D06E3">
        <w:rPr>
          <w:rFonts w:ascii="Times New Roman" w:hAnsi="Times New Roman"/>
          <w:sz w:val="24"/>
        </w:rPr>
        <w:t>MINISTROM INFRAŠTRUKTÚRY A DOPRAVY</w:t>
      </w:r>
    </w:p>
    <w:p w:rsidR="00B310BB" w:rsidRPr="003D06E3" w:rsidRDefault="00B310BB" w:rsidP="00C213BF">
      <w:pPr>
        <w:jc w:val="both"/>
        <w:rPr>
          <w:rFonts w:ascii="Times New Roman" w:hAnsi="Times New Roman" w:cs="Times New Roman"/>
          <w:sz w:val="24"/>
          <w:szCs w:val="24"/>
        </w:rPr>
      </w:pPr>
    </w:p>
    <w:p w:rsidR="002938E4" w:rsidRPr="003D06E3" w:rsidRDefault="002938E4" w:rsidP="00114FDF">
      <w:pPr>
        <w:spacing w:line="240" w:lineRule="auto"/>
        <w:jc w:val="both"/>
        <w:rPr>
          <w:rFonts w:ascii="Times New Roman" w:hAnsi="Times New Roman" w:cs="Times New Roman"/>
          <w:sz w:val="24"/>
          <w:szCs w:val="24"/>
        </w:rPr>
      </w:pPr>
      <w:r w:rsidRPr="003D06E3">
        <w:rPr>
          <w:rFonts w:ascii="Times New Roman" w:hAnsi="Times New Roman"/>
          <w:sz w:val="24"/>
        </w:rPr>
        <w:t xml:space="preserve">SO ZRETEĽOM NA legislatívnu vyhlášku č. 230 zo 17. marca 1995, v znení zmien, ktorou sa vykonávajú smernice Rady 89/618/Euratom, 90/641/Euratom, 96/29/Euratom, 2006/117/Euratom v oblasti ionizujúceho žiarenia, smernica Rady 2009/71/Euratom z 25. júna 2009, ktorou sa zriaďuje rámec Spoločenstva pre jadrovú bezpečnosť jadrových zariadení a smernica Rady 2011/70/Euratom z 19. júla 2011, ktorou sa zriaďuje rámec Spoločenstva pre zodpovedné a bezpečné nakladanie s vyhoretým palivom a rádioaktívnym odpadom; </w:t>
      </w:r>
    </w:p>
    <w:p w:rsidR="00C22B35" w:rsidRPr="003D06E3" w:rsidRDefault="00B310BB" w:rsidP="00146EE7">
      <w:pPr>
        <w:spacing w:line="240" w:lineRule="auto"/>
        <w:jc w:val="both"/>
        <w:rPr>
          <w:rFonts w:ascii="Times New Roman" w:hAnsi="Times New Roman" w:cs="Times New Roman"/>
          <w:sz w:val="24"/>
          <w:szCs w:val="24"/>
        </w:rPr>
      </w:pPr>
      <w:r w:rsidRPr="003D06E3">
        <w:rPr>
          <w:rFonts w:ascii="Times New Roman" w:hAnsi="Times New Roman"/>
          <w:sz w:val="24"/>
        </w:rPr>
        <w:t>SO ZRETEĽOM NA legislatívnu vyhlášku č. 100 z 1. júna 2011, ktorou sa ustanovujú dodatočné a opravné ustanovenia k legislatívnej vyhláške č. 23 z 20. februára 2009, ktorou sa vykonáva smernica 2006/117/Euratom, predovšetkým článok 1, ktorým sa mení článok 157 vyššie uvedenej legislatívnej vyhlášky zo 17. marca 1995 o monitorovaní a kontrole zásielok rádioaktívneho odpadu a vyhoretého jadrového paliva – rádiometrické monitorovanie materiálov alebo kovových polovýrobkov;</w:t>
      </w:r>
    </w:p>
    <w:p w:rsidR="00B310BB" w:rsidRPr="003D06E3" w:rsidRDefault="00B310BB" w:rsidP="00146EE7">
      <w:pPr>
        <w:tabs>
          <w:tab w:val="left" w:pos="0"/>
        </w:tabs>
        <w:spacing w:line="240" w:lineRule="auto"/>
        <w:jc w:val="both"/>
        <w:rPr>
          <w:rFonts w:ascii="Times New Roman" w:hAnsi="Times New Roman" w:cs="Times New Roman"/>
          <w:sz w:val="24"/>
          <w:szCs w:val="24"/>
        </w:rPr>
      </w:pPr>
      <w:r w:rsidRPr="003D06E3">
        <w:rPr>
          <w:rFonts w:ascii="Times New Roman" w:hAnsi="Times New Roman"/>
          <w:sz w:val="24"/>
        </w:rPr>
        <w:t xml:space="preserve">SO ZRETEĽOM NA legislatívnu vyhlášku č. 230 zo 17. marca 1995, najmä na jej článok 157 ods. 3, v ktorom – na základe vyhlášky ministra hospodárskeho rozvoja, po dohode s ministrami pre európske záležitosti, zdravie, životné prostredie a ochranu prírodných zdrojov a mora, práce a sociálnu politiku, vnútro, hospodárstvo a financie, infraštruktúru a dopravu, po konzultácii s Colným a protimonopolným úradom a talianskym inštitútom pre ochranu a výskum v oblasti životného prostredia (ISPRA), ktorá bude vydaná po oznámeniach Európskej komisii v súlade so smernicou 98/34/ES </w:t>
      </w:r>
      <w:r w:rsidRPr="003D06E3">
        <w:rPr>
          <w:rFonts w:ascii="Times New Roman" w:hAnsi="Times New Roman"/>
          <w:sz w:val="24"/>
          <w:highlight w:val="yellow"/>
        </w:rPr>
        <w:t>(teraz smernica (EÚ) 2015/1535)</w:t>
      </w:r>
      <w:r w:rsidRPr="003D06E3">
        <w:rPr>
          <w:rFonts w:ascii="Times New Roman" w:hAnsi="Times New Roman"/>
          <w:sz w:val="24"/>
        </w:rPr>
        <w:t xml:space="preserve"> a Svetovou obchodnou organizáciou v súlade s Dohodou o technických prekážkach obchodu platnou od 1. januára 1995 – sa uvádzajú </w:t>
      </w:r>
      <w:r w:rsidRPr="003D06E3">
        <w:rPr>
          <w:rFonts w:ascii="Times New Roman" w:hAnsi="Times New Roman"/>
          <w:sz w:val="24"/>
        </w:rPr>
        <w:lastRenderedPageBreak/>
        <w:t>vykonávacie metódy a obsah osvedčení o rádiometrickom monitorovaní a zoznamy kovových polovýrobkov podliehajúcich rádiometrickému monitorovaniu;</w:t>
      </w:r>
    </w:p>
    <w:p w:rsidR="00A756ED" w:rsidRPr="003D06E3" w:rsidRDefault="00A756ED" w:rsidP="00146EE7">
      <w:pPr>
        <w:tabs>
          <w:tab w:val="left" w:pos="0"/>
        </w:tabs>
        <w:spacing w:line="240" w:lineRule="auto"/>
        <w:jc w:val="both"/>
        <w:rPr>
          <w:rFonts w:ascii="Times New Roman" w:hAnsi="Times New Roman" w:cs="Times New Roman"/>
          <w:sz w:val="24"/>
          <w:szCs w:val="24"/>
        </w:rPr>
      </w:pPr>
      <w:r w:rsidRPr="003D06E3">
        <w:rPr>
          <w:rFonts w:ascii="Times New Roman" w:hAnsi="Times New Roman"/>
          <w:sz w:val="24"/>
        </w:rPr>
        <w:t>SO ZRETEĽOM NA zákonnú vyhlášku č. 321 zo 17. júna 1996, najmä na jej článok 10, zmenený na základe zmien zákona č. 421 z 8. augusta 1996 o kúpe a inštalácii systémov monitorovania rádioaktivity;</w:t>
      </w:r>
    </w:p>
    <w:p w:rsidR="00A756ED" w:rsidRPr="003D06E3" w:rsidRDefault="00A756ED" w:rsidP="00146EE7">
      <w:pPr>
        <w:tabs>
          <w:tab w:val="left" w:pos="0"/>
        </w:tabs>
        <w:spacing w:line="240" w:lineRule="auto"/>
        <w:jc w:val="both"/>
        <w:rPr>
          <w:rFonts w:ascii="Times New Roman" w:hAnsi="Times New Roman" w:cs="Times New Roman"/>
          <w:sz w:val="24"/>
          <w:szCs w:val="24"/>
        </w:rPr>
      </w:pPr>
      <w:r w:rsidRPr="003D06E3">
        <w:rPr>
          <w:rFonts w:ascii="Times New Roman" w:hAnsi="Times New Roman"/>
          <w:sz w:val="24"/>
        </w:rPr>
        <w:t>SO ZRETEĽOM NA vyhlášku ministerstva financií z 22. mája 1995 týkajúcu sa identifikácie hraničných priechodov, na ktorých sa majú inštalovať dverové scintilačné systémy na automatické detekovanie rádioaktivity materiálov;</w:t>
      </w:r>
    </w:p>
    <w:p w:rsidR="00F66476" w:rsidRPr="003D06E3" w:rsidRDefault="009E4D53" w:rsidP="000501D0">
      <w:pPr>
        <w:tabs>
          <w:tab w:val="left" w:pos="0"/>
        </w:tabs>
        <w:spacing w:line="240" w:lineRule="auto"/>
        <w:jc w:val="both"/>
        <w:rPr>
          <w:rFonts w:ascii="Times New Roman" w:hAnsi="Times New Roman" w:cs="Times New Roman"/>
          <w:sz w:val="24"/>
          <w:szCs w:val="24"/>
        </w:rPr>
      </w:pPr>
      <w:r w:rsidRPr="003D06E3">
        <w:rPr>
          <w:rFonts w:ascii="Times New Roman" w:hAnsi="Times New Roman"/>
          <w:sz w:val="24"/>
        </w:rPr>
        <w:t>SO ZRETEĽOM NA legislatívnu vyhlášku č. 52 zo 6. februára 2007, ktorou sa vykonáva smernica Rady 2003/122/Euratom z 22. decembra 2003 o kontrole zapečatených zdrojov vysoko rádioaktívneho žiarenia a zdrojov zvyškového žiarenia, najmä na jej článok 15 o zavedení systémov na vyhľadávanie a posudzovanie zdrojov zvyškového žiarenia;</w:t>
      </w:r>
    </w:p>
    <w:p w:rsidR="00BF7796" w:rsidRPr="003D06E3" w:rsidRDefault="009E4D53" w:rsidP="00687712">
      <w:pPr>
        <w:spacing w:line="240" w:lineRule="auto"/>
        <w:jc w:val="both"/>
        <w:rPr>
          <w:rFonts w:ascii="Times New Roman" w:hAnsi="Times New Roman" w:cs="Times New Roman"/>
          <w:sz w:val="24"/>
          <w:szCs w:val="24"/>
        </w:rPr>
      </w:pPr>
      <w:r w:rsidRPr="003D06E3">
        <w:rPr>
          <w:rFonts w:ascii="Times New Roman" w:hAnsi="Times New Roman"/>
          <w:sz w:val="24"/>
        </w:rPr>
        <w:t>SO ZRETEĽOM NA článok 174 ods. 2 Zmluvy o založení Európskeho spoločenstva, ktorý sa týka zásady predbežnej opatrnosti, v ktorej sa uvádza, že v prípade ohrozenia ľudského zdravia a životného prostredia, aj keď len potenciálneho, sa musí zabezpečiť vysoká úroveň ochrany;</w:t>
      </w:r>
    </w:p>
    <w:p w:rsidR="00F044D6" w:rsidRPr="003D06E3" w:rsidRDefault="00F044D6" w:rsidP="00146EE7">
      <w:pPr>
        <w:spacing w:line="240" w:lineRule="auto"/>
        <w:jc w:val="both"/>
        <w:rPr>
          <w:rFonts w:ascii="Times New Roman" w:hAnsi="Times New Roman" w:cs="Times New Roman"/>
          <w:sz w:val="24"/>
          <w:szCs w:val="24"/>
        </w:rPr>
      </w:pPr>
      <w:r w:rsidRPr="003D06E3">
        <w:rPr>
          <w:rFonts w:ascii="Times New Roman" w:hAnsi="Times New Roman"/>
          <w:sz w:val="24"/>
        </w:rPr>
        <w:t>SO ZRETEĽOM NA článok 17 ods. 3 zákona č. 400 z 23. augusta 1988;</w:t>
      </w:r>
    </w:p>
    <w:p w:rsidR="00EC6946" w:rsidRPr="003D06E3" w:rsidRDefault="001E58F8" w:rsidP="00146EE7">
      <w:pPr>
        <w:spacing w:line="240" w:lineRule="auto"/>
        <w:jc w:val="both"/>
        <w:rPr>
          <w:rFonts w:ascii="Times New Roman" w:eastAsia="Times New Roman" w:hAnsi="Times New Roman"/>
          <w:sz w:val="24"/>
          <w:szCs w:val="24"/>
        </w:rPr>
      </w:pPr>
      <w:r w:rsidRPr="003D06E3">
        <w:rPr>
          <w:rFonts w:ascii="Times New Roman" w:hAnsi="Times New Roman"/>
          <w:sz w:val="24"/>
        </w:rPr>
        <w:t>SO ZRETEĽOM NA legislatívnu vyhlášku č. 45 zo 4. marca 2014, najmä na jej článok 6, ktorým sa zriaďuje Národný inšpektorát pre jadrovú bezpečnosť a ochranu pred žiarením (ISIN) ako príslušný regulačný orgán pre jadrovú bezpečnosť a ochranu pred žiarením a prideľuje mu, okrem iného, príslušné povinnosti, a na článok 9, ktorým sa oddeleniu pre technologické a priemyselné riziká a jadrovému oddeleniu ISPRA predbežne prideľuje úloha pokračovať v plnení takýchto povinností až do nadobudnutia účinnosti nariadenia, ktorým sa určuje vnútorná organizácia a fungovanie inšpektorátu;</w:t>
      </w:r>
    </w:p>
    <w:p w:rsidR="00B144CD" w:rsidRPr="003D06E3" w:rsidRDefault="00B144CD" w:rsidP="00146EE7">
      <w:pPr>
        <w:spacing w:line="240" w:lineRule="auto"/>
        <w:jc w:val="both"/>
        <w:rPr>
          <w:rFonts w:ascii="Times New Roman" w:hAnsi="Times New Roman" w:cs="Times New Roman"/>
          <w:sz w:val="24"/>
          <w:szCs w:val="24"/>
        </w:rPr>
      </w:pPr>
      <w:r w:rsidRPr="003D06E3">
        <w:rPr>
          <w:rFonts w:ascii="Times New Roman" w:hAnsi="Times New Roman"/>
          <w:sz w:val="24"/>
        </w:rPr>
        <w:t>KEĎŽE touto vyhláškou sa uzatvára dočasný režim pre povinné rádiometrické monitorovanie kovových polovýrobkov, ako sa uvádza v článku 2 legislatívnej vyhlášky č. 100 z 1. júna 2011, a keďže príslušné ustanovenia sa teda nahrádzajú ustanoveniami v tejto vyhláške k dátumu jej nadobudnutia účinnosti;</w:t>
      </w:r>
    </w:p>
    <w:p w:rsidR="008162CB" w:rsidRPr="003D06E3" w:rsidRDefault="00E50D7C" w:rsidP="00146EE7">
      <w:pPr>
        <w:spacing w:line="240" w:lineRule="auto"/>
        <w:jc w:val="both"/>
        <w:rPr>
          <w:rFonts w:ascii="Times New Roman" w:hAnsi="Times New Roman" w:cs="Times New Roman"/>
          <w:strike/>
          <w:sz w:val="24"/>
          <w:szCs w:val="24"/>
        </w:rPr>
      </w:pPr>
      <w:r w:rsidRPr="003D06E3">
        <w:rPr>
          <w:rFonts w:ascii="Times New Roman" w:hAnsi="Times New Roman"/>
          <w:sz w:val="24"/>
        </w:rPr>
        <w:t xml:space="preserve">KEĎŽE sa dosiahol pokrok v oblasti rádiometrického monitorovania šrotu a iných kovových vedľajších produktov a kovových polovýrobkov na detekciu abnormálnych úrovní rádioaktivity alebo akýchkoľvek nevyužívaných zdrojov žiarenia; </w:t>
      </w:r>
    </w:p>
    <w:p w:rsidR="00231A56" w:rsidRPr="003D06E3" w:rsidRDefault="00E50D7C" w:rsidP="00146EE7">
      <w:pPr>
        <w:spacing w:line="240" w:lineRule="auto"/>
        <w:jc w:val="both"/>
        <w:rPr>
          <w:rFonts w:ascii="Times New Roman" w:hAnsi="Times New Roman" w:cs="Times New Roman"/>
          <w:sz w:val="24"/>
          <w:szCs w:val="24"/>
        </w:rPr>
      </w:pPr>
      <w:r w:rsidRPr="003D06E3">
        <w:rPr>
          <w:rFonts w:ascii="Times New Roman" w:hAnsi="Times New Roman"/>
          <w:sz w:val="24"/>
        </w:rPr>
        <w:t xml:space="preserve">KEĎŽE v súlade s prílohou I legislatívnej vyhlášky č. 100 z 1. júna 2011 je potrebné aktualizovať identifikačné kódy kategórií výrobkov, ktoré sa týkajú zoznamu kovových polovýrobkov v súlade so zmenami na medzinárodnej úrovni; </w:t>
      </w:r>
    </w:p>
    <w:p w:rsidR="004213AA" w:rsidRPr="003D06E3" w:rsidRDefault="00146EE7" w:rsidP="00146EE7">
      <w:pPr>
        <w:spacing w:line="240" w:lineRule="auto"/>
        <w:jc w:val="both"/>
        <w:rPr>
          <w:rFonts w:ascii="Times New Roman" w:hAnsi="Times New Roman" w:cs="Times New Roman"/>
          <w:sz w:val="24"/>
          <w:szCs w:val="24"/>
        </w:rPr>
      </w:pPr>
      <w:r w:rsidRPr="003D06E3">
        <w:rPr>
          <w:rFonts w:ascii="Times New Roman" w:hAnsi="Times New Roman"/>
          <w:sz w:val="24"/>
        </w:rPr>
        <w:t>PO KONZULTÁCII s Colným a protimonopolným úradom;</w:t>
      </w:r>
    </w:p>
    <w:p w:rsidR="00836745" w:rsidRPr="003D06E3" w:rsidRDefault="004F1DE0" w:rsidP="00146EE7">
      <w:pPr>
        <w:spacing w:line="240" w:lineRule="auto"/>
        <w:jc w:val="both"/>
        <w:rPr>
          <w:rFonts w:ascii="Times New Roman" w:hAnsi="Times New Roman" w:cs="Times New Roman"/>
          <w:sz w:val="24"/>
          <w:szCs w:val="24"/>
        </w:rPr>
      </w:pPr>
      <w:r w:rsidRPr="003D06E3">
        <w:rPr>
          <w:rFonts w:ascii="Times New Roman" w:hAnsi="Times New Roman"/>
          <w:sz w:val="24"/>
        </w:rPr>
        <w:t>PO KONZULTÁCII s oddelením pre technologické a priemyselné riziká a jadrovým oddelením talianskeho inštitútu pre ochranu a výskum v oblasti životného prostredia;</w:t>
      </w:r>
    </w:p>
    <w:p w:rsidR="00231A56" w:rsidRPr="003D06E3" w:rsidRDefault="00231A56" w:rsidP="00146EE7">
      <w:pPr>
        <w:spacing w:line="240" w:lineRule="auto"/>
        <w:jc w:val="both"/>
        <w:rPr>
          <w:rFonts w:ascii="Times New Roman" w:hAnsi="Times New Roman" w:cs="Times New Roman"/>
          <w:sz w:val="24"/>
          <w:szCs w:val="24"/>
        </w:rPr>
      </w:pPr>
      <w:r w:rsidRPr="003D06E3">
        <w:rPr>
          <w:rFonts w:ascii="Times New Roman" w:hAnsi="Times New Roman"/>
          <w:sz w:val="24"/>
        </w:rPr>
        <w:t>PO KONZULTÁCII so Stálou konferenciou pre vzťahy medzi štátom, regiónmi a autonómnymi provinciami Trento a Bolzano v súlade s článkom 161 legislatívnej vyhlášky č. 230 zo 17. marca 1995;</w:t>
      </w:r>
    </w:p>
    <w:p w:rsidR="00B310BB" w:rsidRPr="003D06E3" w:rsidRDefault="004213AA" w:rsidP="00146EE7">
      <w:pPr>
        <w:spacing w:line="240" w:lineRule="auto"/>
        <w:jc w:val="both"/>
        <w:rPr>
          <w:rFonts w:ascii="Times New Roman" w:hAnsi="Times New Roman" w:cs="Times New Roman"/>
          <w:sz w:val="24"/>
          <w:szCs w:val="24"/>
        </w:rPr>
      </w:pPr>
      <w:r w:rsidRPr="003D06E3">
        <w:rPr>
          <w:rFonts w:ascii="Times New Roman" w:hAnsi="Times New Roman"/>
          <w:sz w:val="24"/>
        </w:rPr>
        <w:t xml:space="preserve">PO SPLNENÍ postupov oznamovania Európskej komisii v súlade so </w:t>
      </w:r>
      <w:r w:rsidRPr="003D06E3">
        <w:rPr>
          <w:rFonts w:ascii="Times New Roman" w:hAnsi="Times New Roman"/>
          <w:sz w:val="24"/>
          <w:highlight w:val="yellow"/>
        </w:rPr>
        <w:t>smernicou (EÚ) 2015/1535</w:t>
      </w:r>
      <w:r w:rsidRPr="003D06E3">
        <w:rPr>
          <w:rFonts w:ascii="Times New Roman" w:hAnsi="Times New Roman"/>
          <w:sz w:val="24"/>
        </w:rPr>
        <w:t xml:space="preserve"> a Svetovej obchodnej organizácii v súlade s Dohodou o technických prekážkach obchodu platnou od 1. januára 1995; </w:t>
      </w:r>
    </w:p>
    <w:p w:rsidR="00A91928" w:rsidRPr="003D06E3" w:rsidRDefault="009E4D53" w:rsidP="00146EE7">
      <w:pPr>
        <w:spacing w:line="240" w:lineRule="auto"/>
        <w:jc w:val="both"/>
        <w:rPr>
          <w:rFonts w:ascii="Times New Roman" w:hAnsi="Times New Roman" w:cs="Times New Roman"/>
          <w:sz w:val="24"/>
          <w:szCs w:val="24"/>
        </w:rPr>
      </w:pPr>
      <w:r w:rsidRPr="003D06E3">
        <w:rPr>
          <w:rFonts w:ascii="Times New Roman" w:hAnsi="Times New Roman"/>
          <w:sz w:val="24"/>
          <w:highlight w:val="yellow"/>
        </w:rPr>
        <w:lastRenderedPageBreak/>
        <w:t>PO VYPOČUTÍ stanoviska Štátnej rady, vyjadreného počas konzultačného zasadnutia o právnych úkonoch na zasadnutí z……………;</w:t>
      </w:r>
    </w:p>
    <w:p w:rsidR="004213AA" w:rsidRPr="003D06E3" w:rsidRDefault="004213AA" w:rsidP="004213AA">
      <w:pPr>
        <w:jc w:val="center"/>
        <w:rPr>
          <w:rFonts w:ascii="Times New Roman" w:hAnsi="Times New Roman" w:cs="Times New Roman"/>
          <w:b/>
          <w:sz w:val="24"/>
          <w:szCs w:val="24"/>
        </w:rPr>
      </w:pPr>
      <w:r w:rsidRPr="003D06E3">
        <w:rPr>
          <w:rFonts w:ascii="Times New Roman" w:hAnsi="Times New Roman"/>
          <w:b/>
          <w:sz w:val="24"/>
        </w:rPr>
        <w:t>TÝMTO NARIAĎUJE</w:t>
      </w:r>
    </w:p>
    <w:p w:rsidR="002A06FD" w:rsidRPr="003D06E3" w:rsidRDefault="002A06FD" w:rsidP="00160CDF">
      <w:pPr>
        <w:spacing w:after="0" w:line="240" w:lineRule="auto"/>
        <w:jc w:val="center"/>
        <w:rPr>
          <w:rFonts w:ascii="Times New Roman" w:hAnsi="Times New Roman" w:cs="Times New Roman"/>
          <w:sz w:val="24"/>
          <w:szCs w:val="24"/>
        </w:rPr>
      </w:pPr>
      <w:r w:rsidRPr="003D06E3">
        <w:rPr>
          <w:rFonts w:ascii="Times New Roman" w:hAnsi="Times New Roman"/>
          <w:sz w:val="24"/>
        </w:rPr>
        <w:t>Článok 1</w:t>
      </w:r>
    </w:p>
    <w:p w:rsidR="001E58F8" w:rsidRPr="003D06E3" w:rsidRDefault="001E58F8" w:rsidP="001E58F8">
      <w:pPr>
        <w:jc w:val="center"/>
        <w:rPr>
          <w:rFonts w:ascii="Times New Roman" w:hAnsi="Times New Roman"/>
          <w:i/>
          <w:sz w:val="24"/>
          <w:szCs w:val="24"/>
        </w:rPr>
      </w:pPr>
      <w:r w:rsidRPr="003D06E3">
        <w:rPr>
          <w:rFonts w:ascii="Times New Roman" w:hAnsi="Times New Roman"/>
          <w:i/>
          <w:sz w:val="24"/>
        </w:rPr>
        <w:t>Účel a rozsah pôsobnosti</w:t>
      </w:r>
    </w:p>
    <w:p w:rsidR="001E58F8" w:rsidRPr="003D06E3"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3D06E3">
        <w:rPr>
          <w:rFonts w:ascii="Times New Roman" w:hAnsi="Times New Roman"/>
          <w:sz w:val="24"/>
        </w:rPr>
        <w:t>Touto vyhláškou sa stanovujú postupy na uplatňovanie rádiometrického monitorovania v súlade s článkom 157 ods. 1 legislatívnej vyhlášky č. 230 zo 17. marca 1995 subjektmi, ktoré sú zapojené do priemyselného alebo komerčného dovozu, zberu alebo skladovania, alebo do operácií na roztavenie kovového šrotu alebo iných kovových vedľajších produktov, ako aj subjektmi, ktoré sú zapojené do priemyselného alebo komerčného dovozu kovových polovýrobkov, s cieľom zistiť abnormálnu úroveň rádioaktivity alebo možných nevyužívaných zdrojov žiarenia, zabezpečiť ochranu zdravia pracovníkov a populácie pred udalosťami, ktoré môžu viesť k vystaveniu ionizujúcemu žiareniu a zabrániť kontaminácii životného prostredia.</w:t>
      </w:r>
    </w:p>
    <w:p w:rsidR="00224337" w:rsidRPr="003D06E3"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3D06E3">
        <w:rPr>
          <w:rFonts w:ascii="Times New Roman" w:hAnsi="Times New Roman"/>
          <w:sz w:val="24"/>
        </w:rPr>
        <w:t>V tejto vyhláške sa tiež špecifikuje obsah osvedčenia o dokončenom rádiometrickom monitorovaní podľa článku 157 ods. 2 legislatívnej vyhlášky č. 230 zo 17. marca 1995, zoznam kovových polovýrobkov, ktoré podliehajú rádiometrickému monitorovaniu a ktorou sa zrušuje príloha I k legislatívnej vyhláške č. 100 z 1. júna 2011, ako aj vzájomné uznávanie osvedčení o rádiometrických skúškach vykonávaných na mieste pôvodu dovážaných nákladov kovového šrotu alebo iných kovových vedľajších výrobkov a kovových polovýrobkov ako súčasť colných postupov.</w:t>
      </w:r>
    </w:p>
    <w:p w:rsidR="00146EE7" w:rsidRPr="003D06E3" w:rsidRDefault="00146EE7" w:rsidP="00160CDF">
      <w:pPr>
        <w:spacing w:after="0"/>
        <w:ind w:left="360"/>
        <w:jc w:val="both"/>
        <w:rPr>
          <w:rFonts w:ascii="Times New Roman" w:hAnsi="Times New Roman" w:cs="Times New Roman"/>
          <w:i/>
          <w:sz w:val="24"/>
          <w:szCs w:val="24"/>
        </w:rPr>
      </w:pPr>
    </w:p>
    <w:p w:rsidR="006F7602" w:rsidRPr="003D06E3" w:rsidRDefault="002028A7" w:rsidP="00160CDF">
      <w:pPr>
        <w:spacing w:after="0" w:line="240" w:lineRule="auto"/>
        <w:ind w:left="360"/>
        <w:jc w:val="center"/>
        <w:rPr>
          <w:rFonts w:ascii="Times New Roman" w:hAnsi="Times New Roman" w:cs="Times New Roman"/>
          <w:sz w:val="24"/>
          <w:szCs w:val="24"/>
        </w:rPr>
      </w:pPr>
      <w:r w:rsidRPr="003D06E3">
        <w:rPr>
          <w:rFonts w:ascii="Times New Roman" w:hAnsi="Times New Roman"/>
          <w:sz w:val="24"/>
        </w:rPr>
        <w:t>Článok 2</w:t>
      </w:r>
    </w:p>
    <w:p w:rsidR="00231A56" w:rsidRPr="003D06E3" w:rsidRDefault="00EC26E1" w:rsidP="00160CDF">
      <w:pPr>
        <w:spacing w:after="0" w:line="240" w:lineRule="auto"/>
        <w:ind w:left="360"/>
        <w:jc w:val="center"/>
        <w:rPr>
          <w:rFonts w:ascii="Times New Roman" w:hAnsi="Times New Roman" w:cs="Times New Roman"/>
          <w:i/>
          <w:sz w:val="24"/>
          <w:szCs w:val="24"/>
        </w:rPr>
      </w:pPr>
      <w:r w:rsidRPr="003D06E3">
        <w:rPr>
          <w:rFonts w:ascii="Times New Roman" w:hAnsi="Times New Roman"/>
          <w:i/>
          <w:sz w:val="24"/>
        </w:rPr>
        <w:t>Kritériá rádiometrického monitorovania</w:t>
      </w:r>
    </w:p>
    <w:p w:rsidR="00EC26E1" w:rsidRPr="003D06E3" w:rsidRDefault="00EC26E1" w:rsidP="00160CDF">
      <w:pPr>
        <w:spacing w:after="0" w:line="240" w:lineRule="auto"/>
        <w:ind w:left="360"/>
        <w:jc w:val="center"/>
        <w:rPr>
          <w:rFonts w:ascii="Times New Roman" w:hAnsi="Times New Roman" w:cs="Times New Roman"/>
          <w:sz w:val="24"/>
          <w:szCs w:val="24"/>
        </w:rPr>
      </w:pPr>
    </w:p>
    <w:p w:rsidR="003B3C39" w:rsidRPr="003D06E3" w:rsidRDefault="00D24F86" w:rsidP="00D24F86">
      <w:pPr>
        <w:pStyle w:val="Footer"/>
        <w:numPr>
          <w:ilvl w:val="0"/>
          <w:numId w:val="11"/>
        </w:numPr>
        <w:jc w:val="both"/>
        <w:rPr>
          <w:rFonts w:ascii="Times New Roman" w:hAnsi="Times New Roman" w:cs="Times New Roman"/>
          <w:sz w:val="24"/>
        </w:rPr>
      </w:pPr>
      <w:r w:rsidRPr="003D06E3">
        <w:rPr>
          <w:rFonts w:ascii="Times New Roman" w:hAnsi="Times New Roman"/>
          <w:sz w:val="24"/>
        </w:rPr>
        <w:t xml:space="preserve">Rádiometrické monitorovanie nákladov kovového šrotu alebo iných kovových vedľajších produktov a kovových polovýrobkov sa vykonáva monitorovaním absorbovanej dávky vo vzduchu zistiteľnej mimo nákladu s cieľom zistiť prítomnosť zdrojov zvyškového žiarenia alebo abnormálne úrovne rádioaktivity, ktoré sú určené podľa platných pravidiel osvedčených postupov alebo technických usmernení vydaných v súlade s článkom 153 legislatívnej vyhlášky č. 230 zo 17. marca 1995, ak sú k dispozícii, ako aj na účely plnenia povinností podľa článku 157 ods. 4 uvedenej legislatívnej vyhlášky. „Náklad“ je kontajner, vozidlo alebo železničný vagón, alebo akýkoľvek iný kontajner používaný pre vyššie uvedené kovové šroty, kovové výrobky alebo kovové polovýrobky. </w:t>
      </w:r>
    </w:p>
    <w:p w:rsidR="00D24F86" w:rsidRPr="003D06E3" w:rsidRDefault="00707A33" w:rsidP="00D24F86">
      <w:pPr>
        <w:pStyle w:val="Footer"/>
        <w:numPr>
          <w:ilvl w:val="0"/>
          <w:numId w:val="11"/>
        </w:numPr>
        <w:jc w:val="both"/>
        <w:rPr>
          <w:rFonts w:ascii="Times New Roman" w:hAnsi="Times New Roman" w:cs="Times New Roman"/>
          <w:sz w:val="24"/>
        </w:rPr>
      </w:pPr>
      <w:r w:rsidRPr="003D06E3">
        <w:rPr>
          <w:rFonts w:ascii="Times New Roman" w:hAnsi="Times New Roman"/>
          <w:sz w:val="24"/>
        </w:rPr>
        <w:t>Rádiometrické monitorovanie sa vykonáva aj počas vykládky alebo manipulácie monitorovaním absorbovanej dávky vo vzduchu zistiteľnej mimo kovového šrotu alebo iných kovových vedľajších produktov a kovových polovýrobkov.</w:t>
      </w:r>
    </w:p>
    <w:p w:rsidR="00707A33" w:rsidRPr="003D06E3" w:rsidRDefault="00707A33" w:rsidP="00D24F86">
      <w:pPr>
        <w:pStyle w:val="Footer"/>
        <w:numPr>
          <w:ilvl w:val="0"/>
          <w:numId w:val="11"/>
        </w:numPr>
        <w:jc w:val="both"/>
        <w:rPr>
          <w:rFonts w:ascii="Times New Roman" w:hAnsi="Times New Roman" w:cs="Times New Roman"/>
          <w:sz w:val="24"/>
        </w:rPr>
      </w:pPr>
      <w:r w:rsidRPr="003D06E3">
        <w:rPr>
          <w:rFonts w:ascii="Times New Roman" w:hAnsi="Times New Roman"/>
          <w:sz w:val="24"/>
        </w:rPr>
        <w:t>Ak sa objavia rádioaktívne zdroje alebo ak rádiometrické merania naznačujú abnormálne úrovne rádioaktivity, vnútorné steny kontajnerov používaných na prepravu sa musia testovať na povrchovú kontamináciu.</w:t>
      </w:r>
    </w:p>
    <w:p w:rsidR="00EC26E1" w:rsidRPr="003D06E3" w:rsidRDefault="00D138EC" w:rsidP="00D24F86">
      <w:pPr>
        <w:pStyle w:val="Footer"/>
        <w:numPr>
          <w:ilvl w:val="0"/>
          <w:numId w:val="11"/>
        </w:numPr>
        <w:jc w:val="both"/>
        <w:rPr>
          <w:rFonts w:ascii="Times New Roman" w:hAnsi="Times New Roman" w:cs="Times New Roman"/>
          <w:sz w:val="24"/>
        </w:rPr>
      </w:pPr>
      <w:r w:rsidRPr="003D06E3">
        <w:rPr>
          <w:rFonts w:ascii="Times New Roman" w:hAnsi="Times New Roman"/>
          <w:sz w:val="24"/>
        </w:rPr>
        <w:t>V rámci plánovanej kontroly kvality na odlievaných vzorkách alebo v prípade podozrenia na roztavenie zdrojov rádioaktívneho žiarenia alebo kontaminovaného materiálu sa koncentrácie aktivity na jednotku hmotnosti musia merať na výrobku a na taviacej troske, ako aj na prachu pochádzajúceho zo systému na odstraňovanie dymu v zariadení.</w:t>
      </w:r>
    </w:p>
    <w:p w:rsidR="00D24F86" w:rsidRPr="003D06E3" w:rsidRDefault="00F32D90" w:rsidP="00D24F86">
      <w:pPr>
        <w:pStyle w:val="Footer"/>
        <w:numPr>
          <w:ilvl w:val="0"/>
          <w:numId w:val="11"/>
        </w:numPr>
        <w:jc w:val="both"/>
        <w:rPr>
          <w:rFonts w:ascii="Times New Roman" w:hAnsi="Times New Roman" w:cs="Times New Roman"/>
          <w:sz w:val="24"/>
        </w:rPr>
      </w:pPr>
      <w:r w:rsidRPr="003D06E3">
        <w:rPr>
          <w:rFonts w:ascii="Times New Roman" w:hAnsi="Times New Roman"/>
          <w:sz w:val="24"/>
        </w:rPr>
        <w:t>V prípade šrotu a iných kovových vedľajších produktov prepravovaných hromadne po mori sa radiometrické monitorovanie vykonáva postupne na vytvorených nákladoch.</w:t>
      </w:r>
    </w:p>
    <w:p w:rsidR="00EC26E1" w:rsidRPr="003D06E3" w:rsidRDefault="00EC26E1" w:rsidP="00160CDF">
      <w:pPr>
        <w:spacing w:after="0" w:line="240" w:lineRule="auto"/>
        <w:ind w:left="360"/>
        <w:jc w:val="center"/>
        <w:rPr>
          <w:rFonts w:ascii="Times New Roman" w:hAnsi="Times New Roman" w:cs="Times New Roman"/>
          <w:sz w:val="24"/>
          <w:szCs w:val="24"/>
        </w:rPr>
      </w:pPr>
    </w:p>
    <w:p w:rsidR="00F32D90" w:rsidRPr="003D06E3" w:rsidRDefault="00F32D90" w:rsidP="00223553">
      <w:pPr>
        <w:keepNext/>
        <w:spacing w:after="0" w:line="240" w:lineRule="auto"/>
        <w:ind w:left="357"/>
        <w:jc w:val="center"/>
        <w:rPr>
          <w:rFonts w:ascii="Times New Roman" w:hAnsi="Times New Roman" w:cs="Times New Roman"/>
          <w:sz w:val="24"/>
          <w:szCs w:val="24"/>
        </w:rPr>
      </w:pPr>
      <w:r w:rsidRPr="003D06E3">
        <w:rPr>
          <w:rFonts w:ascii="Times New Roman" w:hAnsi="Times New Roman"/>
          <w:sz w:val="24"/>
        </w:rPr>
        <w:lastRenderedPageBreak/>
        <w:t>Článok 3</w:t>
      </w:r>
    </w:p>
    <w:p w:rsidR="002028A7" w:rsidRPr="003D06E3" w:rsidRDefault="002028A7" w:rsidP="00223553">
      <w:pPr>
        <w:keepNext/>
        <w:spacing w:after="0" w:line="240" w:lineRule="auto"/>
        <w:ind w:left="357"/>
        <w:jc w:val="center"/>
        <w:rPr>
          <w:rFonts w:ascii="Times New Roman" w:hAnsi="Times New Roman" w:cs="Times New Roman"/>
          <w:i/>
          <w:sz w:val="24"/>
          <w:szCs w:val="24"/>
        </w:rPr>
      </w:pPr>
      <w:r w:rsidRPr="003D06E3">
        <w:rPr>
          <w:rFonts w:ascii="Times New Roman" w:hAnsi="Times New Roman"/>
          <w:i/>
          <w:sz w:val="24"/>
        </w:rPr>
        <w:t>Vykonávacie metódy rádiometrického monitorovania</w:t>
      </w:r>
    </w:p>
    <w:p w:rsidR="003B3C39" w:rsidRPr="003D06E3" w:rsidRDefault="003B3C39" w:rsidP="00223553">
      <w:pPr>
        <w:keepNext/>
        <w:spacing w:after="0" w:line="240" w:lineRule="auto"/>
        <w:ind w:left="357"/>
        <w:jc w:val="center"/>
        <w:rPr>
          <w:rFonts w:ascii="Times New Roman" w:hAnsi="Times New Roman" w:cs="Times New Roman"/>
          <w:i/>
          <w:sz w:val="24"/>
          <w:szCs w:val="24"/>
        </w:rPr>
      </w:pPr>
    </w:p>
    <w:p w:rsidR="00586CE6" w:rsidRPr="003D06E3" w:rsidRDefault="00E976DA">
      <w:pPr>
        <w:pStyle w:val="ListParagraph"/>
        <w:numPr>
          <w:ilvl w:val="0"/>
          <w:numId w:val="5"/>
        </w:numPr>
        <w:spacing w:after="0" w:line="240" w:lineRule="auto"/>
        <w:jc w:val="both"/>
        <w:rPr>
          <w:rFonts w:ascii="Times New Roman" w:hAnsi="Times New Roman" w:cs="Times New Roman"/>
          <w:sz w:val="24"/>
          <w:szCs w:val="24"/>
        </w:rPr>
      </w:pPr>
      <w:r w:rsidRPr="003D06E3">
        <w:rPr>
          <w:rFonts w:ascii="Times New Roman" w:hAnsi="Times New Roman"/>
          <w:sz w:val="24"/>
        </w:rPr>
        <w:t xml:space="preserve">Subjekty uvedené v článku 157 ods. 1 legislatívnej vyhlášky č. 230 zo 17. marca 1995, ktoré sú zapojené do priemyselného alebo komerčného zberu alebo skladovania kovového šrotu alebo iných kovových vedľajších produktov, sú povinné vykonať rádiometrické monitorovanie pri vstupe do zariadenia testovaním absorbovanej dávky vo vzduchu zistiteľnej mimo každého nákladu. </w:t>
      </w:r>
    </w:p>
    <w:p w:rsidR="00760AF9" w:rsidRPr="003D06E3" w:rsidRDefault="00D27263">
      <w:pPr>
        <w:pStyle w:val="ListParagraph"/>
        <w:numPr>
          <w:ilvl w:val="0"/>
          <w:numId w:val="5"/>
        </w:numPr>
        <w:spacing w:after="0" w:line="240" w:lineRule="auto"/>
        <w:jc w:val="both"/>
        <w:rPr>
          <w:rFonts w:ascii="Times New Roman" w:hAnsi="Times New Roman" w:cs="Times New Roman"/>
          <w:sz w:val="24"/>
          <w:szCs w:val="24"/>
        </w:rPr>
      </w:pPr>
      <w:r w:rsidRPr="003D06E3">
        <w:rPr>
          <w:rFonts w:ascii="Times New Roman" w:hAnsi="Times New Roman"/>
          <w:sz w:val="24"/>
        </w:rPr>
        <w:t>Okrem ustanovenia uvedeného v bode 1 vyššie musia subjekty v ňom uvedené počas vykládky a manipulácie s takýmito materiálmi pri zohľadnení najbežnejších vlastností zdrojov rádioaktívneho žiarenia a ich kontajnerov vykonávať aj počiatočnú vizuálnu prehliadku materiálu s cieľom zistiť prítomnosť akéhokoľvek podozrivého materiálu a zmerať absorbovanú dávku vo vzduchu zistiteľnú mimo vyloženého materiálu.</w:t>
      </w:r>
    </w:p>
    <w:p w:rsidR="00BF09C2" w:rsidRPr="003D06E3" w:rsidRDefault="00BF09C2">
      <w:pPr>
        <w:pStyle w:val="ListParagraph"/>
        <w:numPr>
          <w:ilvl w:val="0"/>
          <w:numId w:val="5"/>
        </w:numPr>
        <w:spacing w:after="0" w:line="240" w:lineRule="auto"/>
        <w:jc w:val="both"/>
        <w:rPr>
          <w:rFonts w:ascii="Times New Roman" w:hAnsi="Times New Roman" w:cs="Times New Roman"/>
          <w:sz w:val="24"/>
          <w:szCs w:val="24"/>
        </w:rPr>
      </w:pPr>
      <w:r w:rsidRPr="003D06E3">
        <w:rPr>
          <w:rFonts w:ascii="Times New Roman" w:hAnsi="Times New Roman"/>
          <w:sz w:val="24"/>
        </w:rPr>
        <w:t>V prípade subjektov, ktoré vykonávajú priemyselné alebo komerčné činnosti zahŕňajúce roztavenie šrotu alebo iných kovových vedľajších produktov ako súčasť plánovanej kontroly kvality na odlievaných vzorkách a v prípade podozrenia na roztavenie zdrojov rádioaktívneho žiarenia alebo kontaminovaného materiálu sa koncentrácia aktivity na jednotku hmotnosti musí merať pomocou kvalitatívnych a výstupných vzoriek získaných z každého nákladu taviacej pece. Tie isté subjekty musia vykonávať aj rádiometrické testy na reprezentatívnych vzorkách odpadu a prachu pochádzajúceho zo systému na odstraňovanie dymu v zariadení. Na to, aby boli vzorky reprezentatívne, sa frekvencia skúšok a počet korelovaných vzoriek musia určiť prostredníctvom osobitného interného postupu vypracovaného na základe charakteristík zariadenia a činností vykonávaných v rámci tohto zariadenia. Orgány dohľadu môžu požadovať odlišnú frekvenciu.</w:t>
      </w:r>
    </w:p>
    <w:p w:rsidR="00D27263" w:rsidRPr="003D06E3" w:rsidRDefault="00D138EC">
      <w:pPr>
        <w:pStyle w:val="ListParagraph"/>
        <w:numPr>
          <w:ilvl w:val="0"/>
          <w:numId w:val="5"/>
        </w:numPr>
        <w:spacing w:after="0" w:line="240" w:lineRule="auto"/>
        <w:jc w:val="both"/>
        <w:rPr>
          <w:rFonts w:ascii="Times New Roman" w:hAnsi="Times New Roman" w:cs="Times New Roman"/>
          <w:sz w:val="24"/>
          <w:szCs w:val="24"/>
        </w:rPr>
      </w:pPr>
      <w:r w:rsidRPr="003D06E3">
        <w:rPr>
          <w:rFonts w:ascii="Times New Roman" w:hAnsi="Times New Roman"/>
          <w:sz w:val="24"/>
        </w:rPr>
        <w:t>Skúšky uvedené v bodoch 1 a 3 vyššie sa musia dokončiť skôr, ako sa materiály alebo výrobky prepravia mimo zariadenia.</w:t>
      </w:r>
    </w:p>
    <w:p w:rsidR="00D27263" w:rsidRPr="003D06E3" w:rsidRDefault="00D27263">
      <w:pPr>
        <w:pStyle w:val="ListParagraph"/>
        <w:numPr>
          <w:ilvl w:val="0"/>
          <w:numId w:val="5"/>
        </w:numPr>
        <w:spacing w:after="0" w:line="240" w:lineRule="auto"/>
        <w:jc w:val="both"/>
        <w:rPr>
          <w:rFonts w:ascii="Times New Roman" w:hAnsi="Times New Roman" w:cs="Times New Roman"/>
          <w:sz w:val="24"/>
          <w:szCs w:val="24"/>
        </w:rPr>
      </w:pPr>
      <w:r w:rsidRPr="003D06E3">
        <w:rPr>
          <w:rFonts w:ascii="Times New Roman" w:hAnsi="Times New Roman"/>
          <w:sz w:val="24"/>
        </w:rPr>
        <w:t>Subjekty, ktoré sú zapojené do priemyselného alebo komerčného dovozu kovového šrotu alebo iných kovových vedľajších produktov a kovových polovýrobkov, sú bez toho, aby boli dotknuté ustanovenia článku 7 tejto vyhlášky, povinné vykonať rádiometrické monitorovanie pri vstupe do zariadenia a pri vykladaní kovového šrotu a výrobkov, pričom testujú absorbovanú dávku vo vzduchu zistiteľnú mimo každého nákladu, ako aj vyložený materiál.</w:t>
      </w:r>
    </w:p>
    <w:p w:rsidR="00BF09C2" w:rsidRPr="003D06E3"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3D06E3" w:rsidRDefault="008E72DD" w:rsidP="008E72DD">
      <w:pPr>
        <w:spacing w:after="0" w:line="240" w:lineRule="auto"/>
        <w:ind w:left="360"/>
        <w:jc w:val="center"/>
        <w:rPr>
          <w:rFonts w:ascii="Times New Roman" w:hAnsi="Times New Roman" w:cs="Times New Roman"/>
          <w:sz w:val="24"/>
          <w:szCs w:val="24"/>
        </w:rPr>
      </w:pPr>
      <w:r w:rsidRPr="003D06E3">
        <w:rPr>
          <w:rFonts w:ascii="Times New Roman" w:hAnsi="Times New Roman"/>
          <w:sz w:val="24"/>
        </w:rPr>
        <w:t>Článok 4</w:t>
      </w:r>
    </w:p>
    <w:p w:rsidR="008E72DD" w:rsidRPr="003D06E3" w:rsidRDefault="008E72DD" w:rsidP="008E72DD">
      <w:pPr>
        <w:spacing w:after="0" w:line="240" w:lineRule="auto"/>
        <w:ind w:left="360"/>
        <w:jc w:val="center"/>
        <w:rPr>
          <w:rFonts w:ascii="Times New Roman" w:hAnsi="Times New Roman" w:cs="Times New Roman"/>
          <w:i/>
          <w:sz w:val="24"/>
          <w:szCs w:val="24"/>
        </w:rPr>
      </w:pPr>
      <w:r w:rsidRPr="003D06E3">
        <w:rPr>
          <w:rFonts w:ascii="Times New Roman" w:hAnsi="Times New Roman"/>
          <w:i/>
          <w:sz w:val="24"/>
        </w:rPr>
        <w:t>Osvedčenie o rádiometrickom monitorovaní</w:t>
      </w:r>
    </w:p>
    <w:p w:rsidR="00502D9D" w:rsidRPr="003D06E3" w:rsidRDefault="00502D9D" w:rsidP="008E72DD">
      <w:pPr>
        <w:spacing w:after="0" w:line="240" w:lineRule="auto"/>
        <w:jc w:val="both"/>
        <w:rPr>
          <w:rFonts w:ascii="Times New Roman" w:hAnsi="Times New Roman" w:cs="Times New Roman"/>
          <w:sz w:val="24"/>
          <w:szCs w:val="24"/>
        </w:rPr>
      </w:pPr>
    </w:p>
    <w:p w:rsidR="00BD4BEC" w:rsidRPr="003D06E3"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3D06E3">
        <w:rPr>
          <w:rFonts w:ascii="Times New Roman" w:hAnsi="Times New Roman"/>
          <w:sz w:val="24"/>
        </w:rPr>
        <w:t>Osvedčenie o dokončenom rádiometrickom monitorovaní, ktoré vydali kvalifikovaní odborníci v súlade s článkom 157 ods. 2 legislatívnej vyhlášky č. 230 zo 17. marca 1995, musí obsahovať aspoň tieto informácie:</w:t>
      </w:r>
    </w:p>
    <w:p w:rsidR="00C0795E" w:rsidRPr="003D06E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údaje o náklade;</w:t>
      </w:r>
    </w:p>
    <w:p w:rsidR="00085F28" w:rsidRPr="003D06E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typ kovového materiálu;</w:t>
      </w:r>
    </w:p>
    <w:p w:rsidR="00C0795E" w:rsidRPr="003D06E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pôvod;</w:t>
      </w:r>
    </w:p>
    <w:p w:rsidR="00C0795E" w:rsidRPr="003D06E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dátum rádiometrického monitorovania;</w:t>
      </w:r>
    </w:p>
    <w:p w:rsidR="00085F28" w:rsidRPr="003D06E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miestna environmentálna východisková hodnota odobratá pred rádiometrickým monitorovaním;</w:t>
      </w:r>
    </w:p>
    <w:p w:rsidR="00C0795E" w:rsidRPr="003D06E3"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typ vykonaných rádiometrických meraní a použité nástroje;</w:t>
      </w:r>
    </w:p>
    <w:p w:rsidR="00085F28" w:rsidRPr="003D06E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konečná funkčná kontrola vykonávaná na použitom meracom systéme;</w:t>
      </w:r>
    </w:p>
    <w:p w:rsidR="00085F28" w:rsidRPr="003D06E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meno zamestnanca zodpovedného za vykonávanie rádiometrických meraní;</w:t>
      </w:r>
    </w:p>
    <w:p w:rsidR="00C0795E" w:rsidRPr="003D06E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výsledky vykonaných meraní;</w:t>
      </w:r>
    </w:p>
    <w:p w:rsidR="00C0795E" w:rsidRPr="003D06E3"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3D06E3">
        <w:rPr>
          <w:rFonts w:ascii="Times New Roman" w:hAnsi="Times New Roman"/>
          <w:sz w:val="24"/>
        </w:rPr>
        <w:t>závery o prijatí/odmietnutí nákladu/materiálov.</w:t>
      </w:r>
    </w:p>
    <w:p w:rsidR="00577A7D" w:rsidRPr="003D06E3" w:rsidRDefault="00577A7D" w:rsidP="00577A7D">
      <w:pPr>
        <w:spacing w:after="0" w:line="240" w:lineRule="auto"/>
        <w:ind w:left="709"/>
        <w:jc w:val="both"/>
        <w:rPr>
          <w:rFonts w:ascii="Times New Roman" w:hAnsi="Times New Roman" w:cs="Times New Roman"/>
          <w:sz w:val="24"/>
          <w:szCs w:val="24"/>
        </w:rPr>
      </w:pPr>
      <w:r w:rsidRPr="003D06E3">
        <w:rPr>
          <w:rFonts w:ascii="Times New Roman" w:hAnsi="Times New Roman"/>
          <w:sz w:val="24"/>
        </w:rPr>
        <w:lastRenderedPageBreak/>
        <w:t>V prípadoch, keď zariadenie vykonáva taviace operácie zahŕňajúce kovový šrot alebo iné kovové vedľajšie produkty, musí osvedčenie obsahovať aj príslušné informácie týkajúce sa rádiometrického monitorovania a výsledky z meraní koncentrácie aktivity na jednotku hmotnosti vykonávaných na výrobku a na taviacej troske, ako aj na prachu, ktorý pochádza zo systému na odstraňovanie dymov v zariadení.</w:t>
      </w:r>
    </w:p>
    <w:p w:rsidR="00C0795E" w:rsidRPr="003D06E3"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3D06E3">
        <w:rPr>
          <w:rFonts w:ascii="Times New Roman" w:hAnsi="Times New Roman"/>
          <w:sz w:val="24"/>
        </w:rPr>
        <w:t>Osvedčenie uvedené v bode 1 sa musí zapísať do registra, ktorý vytvoril vymenovaný kvalifikovaný odborník, v mene subjektu uvedeného v článku 157 ods. 1 legislatívnej vyhlášky č. 230 zo 17. marca 1995; uvedený register musí byť sprístupnený orgánom dohľadu a musí sa uchovávať po dobu najmenej päť rokov na pracovisku alebo, ak je to potrebné na lepšie zabezpečenie ochrany, v ústredí subjektu uvedeného v článku 157 ods. 1 vyššie uvedenej legislatívnej vyhlášky.</w:t>
      </w:r>
    </w:p>
    <w:p w:rsidR="00C0795E" w:rsidRPr="003D06E3" w:rsidRDefault="00C0795E" w:rsidP="00502D9D">
      <w:pPr>
        <w:spacing w:after="0" w:line="240" w:lineRule="auto"/>
        <w:jc w:val="both"/>
        <w:rPr>
          <w:rFonts w:ascii="Times New Roman" w:hAnsi="Times New Roman" w:cs="Times New Roman"/>
          <w:sz w:val="24"/>
          <w:szCs w:val="24"/>
        </w:rPr>
      </w:pPr>
    </w:p>
    <w:p w:rsidR="00C0795E" w:rsidRPr="003D06E3" w:rsidRDefault="00C0795E" w:rsidP="00C0795E">
      <w:pPr>
        <w:spacing w:after="0" w:line="240" w:lineRule="auto"/>
        <w:ind w:left="360"/>
        <w:jc w:val="center"/>
        <w:rPr>
          <w:rFonts w:ascii="Times New Roman" w:hAnsi="Times New Roman" w:cs="Times New Roman"/>
          <w:sz w:val="24"/>
          <w:szCs w:val="24"/>
        </w:rPr>
      </w:pPr>
      <w:r w:rsidRPr="003D06E3">
        <w:rPr>
          <w:rFonts w:ascii="Times New Roman" w:hAnsi="Times New Roman"/>
          <w:sz w:val="24"/>
        </w:rPr>
        <w:t>Článok 5</w:t>
      </w:r>
    </w:p>
    <w:p w:rsidR="00C0795E" w:rsidRPr="003D06E3" w:rsidRDefault="00C0795E" w:rsidP="00C0795E">
      <w:pPr>
        <w:spacing w:after="0" w:line="240" w:lineRule="auto"/>
        <w:ind w:left="360"/>
        <w:jc w:val="center"/>
        <w:rPr>
          <w:rFonts w:ascii="Times New Roman" w:hAnsi="Times New Roman" w:cs="Times New Roman"/>
          <w:i/>
          <w:sz w:val="24"/>
          <w:szCs w:val="24"/>
        </w:rPr>
      </w:pPr>
      <w:r w:rsidRPr="003D06E3">
        <w:rPr>
          <w:rFonts w:ascii="Times New Roman" w:hAnsi="Times New Roman"/>
          <w:i/>
          <w:sz w:val="24"/>
        </w:rPr>
        <w:t>Pracovníci zodpovední za vykonávanie rádiometrického monitorovania</w:t>
      </w:r>
    </w:p>
    <w:p w:rsidR="00C0795E" w:rsidRPr="003D06E3" w:rsidRDefault="00C0795E" w:rsidP="00502D9D">
      <w:pPr>
        <w:spacing w:after="0" w:line="240" w:lineRule="auto"/>
        <w:jc w:val="both"/>
        <w:rPr>
          <w:rFonts w:ascii="Times New Roman" w:hAnsi="Times New Roman" w:cs="Times New Roman"/>
          <w:sz w:val="24"/>
          <w:szCs w:val="24"/>
        </w:rPr>
      </w:pPr>
    </w:p>
    <w:p w:rsidR="006D4BF0" w:rsidRPr="003D06E3"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3D06E3">
        <w:rPr>
          <w:rFonts w:ascii="Times New Roman" w:hAnsi="Times New Roman"/>
          <w:sz w:val="24"/>
        </w:rPr>
        <w:t>Rádiometrické merania môžu vykonávať zamestnanci bez kvalifikovaného odborného postavenia za predpokladu, že osoba:</w:t>
      </w:r>
    </w:p>
    <w:p w:rsidR="006D4BF0" w:rsidRPr="003D06E3"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3D06E3">
        <w:rPr>
          <w:rFonts w:ascii="Times New Roman" w:hAnsi="Times New Roman"/>
          <w:sz w:val="24"/>
        </w:rPr>
        <w:t>je priamo zamestnaná subjektom uvedeným v článku 157 ods. 1 legislatívnej vyhlášky č. 230 zo 17. marca 1995;</w:t>
      </w:r>
    </w:p>
    <w:p w:rsidR="00C87594" w:rsidRPr="003D06E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D06E3">
        <w:rPr>
          <w:rFonts w:ascii="Times New Roman" w:hAnsi="Times New Roman"/>
          <w:sz w:val="24"/>
        </w:rPr>
        <w:t>bola vybraná zamestnávateľom v zariadení po dohode s vymenovaným kvalifikovaným odborníkom;</w:t>
      </w:r>
    </w:p>
    <w:p w:rsidR="00C87594" w:rsidRPr="003D06E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D06E3">
        <w:rPr>
          <w:rFonts w:ascii="Times New Roman" w:hAnsi="Times New Roman"/>
          <w:sz w:val="24"/>
        </w:rPr>
        <w:t>v minulosti dokončila príslušný program informačnej a odbornej prípravy;</w:t>
      </w:r>
    </w:p>
    <w:p w:rsidR="00C87594" w:rsidRPr="003D06E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D06E3">
        <w:rPr>
          <w:rFonts w:ascii="Times New Roman" w:hAnsi="Times New Roman"/>
          <w:sz w:val="24"/>
        </w:rPr>
        <w:t>pracuje pod vedením, riadením a zodpovednosťou kvalifikovaného odborníka;</w:t>
      </w:r>
    </w:p>
    <w:p w:rsidR="00C87594" w:rsidRPr="003D06E3"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3D06E3">
        <w:rPr>
          <w:rFonts w:ascii="Times New Roman" w:hAnsi="Times New Roman"/>
          <w:sz w:val="24"/>
        </w:rPr>
        <w:t>dodržiava postupy, ktoré označil kvalifikovaný odborník, a v prípade podozrenia na prítomnosť zdrojov zvyškového žiarenia alebo kontaminovaného materiálu vnútorné predpisy, ktoré vypracoval zamestnávateľ po dohode s kvalifikovaným odborníkom.</w:t>
      </w:r>
    </w:p>
    <w:p w:rsidR="00C0795E" w:rsidRPr="003D06E3"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3D06E3">
        <w:rPr>
          <w:rFonts w:ascii="Times New Roman" w:hAnsi="Times New Roman"/>
          <w:sz w:val="24"/>
        </w:rPr>
        <w:t>Kvalifikovaný odborník, ktorého vymenoval subjekt uvedený v článku 157 ods. 1 legislatívnej vyhlášky č. 230 zo 17. marca 1995, musí tomuto subjektu poskytnúť údaje o ochrane pred rádioaktívnym žiarením potrebné na vypracovanie postupov na vykonávanie rádiometrických meraní a pre bezpečnostné a ochranné opatrenia, ktoré sa majú prijať v prípade zistenia zdrojov zvyškového žiarenia alebo kontaminovaných kovových materiálov, ako aj na účely splnenia povinností podľa článku 157 ods. 4 uvedenej legislatívnej vyhlášky.</w:t>
      </w:r>
    </w:p>
    <w:p w:rsidR="00C0795E" w:rsidRPr="003D06E3" w:rsidRDefault="00C0795E" w:rsidP="00502D9D">
      <w:pPr>
        <w:spacing w:after="0" w:line="240" w:lineRule="auto"/>
        <w:jc w:val="both"/>
        <w:rPr>
          <w:rFonts w:ascii="Times New Roman" w:hAnsi="Times New Roman" w:cs="Times New Roman"/>
          <w:sz w:val="24"/>
          <w:szCs w:val="24"/>
        </w:rPr>
      </w:pPr>
    </w:p>
    <w:p w:rsidR="008E72DD" w:rsidRPr="003D06E3" w:rsidRDefault="00C0795E" w:rsidP="008E72DD">
      <w:pPr>
        <w:spacing w:after="0" w:line="240" w:lineRule="auto"/>
        <w:ind w:left="360"/>
        <w:jc w:val="center"/>
        <w:rPr>
          <w:rFonts w:ascii="Times New Roman" w:hAnsi="Times New Roman" w:cs="Times New Roman"/>
          <w:sz w:val="24"/>
          <w:szCs w:val="24"/>
        </w:rPr>
      </w:pPr>
      <w:r w:rsidRPr="003D06E3">
        <w:rPr>
          <w:rFonts w:ascii="Times New Roman" w:hAnsi="Times New Roman"/>
          <w:sz w:val="24"/>
        </w:rPr>
        <w:t>Článok 6</w:t>
      </w:r>
    </w:p>
    <w:p w:rsidR="008E72DD" w:rsidRPr="003D06E3" w:rsidRDefault="008E72DD" w:rsidP="006270DA">
      <w:pPr>
        <w:spacing w:after="0" w:line="240" w:lineRule="auto"/>
        <w:ind w:left="426"/>
        <w:jc w:val="center"/>
        <w:rPr>
          <w:rFonts w:ascii="Times New Roman" w:hAnsi="Times New Roman" w:cs="Times New Roman"/>
          <w:sz w:val="24"/>
          <w:szCs w:val="24"/>
        </w:rPr>
      </w:pPr>
      <w:r w:rsidRPr="003D06E3">
        <w:rPr>
          <w:rFonts w:ascii="Times New Roman" w:hAnsi="Times New Roman"/>
          <w:i/>
          <w:sz w:val="24"/>
        </w:rPr>
        <w:t>Odborná príprava zamestnancov</w:t>
      </w:r>
    </w:p>
    <w:p w:rsidR="008E72DD" w:rsidRPr="003D06E3" w:rsidRDefault="008E72DD" w:rsidP="00502D9D">
      <w:pPr>
        <w:spacing w:after="0" w:line="240" w:lineRule="auto"/>
        <w:jc w:val="both"/>
        <w:rPr>
          <w:rFonts w:ascii="Times New Roman" w:hAnsi="Times New Roman" w:cs="Times New Roman"/>
          <w:sz w:val="24"/>
          <w:szCs w:val="24"/>
        </w:rPr>
      </w:pPr>
    </w:p>
    <w:p w:rsidR="003D7DE6" w:rsidRPr="003D06E3"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3D06E3">
        <w:rPr>
          <w:rFonts w:ascii="Times New Roman" w:hAnsi="Times New Roman"/>
          <w:sz w:val="24"/>
        </w:rPr>
        <w:t>Subjekty uvedené v článku 157 ods. 1 legislatívnej vyhlášky č. 230 zo 17. marca 1995 musia odborne pripraviť svojich zamestnancov, aby rozpoznali najbežnejšie typy zdrojov rádioaktívneho žiarenia, ako aj ich kontajnery a vybavenie, a poskytnúť značky a označenia označujúce prítomnosť rádioaktivity.</w:t>
      </w:r>
    </w:p>
    <w:p w:rsidR="00742F89" w:rsidRPr="003D06E3"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3D06E3">
        <w:rPr>
          <w:rFonts w:ascii="Times New Roman" w:hAnsi="Times New Roman"/>
          <w:sz w:val="24"/>
        </w:rPr>
        <w:t>Subjekty uvedené v bode 1 musia poskytnúť aj osobitne zdokumentovanú odbornú prípravu zamestnancom zodpovedným za vykonávanie rádiometrického monitorovania tak, aby boli schopní riadne vykonávať svoje povinnosti vrátane vizuálnych kontrol. Informovaní a vyškolení o bezpečnostných a ochranných postupoch, ktoré sa majú prijať v prípade zistenia zdrojov zvyškového žiarenia alebo kontaminovaného kovového materiálu, musia byť najmä všetci zamestnanci zodpovední za vykladanie, presun a manipuláciu s kovovým šrotom alebo inými kovovými vedľajšími produktmi a kovovými polovýrobkami.</w:t>
      </w:r>
    </w:p>
    <w:p w:rsidR="00F66476" w:rsidRPr="003D06E3" w:rsidRDefault="00F66476">
      <w:pPr>
        <w:spacing w:after="0" w:line="240" w:lineRule="auto"/>
        <w:jc w:val="both"/>
        <w:rPr>
          <w:rFonts w:ascii="Times New Roman" w:hAnsi="Times New Roman" w:cs="Times New Roman"/>
          <w:sz w:val="24"/>
          <w:szCs w:val="24"/>
        </w:rPr>
      </w:pPr>
    </w:p>
    <w:p w:rsidR="00F66476" w:rsidRPr="003D06E3" w:rsidRDefault="009E4D53" w:rsidP="00223553">
      <w:pPr>
        <w:keepNext/>
        <w:spacing w:after="0" w:line="240" w:lineRule="auto"/>
        <w:jc w:val="center"/>
        <w:rPr>
          <w:rFonts w:ascii="Times New Roman" w:hAnsi="Times New Roman" w:cs="Times New Roman"/>
          <w:sz w:val="24"/>
          <w:szCs w:val="24"/>
        </w:rPr>
      </w:pPr>
      <w:r w:rsidRPr="003D06E3">
        <w:rPr>
          <w:rFonts w:ascii="Times New Roman" w:hAnsi="Times New Roman"/>
          <w:sz w:val="24"/>
        </w:rPr>
        <w:lastRenderedPageBreak/>
        <w:t>Článok 7</w:t>
      </w:r>
    </w:p>
    <w:p w:rsidR="00F66476" w:rsidRPr="003D06E3" w:rsidRDefault="00A505F5" w:rsidP="00223553">
      <w:pPr>
        <w:keepNext/>
        <w:spacing w:after="0" w:line="240" w:lineRule="auto"/>
        <w:jc w:val="center"/>
        <w:rPr>
          <w:rFonts w:ascii="Times New Roman" w:hAnsi="Times New Roman" w:cs="Times New Roman"/>
          <w:i/>
          <w:sz w:val="24"/>
          <w:szCs w:val="24"/>
        </w:rPr>
      </w:pPr>
      <w:r w:rsidRPr="003D06E3">
        <w:rPr>
          <w:rFonts w:ascii="Times New Roman" w:hAnsi="Times New Roman"/>
          <w:i/>
          <w:sz w:val="24"/>
        </w:rPr>
        <w:t>Vzájomné uznávanie osvedčení z rádiometrických skúšok vykonaných na kovovom šrote alebo iných kovových vedľajších produktoch a kovových polovýrobkoch pochádzajúcich z tretích krajín</w:t>
      </w:r>
    </w:p>
    <w:p w:rsidR="000D519B" w:rsidRPr="003D06E3" w:rsidRDefault="000D519B" w:rsidP="00223553">
      <w:pPr>
        <w:keepNext/>
        <w:spacing w:after="0" w:line="240" w:lineRule="auto"/>
        <w:jc w:val="center"/>
        <w:rPr>
          <w:rFonts w:ascii="Times New Roman" w:hAnsi="Times New Roman" w:cs="Times New Roman"/>
          <w:sz w:val="24"/>
          <w:szCs w:val="24"/>
        </w:rPr>
      </w:pPr>
    </w:p>
    <w:p w:rsidR="000D519B" w:rsidRPr="003D06E3"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3D06E3">
        <w:rPr>
          <w:rFonts w:ascii="Times New Roman" w:hAnsi="Times New Roman"/>
          <w:sz w:val="24"/>
        </w:rPr>
        <w:t>Na účely splnenia colných postupov možno v prípade kovového šrotu alebo iných kovových vedľajších produktov a v prípade kovových polovýrobkov pochádzajúcich z tretích krajín, pre ktoré existujú rovnocenné úrovne ochrany uznané na základe používania osvedčení, ktoré sú v súlade s formulárom uvedeným v prílohe I k tejto vyhláške, namiesto certifikácie na základe rádiometrických skúšok vykonávaných na colnici prijať vyhlásenie vydané v mieste pôvodu subjektmi, ktoré boli predtým autorizované na základe ustanovení vymedzených príslušným orgánom v krajine pôvodu takýchto materiálov, a to na základe reciprocity.</w:t>
      </w:r>
    </w:p>
    <w:p w:rsidR="000D519B" w:rsidRPr="003D06E3"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3D06E3">
        <w:rPr>
          <w:rFonts w:ascii="Times New Roman" w:hAnsi="Times New Roman"/>
          <w:sz w:val="24"/>
        </w:rPr>
        <w:t>Zoznam krajín, pre ktoré platí dohoda o vzájomnom uznávaní, vydáva a pravidelne aktualizuje ministerstvo hospodárskeho rozvoja.</w:t>
      </w:r>
    </w:p>
    <w:p w:rsidR="002028A7" w:rsidRPr="003D06E3" w:rsidRDefault="002028A7" w:rsidP="00160CDF">
      <w:pPr>
        <w:spacing w:after="0" w:line="240" w:lineRule="auto"/>
        <w:ind w:left="360"/>
        <w:jc w:val="center"/>
        <w:rPr>
          <w:rFonts w:ascii="Times New Roman" w:hAnsi="Times New Roman" w:cs="Times New Roman"/>
          <w:sz w:val="24"/>
          <w:szCs w:val="24"/>
        </w:rPr>
      </w:pPr>
      <w:r w:rsidRPr="003D06E3">
        <w:rPr>
          <w:rFonts w:ascii="Times New Roman" w:hAnsi="Times New Roman"/>
          <w:sz w:val="24"/>
        </w:rPr>
        <w:t>Článok 8</w:t>
      </w:r>
    </w:p>
    <w:p w:rsidR="00B310BB" w:rsidRPr="003D06E3" w:rsidRDefault="003D7DE6" w:rsidP="00160CDF">
      <w:pPr>
        <w:spacing w:after="0" w:line="240" w:lineRule="auto"/>
        <w:jc w:val="center"/>
        <w:rPr>
          <w:rFonts w:ascii="Times New Roman" w:hAnsi="Times New Roman" w:cs="Times New Roman"/>
          <w:i/>
          <w:sz w:val="24"/>
          <w:szCs w:val="24"/>
        </w:rPr>
      </w:pPr>
      <w:r w:rsidRPr="003D06E3">
        <w:rPr>
          <w:rFonts w:ascii="Times New Roman" w:hAnsi="Times New Roman"/>
          <w:i/>
          <w:sz w:val="24"/>
        </w:rPr>
        <w:t>Kovové polovýrobky podliehajúce rádiometrickému monitorovaniu</w:t>
      </w:r>
    </w:p>
    <w:p w:rsidR="003D7DE6" w:rsidRPr="003D06E3" w:rsidRDefault="003D7DE6" w:rsidP="00160CDF">
      <w:pPr>
        <w:spacing w:after="0" w:line="240" w:lineRule="auto"/>
        <w:jc w:val="center"/>
        <w:rPr>
          <w:rFonts w:ascii="Times New Roman" w:hAnsi="Times New Roman" w:cs="Times New Roman"/>
          <w:i/>
          <w:sz w:val="24"/>
          <w:szCs w:val="24"/>
        </w:rPr>
      </w:pPr>
    </w:p>
    <w:p w:rsidR="003D7DE6" w:rsidRPr="003D06E3" w:rsidRDefault="003D7DE6" w:rsidP="001C7D7C">
      <w:pPr>
        <w:spacing w:line="240" w:lineRule="auto"/>
        <w:ind w:left="709" w:hanging="357"/>
        <w:jc w:val="both"/>
        <w:rPr>
          <w:rFonts w:ascii="Times New Roman" w:hAnsi="Times New Roman" w:cs="Times New Roman"/>
          <w:sz w:val="24"/>
          <w:szCs w:val="24"/>
        </w:rPr>
      </w:pPr>
      <w:r w:rsidRPr="003D06E3">
        <w:rPr>
          <w:rFonts w:ascii="Times New Roman" w:hAnsi="Times New Roman"/>
          <w:sz w:val="24"/>
        </w:rPr>
        <w:t>1.</w:t>
      </w:r>
      <w:r w:rsidRPr="003D06E3">
        <w:tab/>
      </w:r>
      <w:r w:rsidRPr="003D06E3">
        <w:rPr>
          <w:rFonts w:ascii="Times New Roman" w:hAnsi="Times New Roman"/>
          <w:sz w:val="24"/>
        </w:rPr>
        <w:t>Zoznam kovových polovýrobkov, ktoré podliehajú rádiometrickému monitorovaniu, je uvedený v prílohe II k tejto vyhláške.</w:t>
      </w:r>
    </w:p>
    <w:p w:rsidR="00C75963" w:rsidRPr="003D06E3" w:rsidRDefault="00C75963" w:rsidP="001C7D7C">
      <w:pPr>
        <w:spacing w:line="240" w:lineRule="auto"/>
        <w:ind w:left="709" w:hanging="357"/>
        <w:jc w:val="both"/>
        <w:rPr>
          <w:rFonts w:ascii="Times New Roman" w:hAnsi="Times New Roman" w:cs="Times New Roman"/>
          <w:sz w:val="24"/>
          <w:szCs w:val="24"/>
        </w:rPr>
      </w:pPr>
      <w:r w:rsidRPr="003D06E3">
        <w:rPr>
          <w:rFonts w:ascii="Times New Roman" w:hAnsi="Times New Roman"/>
          <w:sz w:val="24"/>
        </w:rPr>
        <w:t>2.</w:t>
      </w:r>
      <w:r w:rsidRPr="003D06E3">
        <w:tab/>
      </w:r>
      <w:r w:rsidRPr="003D06E3">
        <w:rPr>
          <w:rFonts w:ascii="Times New Roman" w:hAnsi="Times New Roman"/>
          <w:sz w:val="24"/>
        </w:rPr>
        <w:t>Aktualizácia prílohy II k tejto vyhláške bola vykonaná na základe zmien vykonaných v kombinovanej nomenklatúre, ako sa stanovuje v nariadeniach EÚ o takýchto výrobkoch, vyhláškou ministerstva hospodárskeho rozvoja na návrh talianskeho colného a protimonopolného úradu.</w:t>
      </w:r>
    </w:p>
    <w:p w:rsidR="00F66476" w:rsidRPr="003D06E3" w:rsidRDefault="009E4D53">
      <w:pPr>
        <w:spacing w:after="0" w:line="240" w:lineRule="auto"/>
        <w:jc w:val="center"/>
        <w:rPr>
          <w:rFonts w:ascii="Times New Roman" w:hAnsi="Times New Roman" w:cs="Times New Roman"/>
          <w:sz w:val="24"/>
          <w:szCs w:val="24"/>
        </w:rPr>
      </w:pPr>
      <w:r w:rsidRPr="003D06E3">
        <w:rPr>
          <w:rFonts w:ascii="Times New Roman" w:hAnsi="Times New Roman"/>
          <w:sz w:val="24"/>
        </w:rPr>
        <w:t>Článok 9</w:t>
      </w:r>
    </w:p>
    <w:p w:rsidR="00C01A69" w:rsidRPr="003D06E3" w:rsidRDefault="00ED32D2" w:rsidP="00C01A69">
      <w:pPr>
        <w:spacing w:after="0" w:line="240" w:lineRule="auto"/>
        <w:jc w:val="center"/>
        <w:rPr>
          <w:rFonts w:ascii="Times New Roman" w:hAnsi="Times New Roman" w:cs="Times New Roman"/>
          <w:i/>
          <w:sz w:val="24"/>
          <w:szCs w:val="24"/>
        </w:rPr>
      </w:pPr>
      <w:r w:rsidRPr="003D06E3">
        <w:rPr>
          <w:rFonts w:ascii="Times New Roman" w:hAnsi="Times New Roman"/>
          <w:i/>
          <w:sz w:val="24"/>
        </w:rPr>
        <w:t xml:space="preserve">Žiadne zmeny v poplatkoch </w:t>
      </w:r>
    </w:p>
    <w:p w:rsidR="00D00006" w:rsidRPr="003D06E3" w:rsidRDefault="00D00006">
      <w:pPr>
        <w:spacing w:after="0" w:line="240" w:lineRule="auto"/>
        <w:jc w:val="center"/>
        <w:rPr>
          <w:rFonts w:ascii="Times New Roman" w:hAnsi="Times New Roman" w:cs="Times New Roman"/>
          <w:i/>
          <w:sz w:val="24"/>
          <w:szCs w:val="24"/>
        </w:rPr>
      </w:pPr>
    </w:p>
    <w:p w:rsidR="00DD1C06" w:rsidRPr="003D06E3" w:rsidRDefault="009E4D53" w:rsidP="00175273">
      <w:pPr>
        <w:spacing w:line="240" w:lineRule="auto"/>
        <w:ind w:left="709" w:hanging="357"/>
        <w:jc w:val="both"/>
        <w:rPr>
          <w:rFonts w:ascii="Times New Roman" w:hAnsi="Times New Roman" w:cs="Times New Roman"/>
          <w:sz w:val="24"/>
          <w:szCs w:val="24"/>
        </w:rPr>
      </w:pPr>
      <w:r w:rsidRPr="003D06E3">
        <w:rPr>
          <w:rFonts w:ascii="Times New Roman" w:hAnsi="Times New Roman"/>
          <w:sz w:val="24"/>
        </w:rPr>
        <w:t xml:space="preserve">1. </w:t>
      </w:r>
      <w:r w:rsidRPr="003D06E3">
        <w:tab/>
      </w:r>
      <w:r w:rsidRPr="003D06E3">
        <w:rPr>
          <w:rFonts w:ascii="Times New Roman" w:hAnsi="Times New Roman"/>
          <w:sz w:val="24"/>
        </w:rPr>
        <w:t xml:space="preserve">Vykonávanie ustanovení tejto vyhlášky nespôsobuje pre verejné financie žiadne nové ani zvýšené zaťaženie. </w:t>
      </w:r>
    </w:p>
    <w:p w:rsidR="00D00006" w:rsidRPr="003D06E3" w:rsidRDefault="00ED32D2" w:rsidP="00175273">
      <w:pPr>
        <w:spacing w:line="240" w:lineRule="auto"/>
        <w:ind w:left="709" w:hanging="357"/>
        <w:jc w:val="both"/>
        <w:rPr>
          <w:rFonts w:ascii="Times New Roman" w:hAnsi="Times New Roman" w:cs="Times New Roman"/>
          <w:sz w:val="24"/>
          <w:szCs w:val="24"/>
        </w:rPr>
      </w:pPr>
      <w:r w:rsidRPr="003D06E3">
        <w:rPr>
          <w:rFonts w:ascii="Times New Roman" w:hAnsi="Times New Roman"/>
          <w:sz w:val="24"/>
        </w:rPr>
        <w:t xml:space="preserve">2. </w:t>
      </w:r>
      <w:r w:rsidRPr="003D06E3">
        <w:tab/>
      </w:r>
      <w:r w:rsidRPr="003D06E3">
        <w:rPr>
          <w:rFonts w:ascii="Times New Roman" w:hAnsi="Times New Roman"/>
          <w:sz w:val="24"/>
        </w:rPr>
        <w:t xml:space="preserve">Zapojené verejné subjekty si musia splniť svoje povinnosti v súlade s touto vyhláškou s využitím ľudských, nástrojových a finančných prostriedkov sprístupnených platnými právnymi predpismi. </w:t>
      </w:r>
    </w:p>
    <w:p w:rsidR="00F66476" w:rsidRPr="003D06E3" w:rsidRDefault="00ED32D2">
      <w:pPr>
        <w:spacing w:after="0" w:line="240" w:lineRule="auto"/>
        <w:jc w:val="center"/>
        <w:rPr>
          <w:rFonts w:ascii="Times New Roman" w:hAnsi="Times New Roman" w:cs="Times New Roman"/>
          <w:sz w:val="24"/>
          <w:szCs w:val="24"/>
        </w:rPr>
      </w:pPr>
      <w:r w:rsidRPr="003D06E3">
        <w:rPr>
          <w:rFonts w:ascii="Times New Roman" w:hAnsi="Times New Roman"/>
          <w:sz w:val="24"/>
        </w:rPr>
        <w:t>Článok 10</w:t>
      </w:r>
    </w:p>
    <w:p w:rsidR="00F66476" w:rsidRPr="003D06E3" w:rsidRDefault="00ED32D2">
      <w:pPr>
        <w:spacing w:after="0" w:line="240" w:lineRule="auto"/>
        <w:jc w:val="center"/>
        <w:rPr>
          <w:rFonts w:ascii="Times New Roman" w:hAnsi="Times New Roman" w:cs="Times New Roman"/>
          <w:i/>
          <w:sz w:val="24"/>
          <w:szCs w:val="24"/>
        </w:rPr>
      </w:pPr>
      <w:r w:rsidRPr="003D06E3">
        <w:rPr>
          <w:rFonts w:ascii="Times New Roman" w:hAnsi="Times New Roman"/>
          <w:i/>
          <w:sz w:val="24"/>
        </w:rPr>
        <w:t>Nadobudnutie účinnosti</w:t>
      </w:r>
    </w:p>
    <w:p w:rsidR="008311D0" w:rsidRPr="003D06E3" w:rsidRDefault="008311D0">
      <w:pPr>
        <w:spacing w:after="0" w:line="240" w:lineRule="auto"/>
        <w:jc w:val="center"/>
        <w:rPr>
          <w:rFonts w:ascii="Times New Roman" w:hAnsi="Times New Roman" w:cs="Times New Roman"/>
          <w:i/>
          <w:sz w:val="24"/>
          <w:szCs w:val="24"/>
        </w:rPr>
      </w:pPr>
    </w:p>
    <w:p w:rsidR="00915B27" w:rsidRPr="003D06E3" w:rsidRDefault="009E4D53" w:rsidP="00CF773E">
      <w:pPr>
        <w:spacing w:line="240" w:lineRule="auto"/>
        <w:ind w:left="708" w:hanging="356"/>
        <w:jc w:val="both"/>
        <w:rPr>
          <w:rFonts w:ascii="Times New Roman" w:hAnsi="Times New Roman" w:cs="Times New Roman"/>
          <w:sz w:val="24"/>
          <w:szCs w:val="24"/>
        </w:rPr>
      </w:pPr>
      <w:r w:rsidRPr="003D06E3">
        <w:rPr>
          <w:rFonts w:ascii="Times New Roman" w:hAnsi="Times New Roman"/>
          <w:sz w:val="24"/>
        </w:rPr>
        <w:t xml:space="preserve">1. </w:t>
      </w:r>
      <w:r w:rsidRPr="003D06E3">
        <w:tab/>
      </w:r>
      <w:r w:rsidRPr="003D06E3">
        <w:rPr>
          <w:rFonts w:ascii="Times New Roman" w:hAnsi="Times New Roman"/>
          <w:sz w:val="24"/>
        </w:rPr>
        <w:t>Táto vyhláška nadobúda účinnosť 90 dní po jej uverejnení v Úradnom vestníku Talianskej republiky.</w:t>
      </w:r>
    </w:p>
    <w:p w:rsidR="00F265F4" w:rsidRPr="003D06E3" w:rsidRDefault="00F265F4" w:rsidP="00CF773E">
      <w:pPr>
        <w:spacing w:line="240" w:lineRule="auto"/>
        <w:ind w:left="708" w:hanging="356"/>
        <w:jc w:val="both"/>
        <w:rPr>
          <w:rFonts w:ascii="Times New Roman" w:hAnsi="Times New Roman" w:cs="Times New Roman"/>
          <w:sz w:val="24"/>
          <w:szCs w:val="24"/>
        </w:rPr>
        <w:sectPr w:rsidR="00F265F4" w:rsidRPr="003D06E3" w:rsidSect="003A3BF5">
          <w:footerReference w:type="default" r:id="rId9"/>
          <w:pgSz w:w="11906" w:h="16838"/>
          <w:pgMar w:top="1417" w:right="1134" w:bottom="1134" w:left="1134" w:header="708" w:footer="708" w:gutter="0"/>
          <w:cols w:space="708"/>
          <w:docGrid w:linePitch="360"/>
        </w:sectPr>
      </w:pPr>
    </w:p>
    <w:p w:rsidR="00F265F4" w:rsidRPr="003D06E3" w:rsidRDefault="00F265F4" w:rsidP="00F265F4">
      <w:pPr>
        <w:pStyle w:val="Style1"/>
        <w:widowControl/>
        <w:jc w:val="center"/>
        <w:rPr>
          <w:rStyle w:val="FontStyle18"/>
          <w:rFonts w:ascii="Arial" w:hAnsi="Arial" w:cs="Arial"/>
          <w:b/>
          <w:sz w:val="18"/>
          <w:szCs w:val="18"/>
        </w:rPr>
      </w:pPr>
      <w:r w:rsidRPr="003D06E3">
        <w:rPr>
          <w:rStyle w:val="FontStyle18"/>
          <w:rFonts w:ascii="Arial" w:hAnsi="Arial"/>
          <w:b/>
          <w:sz w:val="18"/>
        </w:rPr>
        <w:lastRenderedPageBreak/>
        <w:t>Formulár IRME90 – SPRIEVODNÝ DOKUMENT NA DOVOZ</w:t>
      </w:r>
    </w:p>
    <w:p w:rsidR="00F265F4" w:rsidRPr="003D06E3" w:rsidRDefault="00F265F4" w:rsidP="00F265F4">
      <w:pPr>
        <w:pStyle w:val="Style1"/>
        <w:widowControl/>
        <w:jc w:val="center"/>
        <w:rPr>
          <w:rStyle w:val="FontStyle18"/>
          <w:rFonts w:ascii="Arial" w:hAnsi="Arial" w:cs="Arial"/>
          <w:b/>
          <w:sz w:val="18"/>
          <w:szCs w:val="18"/>
        </w:rPr>
      </w:pPr>
      <w:r w:rsidRPr="003D06E3">
        <w:rPr>
          <w:rStyle w:val="FontStyle18"/>
          <w:rFonts w:ascii="Arial" w:hAnsi="Arial"/>
          <w:b/>
          <w:sz w:val="18"/>
        </w:rPr>
        <w:t>KOVOVÉHO ŠROTU ALEBO</w:t>
      </w:r>
      <w:r w:rsidRPr="003D06E3">
        <w:rPr>
          <w:rStyle w:val="FontStyle18"/>
          <w:rFonts w:ascii="Arial" w:hAnsi="Arial"/>
          <w:sz w:val="18"/>
        </w:rPr>
        <w:t xml:space="preserve"> </w:t>
      </w:r>
      <w:r w:rsidRPr="003D06E3">
        <w:rPr>
          <w:rStyle w:val="FontStyle18"/>
          <w:rFonts w:ascii="Arial" w:hAnsi="Arial"/>
          <w:b/>
          <w:sz w:val="18"/>
        </w:rPr>
        <w:t>INÝCH KOVOVÝCH VEDĽAJŠÍCH PRODUKTOV</w:t>
      </w:r>
      <w:r w:rsidRPr="003D06E3">
        <w:rPr>
          <w:rStyle w:val="FontStyle18"/>
          <w:rFonts w:ascii="Arial" w:hAnsi="Arial"/>
          <w:sz w:val="18"/>
        </w:rPr>
        <w:t xml:space="preserve"> A </w:t>
      </w:r>
      <w:r w:rsidRPr="003D06E3">
        <w:rPr>
          <w:rStyle w:val="FontStyle18"/>
          <w:rFonts w:ascii="Arial" w:hAnsi="Arial"/>
          <w:b/>
          <w:sz w:val="18"/>
        </w:rPr>
        <w:t>KOVOVÝCH POLOVÝROBKOV DO TALIANSKA</w:t>
      </w:r>
    </w:p>
    <w:p w:rsidR="00F265F4" w:rsidRPr="003D06E3" w:rsidRDefault="002561FF" w:rsidP="00F265F4">
      <w:pPr>
        <w:pStyle w:val="Style1"/>
        <w:widowControl/>
        <w:jc w:val="center"/>
        <w:rPr>
          <w:rStyle w:val="FontStyle18"/>
          <w:rFonts w:ascii="Arial" w:hAnsi="Arial" w:cs="Arial"/>
        </w:rPr>
      </w:pPr>
      <w:r>
        <w:rPr>
          <w:rFonts w:ascii="Book Antiqua" w:hAnsi="Book Antiqua" w:cs="Book Antiqua"/>
          <w:b/>
          <w:bCs/>
          <w:color w:val="000000"/>
          <w:sz w:val="16"/>
          <w:szCs w:val="16"/>
        </w:rPr>
        <w:pict>
          <v:group id="_x0000_s1029" style="position:absolute;left:0;text-align:left;margin-left:-6.05pt;margin-top:6.4pt;width:540pt;height:750.75pt;z-index:-251657216" coordorigin="730,1109" coordsize="10800,15015">
            <v:group id="_x0000_s1030" style="position:absolute;left:730;top:1109;width:10800;height:15015" coordorigin="730,1109" coordsize="10800,15015">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296" strokeweight="1pt">
                <v:fill opacity="0"/>
              </v:rect>
            </v:group>
            <v:rect id="_x0000_s1035" style="position:absolute;left:730;top:11363;width:10800;height:3355" strokeweight="1pt">
              <v:fill opacity="0"/>
            </v:rect>
          </v:group>
        </w:pict>
      </w:r>
    </w:p>
    <w:p w:rsidR="00F265F4" w:rsidRPr="003D06E3" w:rsidRDefault="00F265F4" w:rsidP="00F265F4">
      <w:pPr>
        <w:pStyle w:val="Style8"/>
        <w:widowControl/>
        <w:spacing w:line="360" w:lineRule="auto"/>
        <w:rPr>
          <w:rStyle w:val="FontStyle21"/>
        </w:rPr>
      </w:pPr>
      <w:r w:rsidRPr="003D06E3">
        <w:rPr>
          <w:rStyle w:val="FontStyle21"/>
        </w:rPr>
        <w:t>Oddiel 1</w:t>
      </w:r>
    </w:p>
    <w:p w:rsidR="00F265F4" w:rsidRPr="003D06E3" w:rsidRDefault="00F265F4" w:rsidP="00F265F4">
      <w:pPr>
        <w:pStyle w:val="Style8"/>
        <w:widowControl/>
        <w:rPr>
          <w:rStyle w:val="FontStyle21"/>
        </w:rPr>
      </w:pPr>
      <w:r w:rsidRPr="003D06E3">
        <w:rPr>
          <w:rStyle w:val="FontStyle21"/>
        </w:rPr>
        <w:t>Odosielateľ (meno, adresa, krajina) / Expéditeur (Nom, Adresse, Pays) / Absender (Name, Anschrift, Land):</w:t>
      </w:r>
    </w:p>
    <w:p w:rsidR="00F265F4" w:rsidRPr="003D06E3" w:rsidRDefault="00F265F4" w:rsidP="00F265F4">
      <w:pPr>
        <w:pStyle w:val="Style8"/>
        <w:widowControl/>
        <w:rPr>
          <w:rStyle w:val="FontStyle21"/>
        </w:rPr>
      </w:pPr>
    </w:p>
    <w:p w:rsidR="00F265F4" w:rsidRPr="003D06E3" w:rsidRDefault="00F265F4" w:rsidP="00F265F4">
      <w:pPr>
        <w:pStyle w:val="Style8"/>
        <w:widowControl/>
        <w:rPr>
          <w:rStyle w:val="FontStyle21"/>
        </w:rPr>
      </w:pPr>
      <w:r w:rsidRPr="003D06E3">
        <w:rPr>
          <w:rStyle w:val="FontStyle21"/>
        </w:rPr>
        <w:t>....................................................................................................................................................................................................</w:t>
      </w:r>
    </w:p>
    <w:p w:rsidR="00F265F4" w:rsidRPr="003D06E3" w:rsidRDefault="00F265F4" w:rsidP="00F265F4">
      <w:pPr>
        <w:pStyle w:val="Style8"/>
        <w:widowControl/>
        <w:rPr>
          <w:rStyle w:val="FontStyle21"/>
        </w:rPr>
      </w:pPr>
    </w:p>
    <w:p w:rsidR="00F265F4" w:rsidRPr="003D06E3" w:rsidRDefault="00F265F4" w:rsidP="00F265F4">
      <w:pPr>
        <w:pStyle w:val="Style8"/>
        <w:widowControl/>
        <w:rPr>
          <w:rStyle w:val="FontStyle21"/>
        </w:rPr>
      </w:pPr>
      <w:r w:rsidRPr="003D06E3">
        <w:rPr>
          <w:rStyle w:val="FontStyle21"/>
        </w:rPr>
        <w:t xml:space="preserve">Tel.: ..................................................................... </w:t>
      </w:r>
      <w:r w:rsidRPr="003D06E3">
        <w:tab/>
      </w:r>
      <w:r w:rsidRPr="003D06E3">
        <w:rPr>
          <w:rStyle w:val="FontStyle21"/>
        </w:rPr>
        <w:t>Fax: ...........................................................................</w:t>
      </w:r>
    </w:p>
    <w:p w:rsidR="00F265F4" w:rsidRPr="003D06E3" w:rsidRDefault="00F265F4" w:rsidP="00F265F4">
      <w:pPr>
        <w:pStyle w:val="Style8"/>
        <w:widowControl/>
        <w:rPr>
          <w:rStyle w:val="FontStyle21"/>
          <w:sz w:val="8"/>
        </w:rPr>
      </w:pPr>
    </w:p>
    <w:p w:rsidR="00F265F4" w:rsidRPr="003D06E3" w:rsidRDefault="00F265F4" w:rsidP="00F265F4">
      <w:pPr>
        <w:pStyle w:val="Style8"/>
        <w:widowControl/>
        <w:rPr>
          <w:rStyle w:val="FontStyle21"/>
        </w:rPr>
      </w:pPr>
      <w:r w:rsidRPr="003D06E3">
        <w:rPr>
          <w:rStyle w:val="FontStyle21"/>
        </w:rPr>
        <w:t>Príjemca (meno, adresa, krajina) / Destinataire (Nom, Adresse, Pays) / Empfänger (Name, Anschrift, Land):</w:t>
      </w:r>
    </w:p>
    <w:p w:rsidR="00F265F4" w:rsidRPr="003D06E3" w:rsidRDefault="00F265F4" w:rsidP="00F265F4">
      <w:pPr>
        <w:pStyle w:val="Style8"/>
        <w:widowControl/>
        <w:rPr>
          <w:rStyle w:val="FontStyle21"/>
        </w:rPr>
      </w:pPr>
    </w:p>
    <w:p w:rsidR="00F265F4" w:rsidRPr="003D06E3" w:rsidRDefault="00F265F4" w:rsidP="00F265F4">
      <w:pPr>
        <w:pStyle w:val="Style8"/>
        <w:widowControl/>
        <w:rPr>
          <w:rStyle w:val="FontStyle21"/>
        </w:rPr>
      </w:pPr>
      <w:r w:rsidRPr="003D06E3">
        <w:rPr>
          <w:rStyle w:val="FontStyle21"/>
        </w:rPr>
        <w:t>....................................................................................................................................................................................................</w:t>
      </w:r>
    </w:p>
    <w:p w:rsidR="00F265F4" w:rsidRPr="003D06E3" w:rsidRDefault="00F265F4" w:rsidP="00F265F4">
      <w:pPr>
        <w:pStyle w:val="Style8"/>
        <w:widowControl/>
        <w:rPr>
          <w:rStyle w:val="FontStyle21"/>
        </w:rPr>
      </w:pPr>
    </w:p>
    <w:p w:rsidR="00F265F4" w:rsidRPr="003D06E3" w:rsidRDefault="00F265F4" w:rsidP="00F265F4">
      <w:pPr>
        <w:pStyle w:val="Style8"/>
        <w:widowControl/>
        <w:rPr>
          <w:rStyle w:val="FontStyle21"/>
        </w:rPr>
      </w:pPr>
      <w:r w:rsidRPr="003D06E3">
        <w:rPr>
          <w:rStyle w:val="FontStyle21"/>
        </w:rPr>
        <w:t xml:space="preserve">Tel.: ..................................................................... </w:t>
      </w:r>
      <w:r w:rsidRPr="003D06E3">
        <w:tab/>
      </w:r>
      <w:r w:rsidRPr="003D06E3">
        <w:rPr>
          <w:rStyle w:val="FontStyle21"/>
        </w:rPr>
        <w:t xml:space="preserve">Fax: ........................................................................... </w:t>
      </w:r>
    </w:p>
    <w:p w:rsidR="00F265F4" w:rsidRPr="003D06E3" w:rsidRDefault="00F265F4" w:rsidP="00F265F4">
      <w:pPr>
        <w:pStyle w:val="Style8"/>
        <w:widowControl/>
        <w:rPr>
          <w:rStyle w:val="FontStyle21"/>
          <w:sz w:val="8"/>
        </w:rPr>
      </w:pPr>
    </w:p>
    <w:p w:rsidR="00F265F4" w:rsidRPr="003D06E3" w:rsidRDefault="00F265F4" w:rsidP="00F265F4">
      <w:pPr>
        <w:pStyle w:val="Style8"/>
        <w:widowControl/>
        <w:rPr>
          <w:rStyle w:val="FontStyle21"/>
        </w:rPr>
      </w:pPr>
      <w:r w:rsidRPr="003D06E3">
        <w:rPr>
          <w:rStyle w:val="FontStyle21"/>
        </w:rPr>
        <w:t>Povaha tovaru / Nature de la marchandise / Warenbezeichnung:</w:t>
      </w:r>
    </w:p>
    <w:p w:rsidR="00F265F4" w:rsidRPr="003D06E3" w:rsidRDefault="00F265F4" w:rsidP="00F265F4">
      <w:pPr>
        <w:pStyle w:val="Style8"/>
        <w:widowControl/>
        <w:rPr>
          <w:rStyle w:val="FontStyle21"/>
        </w:rPr>
      </w:pPr>
    </w:p>
    <w:p w:rsidR="00F265F4" w:rsidRPr="003D06E3" w:rsidRDefault="00F265F4" w:rsidP="00F265F4">
      <w:pPr>
        <w:pStyle w:val="Style8"/>
        <w:widowControl/>
        <w:rPr>
          <w:rStyle w:val="FontStyle21"/>
          <w:sz w:val="10"/>
        </w:rPr>
      </w:pPr>
      <w:r w:rsidRPr="003D06E3">
        <w:rPr>
          <w:rStyle w:val="FontStyle21"/>
        </w:rPr>
        <w:t>....................................................................................................................................................................................................</w:t>
      </w:r>
    </w:p>
    <w:p w:rsidR="00F265F4" w:rsidRPr="003D06E3" w:rsidRDefault="00F265F4" w:rsidP="00F265F4">
      <w:pPr>
        <w:pStyle w:val="Style8"/>
        <w:widowControl/>
        <w:spacing w:line="360" w:lineRule="auto"/>
        <w:rPr>
          <w:rStyle w:val="FontStyle21"/>
          <w:sz w:val="10"/>
        </w:rPr>
      </w:pPr>
    </w:p>
    <w:p w:rsidR="00F265F4" w:rsidRPr="003D06E3" w:rsidRDefault="00F265F4" w:rsidP="00F265F4">
      <w:pPr>
        <w:pStyle w:val="Style8"/>
        <w:widowControl/>
        <w:ind w:right="-752"/>
        <w:jc w:val="center"/>
        <w:rPr>
          <w:rStyle w:val="FontStyle21"/>
        </w:rPr>
      </w:pPr>
      <w:r w:rsidRPr="003D06E3">
        <w:rPr>
          <w:rStyle w:val="FontStyle21"/>
        </w:rPr>
        <w:t>ÚDAJE O PREPRAVE / INFORMATIONS RELATIVES AU TRANSPORT / ANGABEN ZUM TRANSPORT</w:t>
      </w:r>
    </w:p>
    <w:p w:rsidR="00F265F4" w:rsidRPr="003D06E3" w:rsidRDefault="00F265F4" w:rsidP="00F265F4">
      <w:pPr>
        <w:pStyle w:val="Style12"/>
        <w:widowControl/>
        <w:numPr>
          <w:ilvl w:val="0"/>
          <w:numId w:val="17"/>
        </w:numPr>
        <w:ind w:left="426" w:hanging="426"/>
        <w:rPr>
          <w:rStyle w:val="FontStyle21"/>
        </w:rPr>
      </w:pPr>
      <w:r w:rsidRPr="003D06E3">
        <w:rPr>
          <w:rStyle w:val="FontStyle21"/>
        </w:rPr>
        <w:t xml:space="preserve">Preprava po mori / provenance par mer / Herkunft auf dem Seeweg </w:t>
      </w:r>
    </w:p>
    <w:p w:rsidR="00F265F4" w:rsidRPr="003D06E3" w:rsidRDefault="00F265F4" w:rsidP="00F265F4">
      <w:pPr>
        <w:pStyle w:val="Style12"/>
        <w:widowControl/>
        <w:tabs>
          <w:tab w:val="left" w:pos="4962"/>
        </w:tabs>
        <w:spacing w:line="480" w:lineRule="auto"/>
        <w:ind w:left="426"/>
        <w:rPr>
          <w:rStyle w:val="FontStyle21"/>
        </w:rPr>
      </w:pPr>
      <w:r w:rsidRPr="003D06E3">
        <w:rPr>
          <w:rStyle w:val="FontStyle21"/>
        </w:rPr>
        <w:t>Názov plavidla / Nom du navire / Name des Schiffes:</w:t>
      </w:r>
      <w:r w:rsidRPr="003D06E3">
        <w:tab/>
      </w:r>
      <w:r w:rsidRPr="003D06E3">
        <w:rPr>
          <w:rStyle w:val="FontStyle21"/>
        </w:rPr>
        <w:t>Štátna príslušnosť / Nationalité / Nationalität:</w:t>
      </w:r>
    </w:p>
    <w:p w:rsidR="00F265F4" w:rsidRPr="003D06E3" w:rsidRDefault="00F265F4" w:rsidP="00F265F4">
      <w:pPr>
        <w:pStyle w:val="Style8"/>
        <w:widowControl/>
        <w:tabs>
          <w:tab w:val="left" w:pos="4962"/>
        </w:tabs>
        <w:spacing w:line="480" w:lineRule="auto"/>
        <w:ind w:firstLine="426"/>
        <w:rPr>
          <w:rStyle w:val="FontStyle21"/>
        </w:rPr>
      </w:pPr>
      <w:r w:rsidRPr="003D06E3">
        <w:rPr>
          <w:rStyle w:val="FontStyle21"/>
        </w:rPr>
        <w:t xml:space="preserve">................................................................................................. </w:t>
      </w:r>
      <w:r w:rsidRPr="003D06E3">
        <w:tab/>
      </w:r>
      <w:r w:rsidRPr="003D06E3">
        <w:rPr>
          <w:rStyle w:val="FontStyle21"/>
        </w:rPr>
        <w:t>.................................................................................................</w:t>
      </w:r>
    </w:p>
    <w:p w:rsidR="00F265F4" w:rsidRPr="003D06E3" w:rsidRDefault="00F265F4" w:rsidP="00F265F4">
      <w:pPr>
        <w:pStyle w:val="Style12"/>
        <w:widowControl/>
        <w:tabs>
          <w:tab w:val="left" w:pos="4962"/>
        </w:tabs>
        <w:spacing w:line="480" w:lineRule="auto"/>
        <w:ind w:left="426"/>
        <w:rPr>
          <w:rStyle w:val="FontStyle21"/>
        </w:rPr>
      </w:pPr>
      <w:r w:rsidRPr="003D06E3">
        <w:rPr>
          <w:rStyle w:val="FontStyle21"/>
        </w:rPr>
        <w:t>Prístav odchodu / Port de départ / Abfahrtshafen:</w:t>
      </w:r>
      <w:r w:rsidRPr="003D06E3">
        <w:tab/>
      </w:r>
      <w:r w:rsidRPr="003D06E3">
        <w:rPr>
          <w:rStyle w:val="FontStyle21"/>
        </w:rPr>
        <w:t>Prístav príchodu / Port d’arrivée / Ankunftshafen:</w:t>
      </w:r>
    </w:p>
    <w:p w:rsidR="00F265F4" w:rsidRPr="003D06E3" w:rsidRDefault="00F265F4" w:rsidP="00F265F4">
      <w:pPr>
        <w:pStyle w:val="Style8"/>
        <w:widowControl/>
        <w:tabs>
          <w:tab w:val="left" w:pos="4962"/>
        </w:tabs>
        <w:spacing w:line="480" w:lineRule="auto"/>
        <w:ind w:firstLine="426"/>
        <w:rPr>
          <w:rStyle w:val="FontStyle21"/>
        </w:rPr>
      </w:pPr>
      <w:r w:rsidRPr="003D06E3">
        <w:rPr>
          <w:rStyle w:val="FontStyle21"/>
        </w:rPr>
        <w:t xml:space="preserve">................................................................................................. </w:t>
      </w:r>
      <w:r w:rsidRPr="003D06E3">
        <w:tab/>
      </w:r>
      <w:r w:rsidRPr="003D06E3">
        <w:rPr>
          <w:rStyle w:val="FontStyle21"/>
        </w:rPr>
        <w:t>.................................................................................................</w:t>
      </w:r>
    </w:p>
    <w:p w:rsidR="00F265F4" w:rsidRPr="003D06E3"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3D06E3">
        <w:rPr>
          <w:rStyle w:val="FontStyle21"/>
        </w:rPr>
        <w:t xml:space="preserve">Pozemná preprava </w:t>
      </w:r>
      <w:r w:rsidRPr="003D06E3">
        <w:tab/>
      </w:r>
      <w:r w:rsidRPr="003D06E3">
        <w:rPr>
          <w:rStyle w:val="FontStyle21"/>
        </w:rPr>
        <w:t>alebo</w:t>
      </w:r>
      <w:r w:rsidRPr="003D06E3">
        <w:tab/>
      </w:r>
      <w:r w:rsidRPr="003D06E3">
        <w:rPr>
          <w:rStyle w:val="FontStyle21"/>
          <w:sz w:val="40"/>
        </w:rPr>
        <w:t xml:space="preserve">□ </w:t>
      </w:r>
      <w:r w:rsidRPr="003D06E3">
        <w:rPr>
          <w:rStyle w:val="FontStyle21"/>
        </w:rPr>
        <w:t xml:space="preserve">Vyložené z plavidla </w:t>
      </w:r>
    </w:p>
    <w:p w:rsidR="00F265F4" w:rsidRPr="003D06E3" w:rsidRDefault="00F265F4" w:rsidP="00F265F4">
      <w:pPr>
        <w:pStyle w:val="Style12"/>
        <w:widowControl/>
        <w:tabs>
          <w:tab w:val="left" w:pos="426"/>
          <w:tab w:val="left" w:pos="2835"/>
          <w:tab w:val="left" w:pos="4962"/>
        </w:tabs>
        <w:rPr>
          <w:rStyle w:val="FontStyle21"/>
        </w:rPr>
      </w:pPr>
      <w:r w:rsidRPr="003D06E3">
        <w:rPr>
          <w:rStyle w:val="FontStyle21"/>
        </w:rPr>
        <w:t>Metóda pozemnej prepravy:</w:t>
      </w:r>
    </w:p>
    <w:p w:rsidR="00F265F4" w:rsidRPr="003D06E3" w:rsidRDefault="00F265F4" w:rsidP="003D06E3">
      <w:pPr>
        <w:pStyle w:val="Style12"/>
        <w:widowControl/>
        <w:numPr>
          <w:ilvl w:val="0"/>
          <w:numId w:val="17"/>
        </w:numPr>
        <w:tabs>
          <w:tab w:val="left" w:pos="426"/>
          <w:tab w:val="left" w:pos="3060"/>
        </w:tabs>
        <w:ind w:left="426" w:hanging="426"/>
        <w:rPr>
          <w:rStyle w:val="FontStyle21"/>
        </w:rPr>
      </w:pPr>
      <w:r w:rsidRPr="003D06E3">
        <w:rPr>
          <w:rStyle w:val="FontStyle21"/>
        </w:rPr>
        <w:t>pomocou / par / durch kontajneru</w:t>
      </w:r>
      <w:r w:rsidRPr="003D06E3">
        <w:tab/>
      </w:r>
      <w:r w:rsidRPr="003D06E3">
        <w:rPr>
          <w:rStyle w:val="FontStyle21"/>
          <w:sz w:val="40"/>
        </w:rPr>
        <w:t>□</w:t>
      </w:r>
      <w:r w:rsidRPr="003D06E3">
        <w:rPr>
          <w:rStyle w:val="FontStyle21"/>
        </w:rPr>
        <w:t xml:space="preserve"> hromadne / en vrac / in loser Schüttung</w:t>
      </w:r>
    </w:p>
    <w:p w:rsidR="00F265F4" w:rsidRPr="003D06E3" w:rsidRDefault="00F265F4" w:rsidP="003D06E3">
      <w:pPr>
        <w:pStyle w:val="Style3"/>
        <w:widowControl/>
        <w:tabs>
          <w:tab w:val="left" w:pos="3060"/>
          <w:tab w:val="left" w:pos="6390"/>
        </w:tabs>
        <w:ind w:left="180"/>
        <w:rPr>
          <w:rStyle w:val="FontStyle21"/>
        </w:rPr>
      </w:pPr>
      <w:r w:rsidRPr="003D06E3">
        <w:rPr>
          <w:rStyle w:val="FontStyle21"/>
        </w:rPr>
        <w:t>Registrácia / Matricule / Matrikel</w:t>
      </w:r>
      <w:r w:rsidRPr="003D06E3">
        <w:tab/>
      </w:r>
      <w:r w:rsidRPr="003D06E3">
        <w:rPr>
          <w:rStyle w:val="FontStyle21"/>
          <w:sz w:val="40"/>
        </w:rPr>
        <w:t>□</w:t>
      </w:r>
      <w:r w:rsidRPr="003D06E3">
        <w:rPr>
          <w:rStyle w:val="FontStyle21"/>
        </w:rPr>
        <w:t xml:space="preserve"> Železnica / Chemin de fer / Eisenach</w:t>
      </w:r>
      <w:r w:rsidRPr="003D06E3">
        <w:tab/>
      </w:r>
      <w:r w:rsidRPr="003D06E3">
        <w:rPr>
          <w:rStyle w:val="FontStyle21"/>
          <w:sz w:val="40"/>
        </w:rPr>
        <w:t>□</w:t>
      </w:r>
      <w:r w:rsidRPr="003D06E3">
        <w:rPr>
          <w:rStyle w:val="FontStyle21"/>
        </w:rPr>
        <w:t xml:space="preserve"> Cesta / Par route / Auf der Strasse</w:t>
      </w:r>
    </w:p>
    <w:p w:rsidR="00F265F4" w:rsidRPr="003D06E3" w:rsidRDefault="00F265F4" w:rsidP="003D06E3">
      <w:pPr>
        <w:pStyle w:val="Style3"/>
        <w:widowControl/>
        <w:tabs>
          <w:tab w:val="left" w:pos="3330"/>
          <w:tab w:val="left" w:pos="6120"/>
        </w:tabs>
        <w:ind w:right="-323"/>
        <w:rPr>
          <w:rStyle w:val="FontStyle21"/>
        </w:rPr>
      </w:pPr>
      <w:r w:rsidRPr="003D06E3">
        <w:tab/>
      </w:r>
      <w:r w:rsidRPr="003D06E3">
        <w:rPr>
          <w:rStyle w:val="FontStyle21"/>
        </w:rPr>
        <w:t xml:space="preserve">Č. / Wagon vagóna: </w:t>
      </w:r>
      <w:r w:rsidRPr="003D06E3">
        <w:tab/>
      </w:r>
      <w:r w:rsidRPr="003D06E3">
        <w:rPr>
          <w:rStyle w:val="FontStyle21"/>
        </w:rPr>
        <w:t>Tabuľka s poznávacou značkou / Transporteur / Beförderer:</w:t>
      </w:r>
    </w:p>
    <w:p w:rsidR="00F265F4" w:rsidRPr="003D06E3" w:rsidRDefault="00F265F4" w:rsidP="00F265F4">
      <w:pPr>
        <w:pStyle w:val="Style3"/>
        <w:widowControl/>
        <w:tabs>
          <w:tab w:val="left" w:pos="3119"/>
          <w:tab w:val="left" w:pos="6663"/>
        </w:tabs>
        <w:spacing w:line="360" w:lineRule="auto"/>
        <w:rPr>
          <w:rStyle w:val="FontStyle21"/>
          <w:sz w:val="12"/>
        </w:rPr>
      </w:pPr>
    </w:p>
    <w:p w:rsidR="00F265F4" w:rsidRPr="003D06E3" w:rsidRDefault="00F265F4" w:rsidP="00F265F4">
      <w:pPr>
        <w:pStyle w:val="Style8"/>
        <w:widowControl/>
        <w:tabs>
          <w:tab w:val="left" w:pos="3119"/>
          <w:tab w:val="left" w:pos="4962"/>
          <w:tab w:val="left" w:pos="6804"/>
        </w:tabs>
        <w:spacing w:line="360" w:lineRule="auto"/>
        <w:rPr>
          <w:rStyle w:val="FontStyle21"/>
          <w:sz w:val="8"/>
        </w:rPr>
      </w:pPr>
      <w:r w:rsidRPr="003D06E3">
        <w:rPr>
          <w:rStyle w:val="FontStyle21"/>
        </w:rPr>
        <w:t xml:space="preserve">................................................... </w:t>
      </w:r>
      <w:r w:rsidRPr="003D06E3">
        <w:tab/>
      </w:r>
      <w:r w:rsidRPr="003D06E3">
        <w:rPr>
          <w:rStyle w:val="FontStyle21"/>
        </w:rPr>
        <w:t>...................................................</w:t>
      </w:r>
      <w:r w:rsidRPr="003D06E3">
        <w:tab/>
      </w:r>
      <w:r w:rsidRPr="003D06E3">
        <w:rPr>
          <w:rStyle w:val="FontStyle21"/>
        </w:rPr>
        <w:t>...................................................</w:t>
      </w:r>
    </w:p>
    <w:p w:rsidR="00F265F4" w:rsidRPr="003D06E3" w:rsidRDefault="00F265F4" w:rsidP="00F265F4">
      <w:pPr>
        <w:pStyle w:val="Style13"/>
        <w:widowControl/>
        <w:spacing w:line="360" w:lineRule="auto"/>
        <w:rPr>
          <w:rStyle w:val="FontStyle21"/>
          <w:sz w:val="8"/>
        </w:rPr>
      </w:pPr>
    </w:p>
    <w:p w:rsidR="00F265F4" w:rsidRPr="003D06E3" w:rsidRDefault="00F265F4" w:rsidP="00F265F4">
      <w:pPr>
        <w:pStyle w:val="Style13"/>
        <w:widowControl/>
        <w:jc w:val="center"/>
        <w:rPr>
          <w:rStyle w:val="FontStyle21"/>
          <w:sz w:val="12"/>
        </w:rPr>
      </w:pPr>
      <w:r w:rsidRPr="003D06E3">
        <w:rPr>
          <w:rStyle w:val="FontStyle21"/>
        </w:rPr>
        <w:t>VÝSLEDKY SKÚŠKY / RESULTATS DES CONTRÔLES / ERGEBNISSE DER KONTROLLE</w:t>
      </w:r>
    </w:p>
    <w:p w:rsidR="00F265F4" w:rsidRPr="003D06E3" w:rsidRDefault="00F265F4" w:rsidP="00F265F4">
      <w:pPr>
        <w:pStyle w:val="Style13"/>
        <w:widowControl/>
        <w:spacing w:line="360" w:lineRule="auto"/>
        <w:jc w:val="center"/>
        <w:rPr>
          <w:rStyle w:val="FontStyle21"/>
          <w:sz w:val="12"/>
        </w:rPr>
      </w:pPr>
    </w:p>
    <w:p w:rsidR="00F265F4" w:rsidRPr="003D06E3" w:rsidRDefault="00F265F4" w:rsidP="00F265F4">
      <w:pPr>
        <w:pStyle w:val="Style8"/>
        <w:widowControl/>
        <w:spacing w:line="360" w:lineRule="auto"/>
        <w:rPr>
          <w:rStyle w:val="FontStyle21"/>
        </w:rPr>
      </w:pPr>
      <w:r w:rsidRPr="003D06E3">
        <w:rPr>
          <w:rStyle w:val="FontStyle21"/>
        </w:rPr>
        <w:t xml:space="preserve">Priemerná úroveň žiarenia miestneho prirodzeného okolia v čase skúšky    </w:t>
      </w:r>
      <w:r w:rsidRPr="003D06E3">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3D06E3">
        <w:rPr>
          <w:rStyle w:val="FontStyle21"/>
        </w:rPr>
        <w:t xml:space="preserve"> = ....................................................... µGy/h</w:t>
      </w:r>
    </w:p>
    <w:p w:rsidR="00F265F4" w:rsidRPr="003D06E3" w:rsidRDefault="00F265F4" w:rsidP="00F265F4">
      <w:pPr>
        <w:pStyle w:val="Style8"/>
        <w:widowControl/>
        <w:spacing w:line="360" w:lineRule="auto"/>
        <w:rPr>
          <w:rStyle w:val="FontStyle21"/>
          <w:sz w:val="12"/>
        </w:rPr>
      </w:pPr>
      <w:r w:rsidRPr="003D06E3">
        <w:rPr>
          <w:rStyle w:val="FontStyle21"/>
        </w:rPr>
        <w:t>(Fond naturel local moyen au moment du contrôle / Mittelwert der natürlichen lokalen Strahlung im Moment der Kontrolle)</w:t>
      </w:r>
    </w:p>
    <w:p w:rsidR="00F265F4" w:rsidRPr="003D06E3" w:rsidRDefault="00F265F4" w:rsidP="00F265F4">
      <w:pPr>
        <w:pStyle w:val="Style8"/>
        <w:widowControl/>
        <w:spacing w:line="360" w:lineRule="auto"/>
        <w:rPr>
          <w:rStyle w:val="FontStyle21"/>
          <w:sz w:val="12"/>
        </w:rPr>
      </w:pPr>
    </w:p>
    <w:p w:rsidR="00F265F4" w:rsidRPr="003D06E3" w:rsidRDefault="00F265F4" w:rsidP="00F265F4">
      <w:pPr>
        <w:pStyle w:val="Style8"/>
        <w:widowControl/>
        <w:spacing w:line="360" w:lineRule="auto"/>
        <w:rPr>
          <w:rStyle w:val="FontStyle21"/>
        </w:rPr>
      </w:pPr>
      <w:r w:rsidRPr="003D06E3">
        <w:rPr>
          <w:rStyle w:val="FontStyle21"/>
        </w:rPr>
        <w:t>Maximálna hodnota zistená vo vzduchu do 20 cm od stien nákladu: ................................................ µGy/h</w:t>
      </w:r>
    </w:p>
    <w:p w:rsidR="00F265F4" w:rsidRPr="003D06E3" w:rsidRDefault="00F265F4" w:rsidP="00F265F4">
      <w:pPr>
        <w:pStyle w:val="Style6"/>
        <w:widowControl/>
        <w:rPr>
          <w:rStyle w:val="FontStyle21"/>
        </w:rPr>
      </w:pPr>
      <w:r w:rsidRPr="003D06E3">
        <w:rPr>
          <w:rStyle w:val="FontStyle21"/>
        </w:rPr>
        <w:t>Valeur maximale relevée en air dans 20 cm des parois du chargement / Grösster Wert gemessen in der Luft binnen 20 cm von den Wänden der Ladung)</w:t>
      </w:r>
    </w:p>
    <w:p w:rsidR="00F265F4" w:rsidRPr="003D06E3" w:rsidRDefault="00F265F4" w:rsidP="00B76C36">
      <w:pPr>
        <w:pStyle w:val="Style5"/>
        <w:widowControl/>
        <w:spacing w:before="120" w:line="360" w:lineRule="auto"/>
        <w:jc w:val="center"/>
        <w:rPr>
          <w:rStyle w:val="FontStyle21"/>
        </w:rPr>
      </w:pPr>
      <w:r w:rsidRPr="003D06E3">
        <w:rPr>
          <w:rStyle w:val="FontStyle21"/>
        </w:rPr>
        <w:t xml:space="preserve">VYHLÁSENIE / DECLARATION / ERKLARUNG </w:t>
      </w:r>
    </w:p>
    <w:p w:rsidR="00F265F4" w:rsidRPr="003D06E3" w:rsidRDefault="00F265F4" w:rsidP="00F265F4">
      <w:pPr>
        <w:pStyle w:val="Style5"/>
        <w:widowControl/>
        <w:spacing w:line="360" w:lineRule="auto"/>
        <w:rPr>
          <w:rStyle w:val="FontStyle21"/>
        </w:rPr>
      </w:pPr>
      <w:r w:rsidRPr="003D06E3">
        <w:rPr>
          <w:rStyle w:val="FontStyle21"/>
        </w:rPr>
        <w:t>Podpísaný / Le soussigné / Der Unterzeichner:</w:t>
      </w:r>
    </w:p>
    <w:p w:rsidR="00F265F4" w:rsidRPr="003D06E3" w:rsidRDefault="00F265F4" w:rsidP="00F265F4">
      <w:pPr>
        <w:pStyle w:val="Style4"/>
        <w:widowControl/>
        <w:spacing w:line="360" w:lineRule="auto"/>
        <w:rPr>
          <w:rStyle w:val="FontStyle21"/>
        </w:rPr>
      </w:pPr>
      <w:r w:rsidRPr="003D06E3">
        <w:rPr>
          <w:rStyle w:val="FontStyle21"/>
        </w:rPr>
        <w:t xml:space="preserve">Osoba s pobytom (adresa, krajina) / Résident (Adresse, Pays) / Wohnhaft (Anschrift, Land): </w:t>
      </w:r>
    </w:p>
    <w:p w:rsidR="00F265F4" w:rsidRPr="003D06E3" w:rsidRDefault="00F265F4" w:rsidP="00F265F4">
      <w:pPr>
        <w:pStyle w:val="Style4"/>
        <w:widowControl/>
        <w:tabs>
          <w:tab w:val="left" w:pos="5387"/>
        </w:tabs>
        <w:spacing w:line="360" w:lineRule="auto"/>
        <w:rPr>
          <w:rStyle w:val="FontStyle21"/>
        </w:rPr>
      </w:pPr>
      <w:r w:rsidRPr="003D06E3">
        <w:rPr>
          <w:rStyle w:val="FontStyle21"/>
        </w:rPr>
        <w:t xml:space="preserve">Subjekt: </w:t>
      </w:r>
      <w:r w:rsidRPr="003D06E3">
        <w:tab/>
      </w:r>
      <w:r w:rsidRPr="003D06E3">
        <w:rPr>
          <w:rStyle w:val="FontStyle21"/>
        </w:rPr>
        <w:t xml:space="preserve">Funkcia: </w:t>
      </w:r>
    </w:p>
    <w:p w:rsidR="00F265F4" w:rsidRPr="003D06E3" w:rsidRDefault="00F265F4" w:rsidP="00F265F4">
      <w:pPr>
        <w:pStyle w:val="Style4"/>
        <w:widowControl/>
        <w:tabs>
          <w:tab w:val="left" w:pos="5387"/>
        </w:tabs>
        <w:spacing w:line="360" w:lineRule="auto"/>
        <w:rPr>
          <w:rStyle w:val="FontStyle21"/>
        </w:rPr>
      </w:pPr>
      <w:r w:rsidRPr="003D06E3">
        <w:rPr>
          <w:rStyle w:val="FontStyle21"/>
        </w:rPr>
        <w:t xml:space="preserve">Tel.: </w:t>
      </w:r>
      <w:r w:rsidRPr="003D06E3">
        <w:tab/>
      </w:r>
      <w:r w:rsidRPr="003D06E3">
        <w:rPr>
          <w:rStyle w:val="FontStyle21"/>
        </w:rPr>
        <w:t>Fax:</w:t>
      </w:r>
    </w:p>
    <w:p w:rsidR="00F265F4" w:rsidRPr="003D06E3" w:rsidRDefault="00F265F4" w:rsidP="00F265F4">
      <w:pPr>
        <w:pStyle w:val="Style6"/>
        <w:widowControl/>
        <w:rPr>
          <w:rStyle w:val="FontStyle21"/>
        </w:rPr>
      </w:pPr>
      <w:r w:rsidRPr="003D06E3">
        <w:rPr>
          <w:rStyle w:val="FontStyle21"/>
        </w:rPr>
        <w:t>Odborník na rádiometrické merania vyhlasuje, že merania vykonané na náklade, ktoré sú uvedené vo formulári, nepreukázali žiadne hodnoty prekračujúce priemerné kolísanie úrovne žiarenia miestneho prirodzeného okolia. Podpísané v dobrej viere.</w:t>
      </w:r>
    </w:p>
    <w:p w:rsidR="00F265F4" w:rsidRPr="003D06E3" w:rsidRDefault="00F265F4" w:rsidP="00F265F4">
      <w:pPr>
        <w:pStyle w:val="Style6"/>
        <w:widowControl/>
        <w:rPr>
          <w:rStyle w:val="FontStyle21"/>
        </w:rPr>
      </w:pPr>
      <w:r w:rsidRPr="003D06E3">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3D06E3" w:rsidRDefault="00F265F4" w:rsidP="00F265F4">
      <w:pPr>
        <w:pStyle w:val="Style6"/>
        <w:widowControl/>
        <w:rPr>
          <w:rStyle w:val="FontStyle21"/>
        </w:rPr>
      </w:pPr>
      <w:r w:rsidRPr="003D06E3">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3D06E3" w:rsidRDefault="00F265F4" w:rsidP="00F265F4">
      <w:pPr>
        <w:pStyle w:val="Style6"/>
        <w:widowControl/>
        <w:spacing w:line="360" w:lineRule="auto"/>
        <w:rPr>
          <w:rStyle w:val="FontStyle21"/>
        </w:rPr>
      </w:pPr>
    </w:p>
    <w:p w:rsidR="00F265F4" w:rsidRPr="003D06E3" w:rsidRDefault="00F265F4" w:rsidP="00F265F4">
      <w:pPr>
        <w:pStyle w:val="Style8"/>
        <w:widowControl/>
        <w:tabs>
          <w:tab w:val="left" w:pos="5387"/>
        </w:tabs>
        <w:spacing w:line="360" w:lineRule="auto"/>
        <w:rPr>
          <w:rStyle w:val="FontStyle21"/>
        </w:rPr>
      </w:pPr>
      <w:r w:rsidRPr="003D06E3">
        <w:rPr>
          <w:rStyle w:val="FontStyle21"/>
        </w:rPr>
        <w:t xml:space="preserve">Dátum / Date / Datum: ............................................... </w:t>
      </w:r>
      <w:r w:rsidRPr="003D06E3">
        <w:tab/>
      </w:r>
      <w:r w:rsidRPr="003D06E3">
        <w:rPr>
          <w:rStyle w:val="FontStyle21"/>
        </w:rPr>
        <w:t>Podpis / Signature / Unterschrift: ..........................................................</w:t>
      </w:r>
    </w:p>
    <w:p w:rsidR="00F265F4" w:rsidRPr="003D06E3" w:rsidRDefault="00F265F4" w:rsidP="00F265F4">
      <w:pPr>
        <w:pStyle w:val="Style8"/>
        <w:widowControl/>
        <w:spacing w:line="360" w:lineRule="auto"/>
        <w:rPr>
          <w:rStyle w:val="FontStyle21"/>
        </w:rPr>
      </w:pPr>
    </w:p>
    <w:p w:rsidR="00F265F4" w:rsidRPr="003D06E3" w:rsidRDefault="00F265F4" w:rsidP="003D06E3">
      <w:pPr>
        <w:pStyle w:val="Style8"/>
        <w:widowControl/>
        <w:spacing w:line="360" w:lineRule="auto"/>
        <w:rPr>
          <w:rFonts w:ascii="Times New Roman" w:hAnsi="Times New Roman"/>
        </w:rPr>
      </w:pPr>
      <w:r w:rsidRPr="003D06E3">
        <w:rPr>
          <w:rStyle w:val="FontStyle21"/>
        </w:rPr>
        <w:t>Oddiel 2 Potvrdenia príslušného orgánu</w:t>
      </w:r>
    </w:p>
    <w:p w:rsidR="00F265F4" w:rsidRPr="003D06E3" w:rsidRDefault="00F265F4" w:rsidP="00CF773E">
      <w:pPr>
        <w:spacing w:line="240" w:lineRule="auto"/>
        <w:ind w:left="708" w:hanging="356"/>
        <w:jc w:val="both"/>
        <w:rPr>
          <w:rFonts w:ascii="Times New Roman" w:hAnsi="Times New Roman" w:cs="Times New Roman"/>
          <w:sz w:val="24"/>
          <w:szCs w:val="24"/>
        </w:rPr>
        <w:sectPr w:rsidR="00F265F4" w:rsidRPr="003D06E3"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007"/>
      </w:tblGrid>
      <w:tr w:rsidR="00F265F4" w:rsidRPr="003D06E3"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lastRenderedPageBreak/>
              <w:t xml:space="preserve">POPIS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KÓD KN</w:t>
            </w:r>
          </w:p>
        </w:tc>
      </w:tr>
      <w:tr w:rsidR="00F265F4" w:rsidRPr="003D06E3"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3D06E3"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3D06E3" w:rsidRDefault="00F265F4" w:rsidP="00F265F4">
            <w:pPr>
              <w:spacing w:after="0" w:line="240" w:lineRule="auto"/>
              <w:rPr>
                <w:rFonts w:ascii="Calibri" w:eastAsia="Times New Roman" w:hAnsi="Calibri" w:cs="Calibri"/>
                <w:b/>
                <w:bCs/>
                <w:color w:val="000000"/>
              </w:rPr>
            </w:pPr>
          </w:p>
        </w:tc>
      </w:tr>
      <w:tr w:rsidR="00F265F4" w:rsidRPr="003D06E3"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LEJÁRSTVO</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p>
        </w:tc>
      </w:tr>
      <w:tr w:rsidR="00F265F4" w:rsidRPr="003D06E3"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3D06E3"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rPr>
              <w:t xml:space="preserve">Hrotnice, srdcovky, výhybky, prestavné tyče a ostatné priecestné zariadenia, pre železničné alebo električkové trate, zo železa alebo ocele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73023000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domácich spotrebičov vyhrievaných inak ako elektricky položky 7321, z liatiny, železa alebo ocele,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73219000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Radiátory ústredného kúrenia, vyhrievané inak ako elektricky, a ich časti , z liatiny (okrem častí a súčastí špecifikovaných alebo zahrnutých inde a kotlov ústredného kúrenia)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73221100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2D091D">
            <w:pPr>
              <w:spacing w:after="0" w:line="240" w:lineRule="auto"/>
              <w:rPr>
                <w:rFonts w:ascii="Calibri" w:eastAsia="Times New Roman" w:hAnsi="Calibri" w:cs="Calibri"/>
                <w:color w:val="000000"/>
              </w:rPr>
            </w:pPr>
            <w:r w:rsidRPr="003D06E3">
              <w:rPr>
                <w:rFonts w:ascii="Calibri" w:hAnsi="Calibri"/>
                <w:color w:val="000000"/>
              </w:rPr>
              <w:t>Stolové, kuchynské alebo ostatné potreby pre domácnosť a ich časti zo zliatiny, nesmaltované</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73239100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2D091D">
            <w:pPr>
              <w:spacing w:after="0" w:line="240" w:lineRule="auto"/>
              <w:rPr>
                <w:rFonts w:ascii="Calibri" w:eastAsia="Times New Roman" w:hAnsi="Calibri" w:cs="Calibri"/>
                <w:color w:val="000000"/>
              </w:rPr>
            </w:pPr>
            <w:r w:rsidRPr="003D06E3">
              <w:rPr>
                <w:rFonts w:ascii="Calibri" w:hAnsi="Calibri"/>
                <w:color w:val="000000"/>
              </w:rPr>
              <w:t xml:space="preserve">Výrobky zo železa alebo z ocele, i. n. (okrem z kujnej alebo nekujnej liatiny, mlecích gulí a podobných výrobkov do drvičov a mlynov)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73259990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Práce z hliníka, liate, i. n.</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76169910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Výrobky z horčíka,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81049000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kotlov na ústredné kúrenie, zo železa,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84039010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vodných turbín a vodných kolies, i. n., a regulátorov hydraulických turbín, zo zliatiny,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84109000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prístrojov a nástrojov položiek 8426, 8429 alebo 8430, z liatiny, železa alebo ocele, i. n.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84314920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na výrobu buničiny z vláknitého celulózového materiálu, i. n.,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84399100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na výrobu alebo konečnú úpravu z papiera alebo lepenky, i. n.,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84399900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Časti a súčasti pre domáce práčky alebo práčovňové stroje, i. n.</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84509000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i. n.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84529000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súčasti a príslušenstvo, iné ako z predchádzajúcich položiek 8466, pre stroje položky 8464,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84669120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súčasti a príslušenstvo, iné ako z predchádzajúcich položiek 8466, pre stroje položky 8465,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84669220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a zariadení na spracovanie minerálnych materiálov položky 8474, i. n.,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84749010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Časti a súčasti strojov na výmenu peňazí</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84769010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iné časti a súčasti strojov</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84769090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a zariadení na spracovanie gumy alebo plastových materiálov, i. n., z liatiny, železa alebo ocele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84779010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Časti a súčasti mechanických strojov a zariadení so špecifickou funkciou, z liatiny alebo ocele, i. n.</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84799020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Zotrvačníky a remenice vrátane kladníc pre kladkostroje, z liatiny, železa alebo ocele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84835020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Spojky a hriadeľové spojky vrátane kardanových univerzálnych kĺbov, pre stroje, z liatiny, železa alebo ocele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84836020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Ostatné časti pre prevodové hriadele, prevody, spojky a </w:t>
            </w:r>
            <w:r w:rsidRPr="003D06E3">
              <w:rPr>
                <w:rFonts w:ascii="Calibri" w:hAnsi="Calibri"/>
                <w:color w:val="000000"/>
              </w:rPr>
              <w:lastRenderedPageBreak/>
              <w:t xml:space="preserve">ostatné spojky položky 8483, z liatiny, železa alebo ocele,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84839081</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alebo zariadení z časti 84, bez elektrických vlastností, zo železa, i. n.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84879040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strojov alebo zariadení z časti 84, bez elektrických vlastností, z oceľoliatiny, i. n.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84879051</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vhodné na použitie výlučne alebo hlavne s elektromotormi a generátormi, elektrickými generačnými agregátmi alebo rotačnými meničmi, i. n.,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85030091</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Nápravy vrátane namontovaných; kolesá a ich časti a súčasti, z liatiny, železa alebo ocele </w:t>
            </w:r>
          </w:p>
        </w:tc>
        <w:tc>
          <w:tcPr>
            <w:tcW w:w="1800" w:type="dxa"/>
            <w:tcBorders>
              <w:top w:val="nil"/>
              <w:left w:val="nil"/>
              <w:bottom w:val="single" w:sz="4" w:space="0" w:color="auto"/>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86071910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kotúčových bŕzd pre traktory a motorové vozidlá na prepravu desiatich alebo viacerých cestujúcich, strojov a iných motorových vozidiel osobitne navrhnutých na prepravu cestujúcich, špeciálnych vozidiel na prepravu tovaru, i. n. (okrem tých, ktoré sú určené na montáž motorových vozidiel položky 8708.30.10)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87083091</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Brzdy a servobrzdy a ich časti a súčasti pre traktory a motorové vozidlá na prepravu desiatich alebo viacerých cestujúcich, strojov a iných motorových vozidiel osobitne navrhnutých na prepravu cestujúcich, špeciálnych vozidiel na prepravu tovaru, i. n. (okrem tých, ktoré sú určené na montáž motorových vozidiel položky 8708.30.10 a pre kotúčové brzdy)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87083099</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Hnacie nápravy s diferenciálom, iež vybavené ostatnými prevodovými mechanizmami, hnané nápravy a časti a súčasti hnaných náprav, určené na priemyselnú montáž motorových vozidiel položiek 8703, 8704, buď s piestovým vznetovým spaľovacím motorom (dieselovým motorom alebo s motorom so žiarovou hlavou) s objemom valcov nepresahujúcim 2 500 cm3, alebo s piestovým zážihovým spaľovacím motorom s objemom valcov nepresahujúcim 2 800 cm3 a špeciálne motorové vozidlá položky 8705,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87085020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Hnacie nápravy s diferenciálom, tiež vybavené ostatnými prevodovými mechanizmami, hnané nápravy a časti a súčasti hnaných náprav, pre traktory, motorové vozidlá na prepravu desiatich alebo viacerých cestujúcich, strojov a iných motorových vozidiel osobitne navrhnutých na prepravu cestujúcich, špeciálnych vozidiel na prepravu tovaru, i. n. (okrem tých, ktoré sú určené na montáž motorových vozidiel položky 8708.50.20)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87085035</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hnaných náprav pre traktory, motorové vozidlá na prepravu desiatich alebo viacerých cestujúcich, strojov a iných motorových vozidiel osobitne určených na prepravu cestujúcich, špeciálnych vozidiel na prepravu tovaru (s výnimkou tých, ktoré sú určené na montáž vozidiel položky 8708.50.20 a tých, z lisovanej ocele),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87085091</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hnacích náprav s diferenciálom, tiež vybavené ostatnými prevodovými mechanizmami, pre </w:t>
            </w:r>
            <w:r w:rsidRPr="003D06E3">
              <w:rPr>
                <w:rFonts w:ascii="Calibri" w:hAnsi="Calibri"/>
                <w:color w:val="000000"/>
              </w:rPr>
              <w:lastRenderedPageBreak/>
              <w:t xml:space="preserve">traktory, motorové vozidlá na prepravu desiatich alebo viacerých cestujúcich, strojov a iných motorových vozidiel osobitne určených na prepravu cestujúcich, špeciálnych vozidiel na prepravu tovaru (s výnimkou tých, ktoré sú určené na montáž motorových vozidiel položky 8708.50.20 a tých, z lisovanej ocele), i. n.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87085099</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Kolesá a ich časti a súčasti a príslušenstvo, určené na priemyselnú montáž: traktorov riadených chodcom položky 8701.10 alebo motorových vozidiel položky 8703 na prepravu tovaru, s piestovým vznetovým spaľovacím motorom (dieselovým motorom alebo s motorom so žiarovou hlavou) s objemom valcov nepresahujúcim 2 500 cm</w:t>
            </w:r>
            <w:r w:rsidRPr="003D06E3">
              <w:rPr>
                <w:rFonts w:ascii="Calibri" w:hAnsi="Calibri"/>
                <w:color w:val="000000"/>
                <w:vertAlign w:val="superscript"/>
              </w:rPr>
              <w:t>3</w:t>
            </w:r>
            <w:r w:rsidRPr="003D06E3">
              <w:rPr>
                <w:rFonts w:ascii="Calibri" w:hAnsi="Calibri"/>
                <w:color w:val="000000"/>
              </w:rPr>
              <w:t>, alebo s piestovým zážihovým spaľovacím motorom s objemom valcov nepresahujúcim 2 800 cm</w:t>
            </w:r>
            <w:r w:rsidRPr="003D06E3">
              <w:rPr>
                <w:rFonts w:ascii="Calibri" w:hAnsi="Calibri"/>
                <w:color w:val="000000"/>
                <w:vertAlign w:val="superscript"/>
              </w:rPr>
              <w:t>3</w:t>
            </w:r>
            <w:r w:rsidRPr="003D06E3">
              <w:rPr>
                <w:rFonts w:ascii="Calibri" w:hAnsi="Calibri"/>
                <w:color w:val="000000"/>
              </w:rPr>
              <w:t xml:space="preserve">, a špeciálnych motorových vozidiel položky 8705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87087010</w:t>
            </w:r>
          </w:p>
        </w:tc>
      </w:tr>
      <w:tr w:rsidR="00F265F4" w:rsidRPr="003D06E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Kolesá a ich časti a súčasti a príslušenstvo, motorových vozidiel na prepravu 10 alebo viacerých cestujúcich atď. </w:t>
            </w:r>
          </w:p>
        </w:tc>
        <w:tc>
          <w:tcPr>
            <w:tcW w:w="1800" w:type="dxa"/>
            <w:tcBorders>
              <w:top w:val="nil"/>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87087050</w:t>
            </w:r>
          </w:p>
        </w:tc>
      </w:tr>
      <w:tr w:rsidR="00F265F4" w:rsidRPr="003D06E3"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Časti a súčasti kolesa tvaru hviezdy atď. </w:t>
            </w:r>
          </w:p>
        </w:tc>
        <w:tc>
          <w:tcPr>
            <w:tcW w:w="1800" w:type="dxa"/>
            <w:tcBorders>
              <w:top w:val="nil"/>
              <w:left w:val="nil"/>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87087091</w:t>
            </w:r>
          </w:p>
        </w:tc>
      </w:tr>
      <w:tr w:rsidR="00F265F4" w:rsidRPr="003D06E3"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Ostatné časti prívesov a návesov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87169090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POLOVÝROBKY V NEŽELEZNÝCH KOVOCH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MEĎ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MEĎ </w:t>
            </w: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Rafinované medené tyče a profily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7407 10 00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zo zliatiny medi-zinku (mosadz)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7407 21 10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Profily zo zliatiny medi-zinku (mosadz)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7407 21 90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Základné tyče a profily z medi-niklu (kupronikel) alebo medi-niklu-zinku (niklová mosadz) </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7407 29 00</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Ostatné základné tyče a profily zo zliatiny medi </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7407 29 00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Rafinovaný medený drôt, ktorého rozmer priečneho prierezu presahuje 6 mm</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7408 11 00</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Rafinovaný medený drôt, ktorého rozmer priečneho prierezu presahuje 0,5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7408 19 10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Rafinovaný medený drôt, ktorého žiadny rozmer priečneho prierezu nepresahuje 0,5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7408 19 90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 zo zliatiny medi-zinku (mosadz)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7408 21 00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Základný zliatinový drôt z medi-niklu (kupronikel) alebo medi-niklu-zinku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7408 22 00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Drôt ostatných zliatin medi</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7408 29 00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Medené platne, lisy a pásy, s hrúbkou presahujúcou 0,15 mm, navinuté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7409 11 00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Medené platne, lisy a pásy, s hrúbkou presahujúcou 0,15 mm, iné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7409 19 00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Platne, lisy a pásy s hrúbkou presahujúcou 0,15 mm, zo zliatiny medi-zinku (mosadz), navinuté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7409 21 00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Platne, lisy a pásy s hrúbkou presahujúcou 0,15 mm, zo zliatiny medi-zinku (mosadz), iné</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7409 29 00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Medené platne, lisy a pásy s hrúbkou presahujúcou 0,15 mm, z medi a cínu (bronz), navinuté</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7409 31 00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Medené platne, lisy a pásy, s hrúbkou presahujúcou 0,15 mm, z medi a cínu (bronz), iné</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7409 39 00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Medené platne, lisy a pásy, s hrúbkou presahujúcou 0,15 mm, z medi-niklu (kupronikel) alebo medi-niklu-zinku (niklová mosadz) </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7409 40 00</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Platne, lisy a pásy z iných zliatin medi, s hrúbkou </w:t>
            </w:r>
            <w:r w:rsidRPr="003D06E3">
              <w:rPr>
                <w:rFonts w:ascii="Calibri" w:hAnsi="Calibri"/>
                <w:color w:val="000000"/>
              </w:rPr>
              <w:lastRenderedPageBreak/>
              <w:t xml:space="preserve">presahujúcou 0,15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 xml:space="preserve">7409 90 00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Rafinovaná medená fólia s hrúbkou 0,15 mm alebo menej,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7410 11 00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Fólia zo zliatiny medi s hrúbkou 0,15 mm alebo menej,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7410 12 00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Rafinovaná medená fólia s hrúbkou 0,15 mm alebo menej, s podložkou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7410 21 00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Fólia zo zliatiny medi s hrúbkou 0,15 mm alebo menej, s podložkou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7410 22 00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NIKEL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NIKEL</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Nelegované tyče a profily z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7505 11 00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Tyče a profily zo zliatiny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7505 12 00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Nelegovaný drôt z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7505 21 00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 zo zliatiny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7505 22 00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Platne, lisy, pásy a fólia z nelegovaného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7506 10 00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Platne, lisy, pásy a fólia zo zliatiny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7506 20 00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HLINÍK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HLINÍK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Nelegované hliníkové tyče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7604 10 10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Nelegované hliníkové profily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7604 10 90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Duté profily zo zliatiny hliníka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7604 21 00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zo zliatiny hliníka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7604 29 10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Profily zo zliatiny hliníka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7604 29 90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Nelegovaný hliníkový drôt, ktorého rozmer priečneho prierezu presahuje 7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7605 11 00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Nelegovaný hliníkový drôt, iné</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7605 19 00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 zo zliatiny hliníka, ktorého rozmer priečneho prierezu presahuje 7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7605 21 00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 zo zliatiny hliníka, iné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7605 29 00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Nelegované hliníkové platne, listy a pásy, štvorcové alebo obdĺžnikové, farbené, lakované alebo potiahnuté plastom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7606 11 10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Nelegované hliníkové platne, listy a pásy, štvorcové alebo obdĺžnikové, iné, s hrúbkou menej ako 3 mm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7606 11 91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Nelegované hliníkové platne, listy a pásy, štvorcové alebo obdĺžnikové, iné, s hrúbkou 3 mm alebo viac, ale menej ako 6 mm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7606 11 93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Nelegované hliníkové platne, listy a pásy, štvorcové alebo obdĺžnikové, iné, s hrúbkou väčšou ako 6 mm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7606 11 99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Pás zo zliatiny hliníka, štvorcový alebo obdĺžnikový, farbený, lakovaný alebo potiahnutý plastom</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7606 12 20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Platne, listy a pásy zo zliatiny hliníka, štvorcové alebo obdĺžnikové, iné, s hrúbkou menej ako 3 mm</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7606 12 92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Platne, listy a pásy zo zliatiny hliníka, štvorcové alebo obdĺžnikové, iné, s hrúbkou 3 mm alebo viac, ale menej ako 6 mm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7606 12 93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Platne, listy a pásy zo zliatiny hliníka, štvorcové alebo obdĺžnikové, iné, s hrúbkou 6 mm alebo viac</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7606 12 99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Nelegované hliníkové platne, listy a pásy, s tvarom iným ako štvorcový alebo obdĺžnikový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7606 91 00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Platne, listy a pásy zo zliatiny hliníka, s tvarom iným ako štvorcový alebo obdĺžnikový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7606 92 00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Hliníková fólia, bez podložky, valcovaná, ale ďalej už neupravená, s hrúbkou menšou ako 0,021 mm, vo </w:t>
            </w:r>
            <w:r w:rsidRPr="003D06E3">
              <w:rPr>
                <w:rFonts w:ascii="Calibri" w:hAnsi="Calibri"/>
                <w:color w:val="000000"/>
              </w:rPr>
              <w:lastRenderedPageBreak/>
              <w:t>zvitkoch s hmotnosťou 10 kg alebo menej</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 xml:space="preserve">7607 11 11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Hliníková fólia, bez podložky, valcovaná, ale ďalej už neupravená, s hrúbkou menšou ako 0,021 mm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7607 11 19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Hliníková fólia, bez podložky, valcovaná, ale ďalej už neupravená, s hrúbkou 0,021 mm alebo väčšou a 0,2 mm alebo menšou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7607 11 90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Hliníková fólia, bez podložky, iná, s hrúbkou menšou ako 0,021 mm</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7607 19 10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Hliníková fólia, bez podložky, iná, s hrúbkou 0,021 mm alebo väčšou a 0,2 mm alebo menšou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7607 19 90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Hliníková fólia, s podložkou, s hrúbkou (bez podložky) menšou ako 0,021 mm</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7607 20 10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Hliníková fólia, s podložkou, s hrúbkou (bez podložky) 0,021 mm alebo väčšou a 0,2 mm alebo menšou</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7607 20 90</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OLOVO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OLOVO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Olovené lisy a pásy s hrúbkou 0,2 mm alebo menšou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7804 11 00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Olovené platne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7804 19 00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Olovené prášky a vločky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7804 20 00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ZINOK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ZINOK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Zinkové tyče, profily a drôty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7904 00 00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Zinkové platne, lisy a pásy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7905 00 00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CÍN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CÍN</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Cínové tyče, profily a drôty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8003 00 00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OSTATNÉ BEŽNÉ KOVY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OSTATNÉ KOVY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Volfrámové drôty (volfrám)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8101 96 00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Volfrámové tyče (volfrám) iné ako tie, ktoré sa získajú jednoduchým spekaním, profilmi, platňami, listmi a pásmi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8101 99 10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z molybdénu iné ako tie, ktoré sa získajú jednoduchým spekaním, profilmi, platňami, listmi a pásmi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8102 95 00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 z molybdénu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8102 96 00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Tantalové tyče iné ako tie, ktoré sa získajú jednoduchým spekaním, profilmi, platňami, listmi a pásmi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8103 90 10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(horčíkové tyče, profily, drôty, platne)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ex 81049000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(kobaltové tyče, profily, drôty, platne)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ex 81059000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(bizmutové tyče, profily, drôty, platne)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ex 81060090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(kadmiové tyče, profily, drôty, platne)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ex 81079000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Titánové tyče, profily a drôty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8108 90 30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Titánové platne, plechy, pásy a fólia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8108 90 50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(zirkóniové tyče, profily, drôty, platne a plechy)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8109 90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(antimónové tyče, profily, drôty, platne a plechy)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8110 90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(mangánové tyče, profily, drôty, platne a plechy)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8111 00 90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(berýliové tyče, profily, drôty, platne a plechy)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8112 19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(chrómové tyče, profily, drôty, platne a plechy)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8112 29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profily, drôty, platne a plechy z tália)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8112 59 00 </w:t>
            </w:r>
          </w:p>
        </w:tc>
      </w:tr>
      <w:tr w:rsidR="00F265F4" w:rsidRPr="003D06E3" w:rsidTr="00223553">
        <w:tc>
          <w:tcPr>
            <w:tcW w:w="5320" w:type="dxa"/>
            <w:tcBorders>
              <w:top w:val="nil"/>
              <w:left w:val="single" w:sz="4" w:space="0" w:color="auto"/>
              <w:bottom w:val="nil"/>
              <w:right w:val="nil"/>
            </w:tcBorders>
            <w:shd w:val="clear" w:color="auto" w:fill="auto"/>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profily, drôty, platne a plechy z hafnia (celtium) a germánia)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8112 99 20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profily, drôty, platne a plechy nióbu (kolumbium) a </w:t>
            </w:r>
            <w:r w:rsidRPr="003D06E3">
              <w:rPr>
                <w:rFonts w:ascii="Calibri" w:hAnsi="Calibri"/>
                <w:color w:val="000000"/>
              </w:rPr>
              <w:lastRenderedPageBreak/>
              <w:t xml:space="preserve">rénia)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 xml:space="preserve">ex 8112 99 30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profily, drôty, platne a plechy z gália, india a vanádia)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8112 99 70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 profily, drôty, platne a plechy z cermetu)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8113 00 90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Zliatiny medi-zinku (mosadz)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7403 21 00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Zliatiny medi-cínu (bronz)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7403 22 00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Ostatné zliatiny medi (okrem hlavných zliatin položky 7405)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7403 29 00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Zliatiny niklu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7502 20 00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Zliatiny hliníka v doskách a trámoch</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7601 20 20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Zliatiny hliníka, iné </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7601 20 80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olovo iné ako olovo obsahujúce antimón </w:t>
            </w:r>
          </w:p>
        </w:tc>
        <w:tc>
          <w:tcPr>
            <w:tcW w:w="1800" w:type="dxa"/>
            <w:tcBorders>
              <w:top w:val="nil"/>
              <w:left w:val="single" w:sz="4" w:space="0" w:color="auto"/>
              <w:bottom w:val="nil"/>
              <w:right w:val="single" w:sz="4" w:space="0" w:color="auto"/>
            </w:tcBorders>
            <w:shd w:val="clear" w:color="000000" w:fill="CCE8CF"/>
            <w:noWrap/>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 xml:space="preserve"> 7801 99 90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Zliatiny zinku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7901 20 00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Zliatiny cínu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8001 20 00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horčík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ex 8104 19 00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C – ZOZNAM KÓDOV A SUROVÝCH VÝROBKOV Z MENEJ VÝZNAMNÝCH KOVOV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C – ZOZNAM </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volfrám vrátane tyčí a prútov získaných jednoduchým spekaním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8101 94 00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molybdén vrátane tyčí a prútov získaných jednoduchým spekaním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8102 94 00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tantal vrátane tyčí a prútov získaných jednoduchým spekaním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8103 20 00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Kobaltové kamienky a ostatné medziprodukty metalurgie kobaltu; surový kobalt;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8105 20 00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Surový bizmut;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8106 00 10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kadmium;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8107 20 00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titán;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8108 20 00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zikrónium;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8109 20 00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antimón;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8110 10 00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mangán;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8111 00 11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berýlium;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8112 12 00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Zliatiny surového chrómu, prášky obsahujúce viac ako 10 % hmotnosti niklu</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8112 2110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surový chróm, prášky, iné</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81122190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tálium;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8112 51 00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hafnium (celtium);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8112 92 10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niób (kolumbium), rénium;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8112 92 31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Surové indium;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8112 92 81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gálium;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8112 92 89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Surové vanádium;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 8112 92 91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Surové germánium;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 xml:space="preserve">8112 92 95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Surový cermet </w:t>
            </w:r>
          </w:p>
        </w:tc>
        <w:tc>
          <w:tcPr>
            <w:tcW w:w="1800" w:type="dxa"/>
            <w:tcBorders>
              <w:top w:val="nil"/>
              <w:left w:val="single" w:sz="4" w:space="0" w:color="auto"/>
              <w:bottom w:val="nil"/>
              <w:right w:val="single" w:sz="4" w:space="0" w:color="auto"/>
            </w:tcBorders>
            <w:shd w:val="clear" w:color="auto" w:fill="auto"/>
            <w:noWrap/>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8113 00 20</w:t>
            </w: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POLOVÝROBKY Z OCELE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FF0000"/>
              </w:rPr>
            </w:pPr>
            <w:r w:rsidRPr="003D06E3">
              <w:rPr>
                <w:rFonts w:ascii="Calibri" w:hAnsi="Calibri"/>
                <w:b/>
                <w:color w:val="FF0000"/>
              </w:rPr>
              <w:t xml:space="preserve">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sz w:val="20"/>
                <w:szCs w:val="20"/>
              </w:rPr>
            </w:pPr>
            <w:r w:rsidRPr="003D06E3">
              <w:rPr>
                <w:rFonts w:ascii="Calibri" w:hAnsi="Calibri"/>
                <w:color w:val="000000"/>
                <w:sz w:val="20"/>
              </w:rPr>
              <w:t xml:space="preserve">INGOTY, ZO ŽELEZA A NELEGOVANEJ OCELE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72061000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ŽELEZO A NELEGOVANÁ OCEĽ, V OSTATNÝCH ZÁKLADNÝCH TVAROCH</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72069000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INGOTY A OSTATNÉ ZÁKLADNÉ TVARY NEHRDZAVEJÚCEJ </w:t>
            </w:r>
            <w:r w:rsidRPr="003D06E3">
              <w:rPr>
                <w:rFonts w:ascii="Calibri" w:hAnsi="Calibri"/>
                <w:color w:val="000000"/>
              </w:rPr>
              <w:lastRenderedPageBreak/>
              <w:t>OCELE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72181000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INGOTY A OSTATNÉ ZÁKLADNÉ TVARY ZLATINY OCELE PRE NÁRADIE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72241010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INGOTY A OSTATNÉ ZÁKLADNÉ TVARY ZLATINY OCELE, OSTATNÉ</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72241090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DA7421" w:rsidP="00F265F4">
            <w:pPr>
              <w:spacing w:after="0" w:line="240" w:lineRule="auto"/>
              <w:jc w:val="center"/>
              <w:rPr>
                <w:rFonts w:ascii="Calibri" w:eastAsia="Times New Roman" w:hAnsi="Calibri" w:cs="Calibri"/>
                <w:b/>
                <w:bCs/>
                <w:color w:val="000000"/>
              </w:rPr>
            </w:pPr>
            <w:r w:rsidRPr="003D06E3">
              <w:rPr>
                <w:rFonts w:ascii="Calibri" w:hAnsi="Calibri"/>
                <w:b/>
                <w:color w:val="000000"/>
              </w:rPr>
              <w:t>BRAMY</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FF0000"/>
              </w:rPr>
            </w:pPr>
            <w:r w:rsidRPr="003D06E3">
              <w:rPr>
                <w:rFonts w:ascii="Calibri" w:hAnsi="Calibri"/>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72071210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FF0000"/>
              </w:rPr>
            </w:pPr>
            <w:r w:rsidRPr="003D06E3">
              <w:rPr>
                <w:rFonts w:ascii="Calibri" w:hAnsi="Calibri"/>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72072032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DA7421" w:rsidP="00F265F4">
            <w:pPr>
              <w:spacing w:after="0" w:line="240" w:lineRule="auto"/>
              <w:rPr>
                <w:rFonts w:ascii="Calibri" w:eastAsia="Times New Roman" w:hAnsi="Calibri" w:cs="Calibri"/>
                <w:color w:val="000000"/>
              </w:rPr>
            </w:pPr>
            <w:r w:rsidRPr="003D06E3">
              <w:rPr>
                <w:rFonts w:ascii="Calibri" w:hAnsi="Calibri"/>
                <w:color w:val="000000"/>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DA7421" w:rsidP="00F265F4">
            <w:pPr>
              <w:spacing w:after="0" w:line="240" w:lineRule="auto"/>
              <w:rPr>
                <w:rFonts w:ascii="Calibri" w:eastAsia="Times New Roman" w:hAnsi="Calibri" w:cs="Calibri"/>
                <w:color w:val="000000"/>
              </w:rPr>
            </w:pPr>
            <w:r w:rsidRPr="003D06E3">
              <w:rPr>
                <w:rFonts w:ascii="Calibri" w:hAnsi="Calibri"/>
                <w:color w:val="000000"/>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72189180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DA7421" w:rsidP="00F265F4">
            <w:pPr>
              <w:spacing w:after="0" w:line="240" w:lineRule="auto"/>
              <w:jc w:val="center"/>
              <w:rPr>
                <w:rFonts w:ascii="Calibri" w:eastAsia="Times New Roman" w:hAnsi="Calibri" w:cs="Calibri"/>
                <w:b/>
                <w:bCs/>
                <w:color w:val="000000"/>
              </w:rPr>
            </w:pPr>
            <w:r w:rsidRPr="003D06E3">
              <w:rPr>
                <w:rFonts w:ascii="Calibri" w:hAnsi="Calibri"/>
                <w:b/>
                <w:color w:val="000000"/>
              </w:rPr>
              <w:t>PREDVALKY</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DA7421" w:rsidP="00F265F4">
            <w:pPr>
              <w:spacing w:after="0" w:line="240" w:lineRule="auto"/>
              <w:jc w:val="center"/>
              <w:rPr>
                <w:rFonts w:ascii="Calibri" w:eastAsia="Times New Roman" w:hAnsi="Calibri" w:cs="Calibri"/>
                <w:b/>
                <w:bCs/>
                <w:color w:val="000000"/>
              </w:rPr>
            </w:pPr>
            <w:r w:rsidRPr="003D06E3">
              <w:rPr>
                <w:rFonts w:ascii="Calibri" w:hAnsi="Calibri"/>
                <w:b/>
                <w:color w:val="000000"/>
              </w:rPr>
              <w:t>Z PREDLIATKOV</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72071111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72071114</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72071116</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72071912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72071980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72072015</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PREDLIATKY PREDVALKOV</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72072017</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72072052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72189911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72189920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72249002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72249003</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72249005</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72249007</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72249014</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PREDLIATKY PREDVALKOV</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72249031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PREDLIATKY PREDVALKOV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72249038</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DA7421" w:rsidP="00F265F4">
            <w:pPr>
              <w:spacing w:after="0" w:line="240" w:lineRule="auto"/>
              <w:jc w:val="center"/>
              <w:rPr>
                <w:rFonts w:ascii="Calibri" w:eastAsia="Times New Roman" w:hAnsi="Calibri" w:cs="Calibri"/>
                <w:b/>
                <w:bCs/>
                <w:color w:val="000000"/>
              </w:rPr>
            </w:pPr>
            <w:r w:rsidRPr="003D06E3">
              <w:rPr>
                <w:rFonts w:ascii="Calibri" w:hAnsi="Calibri"/>
                <w:b/>
                <w:color w:val="000000"/>
              </w:rPr>
              <w:t>ZVITKY</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72082500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72082600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72082700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72083600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72083700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72083800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72083900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72191210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72191290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72191310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72191390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72191410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72191490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72251910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72253010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72253030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ZVITKY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72253090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KOĽAJNICE A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VÝZBROJ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KOĽAJNICE A VÝZBROJ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73021022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KOĽAJNICE A VÝZBROJ</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3D06E3" w:rsidRDefault="00F265F4" w:rsidP="00F265F4">
            <w:pPr>
              <w:spacing w:after="0" w:line="240" w:lineRule="auto"/>
              <w:jc w:val="center"/>
              <w:rPr>
                <w:rFonts w:ascii="Calibri" w:eastAsia="Times New Roman" w:hAnsi="Calibri" w:cs="Calibri"/>
              </w:rPr>
            </w:pPr>
            <w:r w:rsidRPr="003D06E3">
              <w:rPr>
                <w:rFonts w:ascii="Calibri" w:hAnsi="Calibri"/>
              </w:rPr>
              <w:t>73021028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KOĽAJNICE A VÝZBROJ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73021040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KOĽAJNICE A VÝZBROJ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73021050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KOĽAJNICE A VÝZBROJ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73024000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3D06E3" w:rsidRDefault="00F265F4" w:rsidP="00F265F4">
            <w:pPr>
              <w:spacing w:after="0" w:line="240" w:lineRule="auto"/>
              <w:rPr>
                <w:rFonts w:ascii="Calibri" w:eastAsia="Times New Roman" w:hAnsi="Calibri" w:cs="Calibri"/>
                <w:color w:val="00B05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3D06E3" w:rsidRDefault="00F265F4" w:rsidP="00F265F4">
            <w:pPr>
              <w:spacing w:after="0" w:line="240" w:lineRule="auto"/>
              <w:rPr>
                <w:rFonts w:ascii="Calibri" w:eastAsia="Times New Roman" w:hAnsi="Calibri" w:cs="Calibri"/>
                <w:color w:val="00B05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ŠTETOVNICE ZO ŽELEZA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b/>
                <w:bCs/>
                <w:color w:val="000000"/>
              </w:rPr>
            </w:pPr>
            <w:r w:rsidRPr="003D06E3">
              <w:rPr>
                <w:rFonts w:ascii="Calibri" w:hAnsi="Calibri"/>
                <w:b/>
                <w:color w:val="000000"/>
              </w:rPr>
              <w:t xml:space="preserve">ŠTETOVNICE ZO ŽELEZA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73011000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 VYSTUŽOVACIE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TYČE ŽELEZOBETÓNU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 VYSTUŽOVACIE TYČE ŽELEZOBETÓNU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 VYSTUŽOVACIE TYČE ŽELEZOBETÓNU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72149910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DRÔTENÁ TYČ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72139141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72139149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72139170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72139990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72210010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DRÔTENÁ TYČ</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72210090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72271000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72272000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72279010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72279050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DRÔTENÁ TYČ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72279095</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ZA TEPLA VALCOVANÉ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TYČE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ZA TEPLA VALCOVANÉ TYČE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72143000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72149931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72149939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72149971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72149979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72149995</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72221111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72221119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72221181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ZA TEPLA VALCOVANÉ TYČE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72221189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72221990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72281020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72282091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72283041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72283049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72283061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72283069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72283089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ZA TEPLA VALCOVANÉ TYČE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72288000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OBCHODOVATEĽNÉ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DOSKY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OBCHODOVATEĽNÉ DOSKY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OBCHODOVATEĽNÉ DOSKY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72149190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OBCHODOVATEĽNÉ DOSKY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72282010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OBCHODOVATEĽNÉ DOSKY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72283070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PÁSY VALCOVANÉ ZA TEPLA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&lt; 600 mm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72111400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72111900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72126000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72201200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72261910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72269120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72269191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PÁSY VALCOVANÉ ZA TEPLA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72269199</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VALCOVANÝ ZA TEPLA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A ŠIROKÝ 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72084000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72085120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72085191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72085198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72085210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72085291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72085299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72085310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72085390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72085400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PLECH VALCOVANÝ ZA TEPLA A ŠIROKÝ 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72089080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72109030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72111300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72192210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72192290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72192300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72192400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72254012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72254015</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72254040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72254060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TEPLA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72254090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VALCOVANÝ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ZA STUDENA &gt;600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72091500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72091690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72091790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72091891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72092500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72092690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72092790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PLECH VALCOVANÝ ZA STUDENA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72092890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PLECH VALCOVANÝ ZA STUDENA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72193210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72193290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72193310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72193390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72193410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PLECH VALCOVANÝ ZA STUDENA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72193490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72193510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72193590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72199080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72255020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VALCOVANÝ ZA STUDENA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72255080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ČIERNY 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ČIERNY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72091899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ČIERNY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72112380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MAGNETICKÝ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MAGNETICKÝ PLECH A PLATŇA/PÁS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72091610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72091710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72091810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72092610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MAGNETICKÝ PLECH A PLATŇA/PÁS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72092710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72092810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72112320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72251990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MAGNETICKÝ PLECH A PLATŇA/PÁS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MAGNETICKÝ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72261980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POCÍNOVANÝ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72101220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72101280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72107010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72109040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72121010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72121090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POCÍNOVANÝ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72124020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PÁS T.F.S.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PÁS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72105000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PÁS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72125020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GALVANIZOVANÝ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72104100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72104900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GALVANIZOVANÝ PLECH A PLATŇA/PÁS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72123000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72259200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72269930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ELEKTRO-GALVANIZOVANÝ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ELEKTRO-GALVANIZOVANÝ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72103000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ELEKTRO-GALVANIZOVANÝ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ELEKTRO-GALVANIZOVANÝ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72259100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ELEKTRO-GALVANIZOVANÝ PLECH A PLATŇA/PÁS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72269910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S ORGANICKÝM POVLAKOM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S ORGANICKÝM POVLAKOM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72107080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S ORGANICKÝM POVLAKOM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72124080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S ORGANICKÝM POVLAKOM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72259900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S ORGANICKÝM POVLAKOM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72269970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PLECH A PLATŇA/PÁS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OSTATNÝCH KOVOVÝCH POVLAKOV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w:t>
            </w:r>
            <w:r w:rsidRPr="003D06E3">
              <w:rPr>
                <w:rFonts w:ascii="Calibri" w:hAnsi="Calibri"/>
                <w:color w:val="000000"/>
              </w:rPr>
              <w:lastRenderedPageBreak/>
              <w:t xml:space="preserve">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lastRenderedPageBreak/>
              <w:t>72106100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72106900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72109080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72125040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72125061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72125069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PLECH A PLATŇA/PÁS OSTATNÝCH KOVOVÝCH POVLAKOV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72125090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BEZŠVOVÉ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RÚRY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73041910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BEZŠVOVÉ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73041930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73041990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73042200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73042300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73042400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73042930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73042990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73043120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73043180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73043952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73043958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73043992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73043993</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73043998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73044100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73044910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73044993</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BEZŠVOVÉ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73044995</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73044999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73045112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73045118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73045181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73045189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73045932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73045938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73045992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73045993</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73045999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BEZŠVOVÉ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73049000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ZVÁRANÉ RÚRY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73051100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73051200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73051900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ZVÁRANÉ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ZVÁRANÉ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73053100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ZVÁRANÉ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73053900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73059000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ZVÁRANÉ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73061110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73061190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73061910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ZVÁRANÉ RÚRY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73061990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73062100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73062900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73063041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73063049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73063072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73063077</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73063080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73064020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73064080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73065020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73065080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73066110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73066192</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73066199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73066910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73066990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ZVÁRANÉ RÚRY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73069000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KOVANÉ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VÝROBKY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72141000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72223051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72223091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72281050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72284010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72284090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TYČE/PROFILY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ŤAHANÉ ZA STUDENA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72151000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72155011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72155019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72155080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72159000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72166110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72166190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72166900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72169110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72169180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72222021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72222029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72222031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72222039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72222081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72222089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72223097</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72224050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72224090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72281090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72282099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72285020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72285040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72285061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72285069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72285080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72286020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72286080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TYČE/PROFILY ŤAHANÉ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72287090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ŤAHANÝ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DRÔT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72171010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ŤAHANÝ DRÔT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72171031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72171039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ŤAHANÝ DRÔT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72171050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72171090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72172010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ŤAHANÝ DRÔT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72172030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72172050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72172090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72173041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72173049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72173050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72173090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ŤAHANÝ DRÔT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72179050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72179090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72230011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72230019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72230091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72230099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72292000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ŤAHANÝ DRÔT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72299020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72299050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ŤAHANÝ DRÔT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72299090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PÁS VALCOVANÝ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ZA STUDENA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72112330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72112900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72119080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72202021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72202029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PÁS VALCOVANÝ ZA STUDENA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72202041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lastRenderedPageBreak/>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72202049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72202081</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72202089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PÁS VALCOVANÝ ZA STUDENA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72209020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72209080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PÁS VALCOVANÝ ZA STUDENA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72262000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PÁS VALCOVANÝ ZA STUDENA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72269200</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rPr>
                <w:rFonts w:ascii="Calibri" w:eastAsia="Times New Roman" w:hAnsi="Calibri" w:cs="Calibri"/>
                <w:color w:val="000000"/>
              </w:rPr>
            </w:pP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KOVANÉ </w:t>
            </w:r>
          </w:p>
        </w:tc>
      </w:tr>
      <w:tr w:rsidR="00F265F4" w:rsidRPr="003D06E3" w:rsidTr="00E06F9A">
        <w:tc>
          <w:tcPr>
            <w:tcW w:w="5320" w:type="dxa"/>
            <w:tcBorders>
              <w:top w:val="nil"/>
              <w:left w:val="single" w:sz="4" w:space="0" w:color="auto"/>
              <w:bottom w:val="nil"/>
              <w:right w:val="nil"/>
            </w:tcBorders>
            <w:shd w:val="clear" w:color="auto" w:fill="auto"/>
            <w:vAlign w:val="bottom"/>
          </w:tcPr>
          <w:p w:rsidR="00F265F4" w:rsidRPr="003D06E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b/>
                <w:bCs/>
                <w:color w:val="000000"/>
              </w:rPr>
            </w:pPr>
            <w:r w:rsidRPr="003D06E3">
              <w:rPr>
                <w:rFonts w:ascii="Calibri" w:hAnsi="Calibri"/>
                <w:b/>
                <w:color w:val="000000"/>
              </w:rPr>
              <w:t xml:space="preserve">POLOVÝROBKY </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72071190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72071290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72071919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72072039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72072059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72189919</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72189980</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72249018</w:t>
            </w:r>
          </w:p>
        </w:tc>
      </w:tr>
      <w:tr w:rsidR="00F265F4" w:rsidRPr="003D06E3" w:rsidTr="00223553">
        <w:tc>
          <w:tcPr>
            <w:tcW w:w="5320" w:type="dxa"/>
            <w:tcBorders>
              <w:top w:val="nil"/>
              <w:left w:val="single" w:sz="4" w:space="0" w:color="auto"/>
              <w:bottom w:val="nil"/>
              <w:right w:val="nil"/>
            </w:tcBorders>
            <w:shd w:val="clear" w:color="auto" w:fill="auto"/>
            <w:vAlign w:val="bottom"/>
            <w:hideMark/>
          </w:tcPr>
          <w:p w:rsidR="00F265F4" w:rsidRPr="003D06E3" w:rsidRDefault="00F265F4" w:rsidP="00F265F4">
            <w:pPr>
              <w:spacing w:after="0" w:line="240" w:lineRule="auto"/>
              <w:rPr>
                <w:rFonts w:ascii="Calibri" w:eastAsia="Times New Roman" w:hAnsi="Calibri" w:cs="Calibri"/>
                <w:color w:val="000000"/>
              </w:rPr>
            </w:pPr>
            <w:r w:rsidRPr="003D06E3">
              <w:rPr>
                <w:rFonts w:ascii="Calibri" w:hAnsi="Calibri"/>
                <w:color w:val="000000"/>
              </w:rPr>
              <w:t xml:space="preserve">KOVANÉ POLOVÝROBKY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3D06E3" w:rsidRDefault="00F265F4" w:rsidP="00F265F4">
            <w:pPr>
              <w:spacing w:after="0" w:line="240" w:lineRule="auto"/>
              <w:jc w:val="center"/>
              <w:rPr>
                <w:rFonts w:ascii="Calibri" w:eastAsia="Times New Roman" w:hAnsi="Calibri" w:cs="Calibri"/>
                <w:color w:val="000000"/>
              </w:rPr>
            </w:pPr>
            <w:r w:rsidRPr="003D06E3">
              <w:rPr>
                <w:rFonts w:ascii="Calibri" w:hAnsi="Calibri"/>
                <w:color w:val="000000"/>
              </w:rPr>
              <w:t>72249090</w:t>
            </w:r>
          </w:p>
        </w:tc>
      </w:tr>
    </w:tbl>
    <w:p w:rsidR="00F265F4" w:rsidRPr="003D06E3" w:rsidRDefault="00F265F4" w:rsidP="00CF773E">
      <w:pPr>
        <w:spacing w:line="240" w:lineRule="auto"/>
        <w:ind w:left="708" w:hanging="356"/>
        <w:jc w:val="both"/>
        <w:rPr>
          <w:rFonts w:ascii="Times New Roman" w:hAnsi="Times New Roman" w:cs="Times New Roman"/>
          <w:sz w:val="24"/>
          <w:szCs w:val="24"/>
        </w:rPr>
      </w:pPr>
    </w:p>
    <w:sectPr w:rsidR="00F265F4" w:rsidRPr="003D06E3"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2561F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561FF"/>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06E3"/>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sk-SK"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BD071-2587-4CBB-A374-82FE52951E4D}">
  <ds:schemaRefs>
    <ds:schemaRef ds:uri="http://schemas.openxmlformats.org/officeDocument/2006/bibliography"/>
  </ds:schemaRefs>
</ds:datastoreItem>
</file>

<file path=customXml/itemProps2.xml><?xml version="1.0" encoding="utf-8"?>
<ds:datastoreItem xmlns:ds="http://schemas.openxmlformats.org/officeDocument/2006/customXml" ds:itemID="{0CF7D800-57ED-4668-96D7-143DE13B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7192</Words>
  <Characters>41000</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2018-03-27T03:16:00Z</dcterms:modified>
</cp:coreProperties>
</file>