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EC20" w14:textId="77777777" w:rsidR="00674977" w:rsidRPr="00674977" w:rsidRDefault="00E0099A" w:rsidP="00674977">
      <w:pPr>
        <w:pStyle w:val="Nvrh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                                </w:t>
      </w:r>
    </w:p>
    <w:p w14:paraId="577156AC" w14:textId="656991C7" w:rsidR="002818CB" w:rsidRPr="00E86B8F" w:rsidRDefault="002818CB" w:rsidP="004B3B3E">
      <w:pPr>
        <w:pStyle w:val="Nvrh"/>
        <w:jc w:val="both"/>
        <w:rPr>
          <w:rFonts w:ascii="Arial" w:hAnsi="Arial" w:cs="Arial"/>
          <w:sz w:val="22"/>
          <w:szCs w:val="22"/>
        </w:rPr>
      </w:pPr>
    </w:p>
    <w:p w14:paraId="3216F687" w14:textId="77777777" w:rsidR="002818CB" w:rsidRPr="000A4D02" w:rsidRDefault="002818CB" w:rsidP="002818CB">
      <w:pPr>
        <w:pStyle w:val="VYHLKA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ROZPORZĄDZENIE</w:t>
      </w:r>
    </w:p>
    <w:p w14:paraId="35FC5E0E" w14:textId="40415744" w:rsidR="002818CB" w:rsidRPr="000A4D02" w:rsidRDefault="002818CB" w:rsidP="002818CB">
      <w:pPr>
        <w:pStyle w:val="nadpisvyhlk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z............</w:t>
      </w:r>
    </w:p>
    <w:p w14:paraId="2DB0FDBA" w14:textId="77777777" w:rsidR="002818CB" w:rsidRPr="000A4D02" w:rsidRDefault="002818CB" w:rsidP="002818CB">
      <w:pPr>
        <w:pStyle w:val="nadpisvyhlky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</w:rPr>
        <w:t xml:space="preserve">w sprawie beztytoniowych saszetek nikotynowych </w:t>
      </w:r>
    </w:p>
    <w:p w14:paraId="7A029CB6" w14:textId="77777777" w:rsidR="002818CB" w:rsidRPr="000A4D02" w:rsidRDefault="002818CB" w:rsidP="002818CB">
      <w:pPr>
        <w:pStyle w:val="Ministerstv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Zgodnie z art. 19 ust. 4 ustawy nr 110/1997 Coll. o środkach spożywczych i wyrobach tytoniowych oraz o zmianach niektórych powiązanych ustaw, zmienionej ustawą nr 174/2021 Coll. (zwana dalej „ustawą”) Ministerstwo Zdrowia określa, co następuje:</w:t>
      </w:r>
    </w:p>
    <w:p w14:paraId="5142F1A5" w14:textId="071ACA53" w:rsidR="002818CB" w:rsidRPr="000A4D02" w:rsidRDefault="00F22783" w:rsidP="002818CB">
      <w:pPr>
        <w:keepNext/>
        <w:keepLines/>
        <w:spacing w:after="200"/>
        <w:jc w:val="center"/>
        <w:outlineLvl w:val="5"/>
        <w:rPr>
          <w:rFonts w:cs="Arial"/>
          <w:szCs w:val="22"/>
        </w:rPr>
      </w:pPr>
      <w:r>
        <w:t xml:space="preserve">Artykuł </w:t>
      </w:r>
      <w:r w:rsidR="002818CB" w:rsidRPr="000A4D02">
        <w:rPr>
          <w:rFonts w:cs="Arial"/>
          <w:color w:val="2B579A"/>
          <w:shd w:val="clear" w:color="auto" w:fill="E6E6E6"/>
        </w:rPr>
        <w:fldChar w:fldCharType="begin"/>
      </w:r>
      <w:r w:rsidR="002818CB" w:rsidRPr="000A4D02">
        <w:rPr>
          <w:rFonts w:cs="Arial"/>
        </w:rPr>
        <w:instrText xml:space="preserve"> SEQ § \* ARABIC </w:instrText>
      </w:r>
      <w:r w:rsidR="002818CB" w:rsidRPr="000A4D02">
        <w:rPr>
          <w:rFonts w:cs="Arial"/>
          <w:color w:val="2B579A"/>
          <w:shd w:val="clear" w:color="auto" w:fill="E6E6E6"/>
        </w:rPr>
        <w:fldChar w:fldCharType="separate"/>
      </w:r>
      <w:r w:rsidR="001E421B">
        <w:rPr>
          <w:rFonts w:cs="Arial"/>
        </w:rPr>
        <w:t>1</w:t>
      </w:r>
      <w:r w:rsidR="002818CB" w:rsidRPr="000A4D02">
        <w:rPr>
          <w:rFonts w:cs="Arial"/>
          <w:color w:val="2B579A"/>
          <w:shd w:val="clear" w:color="auto" w:fill="E6E6E6"/>
        </w:rPr>
        <w:fldChar w:fldCharType="end"/>
      </w:r>
    </w:p>
    <w:p w14:paraId="103D26C7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rFonts w:cs="Arial"/>
          <w:b/>
          <w:szCs w:val="22"/>
        </w:rPr>
      </w:pPr>
      <w:r>
        <w:rPr>
          <w:b/>
        </w:rPr>
        <w:t>Przedmiot</w:t>
      </w:r>
    </w:p>
    <w:p w14:paraId="15055FFC" w14:textId="77777777" w:rsidR="002818CB" w:rsidRPr="000A4D02" w:rsidRDefault="002818CB" w:rsidP="002818CB">
      <w:pPr>
        <w:spacing w:before="240"/>
        <w:ind w:firstLine="425"/>
        <w:outlineLvl w:val="5"/>
        <w:rPr>
          <w:rFonts w:cs="Arial"/>
          <w:szCs w:val="22"/>
        </w:rPr>
      </w:pPr>
      <w:r>
        <w:t xml:space="preserve">Niniejsze rozporządzenie reguluje </w:t>
      </w:r>
    </w:p>
    <w:p w14:paraId="0A400929" w14:textId="1FACD743" w:rsidR="002818CB" w:rsidRPr="000A4D02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>wymogi dotyczące składu, wyglądu, jakości i cech beztytoniowych saszetek nikotynowych (zwanych dalej „saszetką nikotynową”);</w:t>
      </w:r>
    </w:p>
    <w:p w14:paraId="55AC2FBA" w14:textId="611E962B" w:rsidR="002818CB" w:rsidRPr="002A2897" w:rsidRDefault="002818CB" w:rsidP="37434F36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</w:rPr>
      </w:pPr>
      <w:r>
        <w:t>etykietowanie saszetek nikotynowych, z uwzględnieniem elementów i cech zakazanych; oraz</w:t>
      </w:r>
    </w:p>
    <w:p w14:paraId="49AFD780" w14:textId="77777777" w:rsidR="004B23FB" w:rsidRDefault="002818CB" w:rsidP="0065366F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rFonts w:cs="Arial"/>
          <w:szCs w:val="22"/>
        </w:rPr>
      </w:pPr>
      <w:r>
        <w:t>metoda, terminy i zakres obowiązku powiadamiania producentów i importerów saszetek nikotynowych.</w:t>
      </w:r>
    </w:p>
    <w:p w14:paraId="79EB16AC" w14:textId="77777777" w:rsidR="0065366F" w:rsidRPr="0065366F" w:rsidRDefault="0065366F" w:rsidP="0065366F">
      <w:pPr>
        <w:keepNext/>
        <w:keepLines/>
        <w:spacing w:after="200"/>
        <w:outlineLvl w:val="4"/>
        <w:rPr>
          <w:szCs w:val="22"/>
        </w:rPr>
      </w:pPr>
    </w:p>
    <w:p w14:paraId="2646743E" w14:textId="244490DE" w:rsidR="4A77F215" w:rsidRDefault="4A77F215" w:rsidP="37434F36">
      <w:pPr>
        <w:keepNext/>
        <w:spacing w:after="200"/>
        <w:jc w:val="center"/>
        <w:outlineLvl w:val="4"/>
      </w:pPr>
      <w:r>
        <w:t>Artykuł 2</w:t>
      </w:r>
    </w:p>
    <w:p w14:paraId="6CF79FBC" w14:textId="77777777" w:rsidR="004B23FB" w:rsidRDefault="004B23FB" w:rsidP="002818CB">
      <w:pPr>
        <w:keepNext/>
        <w:keepLines/>
        <w:spacing w:after="200"/>
        <w:jc w:val="center"/>
        <w:outlineLvl w:val="4"/>
        <w:rPr>
          <w:b/>
          <w:bCs/>
          <w:szCs w:val="22"/>
        </w:rPr>
      </w:pPr>
      <w:r>
        <w:rPr>
          <w:b/>
        </w:rPr>
        <w:t xml:space="preserve">Wymagania dotyczące jakości i składu saszetek nikotynowych </w:t>
      </w:r>
    </w:p>
    <w:p w14:paraId="72B7D1E6" w14:textId="77777777" w:rsidR="00DA015B" w:rsidRPr="00DA015B" w:rsidRDefault="00DA015B" w:rsidP="00DA015B">
      <w:pPr>
        <w:keepNext/>
        <w:keepLines/>
        <w:spacing w:after="200"/>
        <w:outlineLvl w:val="4"/>
        <w:rPr>
          <w:szCs w:val="22"/>
        </w:rPr>
      </w:pPr>
      <w:r>
        <w:t xml:space="preserve">(1) Saszetki nikotynowe mogą zawierać wyłącznie nikotynę lub sól nikotynową oraz substancje, które w postaci doustnej, skórnej lub inhalacyjnej nie stwarzają zagrożenia dla zdrowia ludzkiego w stosowanym stężeniu, gdy są stosowane zgodnie z instrukcją użytkowania. </w:t>
      </w:r>
    </w:p>
    <w:p w14:paraId="10FC6642" w14:textId="73BC7B4D" w:rsidR="002818CB" w:rsidRPr="004B23FB" w:rsidRDefault="002818CB" w:rsidP="0A8B8956">
      <w:pPr>
        <w:tabs>
          <w:tab w:val="left" w:pos="567"/>
        </w:tabs>
        <w:spacing w:before="120"/>
        <w:outlineLvl w:val="6"/>
      </w:pPr>
      <w:bookmarkStart w:id="0" w:name="_Hlk116284105"/>
      <w:r>
        <w:t xml:space="preserve">(2) Jedynie dodatki wymienione w części B załącznika II do rozporządzenia Parlamentu Europejskiego i Rady (WE) nr 1333/2008 z dnia 16 grudnia 2008 r. w sprawie dodatków do żywności, ze zmianami, mogą być stosowane jako dodatki w saszetkach nikotynowych.  </w:t>
      </w:r>
      <w:bookmarkStart w:id="1" w:name="_Hlk121297090"/>
      <w:r>
        <w:t>Składniki inne niż wymienione w wykazie zgodnie z sekcją 5 ust. 2 mogą być zawarte w saszetkach nikotynowych w śladowych ilościach tylko wtedy, gdy technicznie niemożliwe jest uniknięcie obecności takich śladów podczas produkcji saszetek nikotynowych.</w:t>
      </w:r>
      <w:bookmarkEnd w:id="0"/>
      <w:bookmarkEnd w:id="1"/>
      <w:r>
        <w:t xml:space="preserve">  </w:t>
      </w:r>
    </w:p>
    <w:p w14:paraId="3DEBB5A3" w14:textId="62616507" w:rsidR="002818CB" w:rsidRPr="004B23FB" w:rsidRDefault="002818CB" w:rsidP="002818CB">
      <w:pPr>
        <w:tabs>
          <w:tab w:val="left" w:pos="426"/>
          <w:tab w:val="left" w:pos="567"/>
        </w:tabs>
        <w:spacing w:before="120"/>
        <w:ind w:firstLine="142"/>
        <w:outlineLvl w:val="6"/>
        <w:rPr>
          <w:szCs w:val="22"/>
        </w:rPr>
      </w:pPr>
      <w:r>
        <w:t xml:space="preserve">(3) Nie wolno dodawać do saszetek nikotynowych jako oddzielnych substancji:  </w:t>
      </w:r>
    </w:p>
    <w:p w14:paraId="16A408E2" w14:textId="77777777" w:rsidR="002818CB" w:rsidRPr="004B23FB" w:rsidRDefault="002818CB" w:rsidP="00E33088">
      <w:pPr>
        <w:spacing w:after="60"/>
        <w:ind w:left="284"/>
        <w:outlineLvl w:val="8"/>
        <w:rPr>
          <w:szCs w:val="22"/>
        </w:rPr>
      </w:pPr>
      <w:r>
        <w:t>a) witamin</w:t>
      </w:r>
      <w:r w:rsidR="008573B0" w:rsidRPr="00D1692B">
        <w:rPr>
          <w:rStyle w:val="FootnoteReference"/>
          <w:szCs w:val="22"/>
        </w:rPr>
        <w:footnoteReference w:id="1"/>
      </w:r>
      <w:r>
        <w:rPr>
          <w:vertAlign w:val="superscript"/>
        </w:rPr>
        <w:t>)</w:t>
      </w:r>
      <w:r>
        <w:t>, minerałów</w:t>
      </w:r>
      <w:r>
        <w:rPr>
          <w:vertAlign w:val="superscript"/>
        </w:rPr>
        <w:t>1)</w:t>
      </w:r>
      <w:r>
        <w:t xml:space="preserve"> lub innych składników, które sprawiają wrażenie, że są korzystne dla zdrowia lub stwarzają mniejsze ryzyko dla zdrowia,</w:t>
      </w:r>
    </w:p>
    <w:p w14:paraId="2DF57156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lastRenderedPageBreak/>
        <w:t>b) substancji uzależniających</w:t>
      </w:r>
      <w:r w:rsidR="00CA5379" w:rsidRPr="00C573D2">
        <w:rPr>
          <w:rStyle w:val="FootnoteReference"/>
          <w:szCs w:val="22"/>
        </w:rPr>
        <w:footnoteReference w:id="2"/>
      </w:r>
      <w:r>
        <w:rPr>
          <w:vertAlign w:val="superscript"/>
        </w:rPr>
        <w:t>)</w:t>
      </w:r>
      <w:r>
        <w:t>, z wyjątkiem soli nikotynowych i nikotynowych,</w:t>
      </w:r>
    </w:p>
    <w:p w14:paraId="3C09C2AA" w14:textId="77777777" w:rsidR="002818CB" w:rsidRPr="004B23FB" w:rsidRDefault="008573B0" w:rsidP="002818CB">
      <w:pPr>
        <w:tabs>
          <w:tab w:val="left" w:pos="709"/>
        </w:tabs>
        <w:spacing w:after="60"/>
        <w:ind w:left="709" w:hanging="425"/>
        <w:outlineLvl w:val="8"/>
        <w:rPr>
          <w:szCs w:val="22"/>
        </w:rPr>
      </w:pPr>
      <w:r>
        <w:t>c) kofeiny, tauryny lub inne stymulantów związanych z energią i witalnością,</w:t>
      </w:r>
    </w:p>
    <w:p w14:paraId="5D7DC61A" w14:textId="77777777" w:rsidR="002818CB" w:rsidRPr="004B23FB" w:rsidRDefault="008573B0" w:rsidP="00E33088">
      <w:pPr>
        <w:spacing w:after="60"/>
        <w:ind w:left="284"/>
        <w:outlineLvl w:val="8"/>
        <w:rPr>
          <w:szCs w:val="22"/>
        </w:rPr>
      </w:pPr>
      <w:r>
        <w:t>d) składników rakotwórczych, mutagennych lub działających szkodliwie na rozrodczość, z wyjątkiem soli nikotynowych i nikotynowych, oraz</w:t>
      </w:r>
    </w:p>
    <w:p w14:paraId="3D25C530" w14:textId="77777777" w:rsidR="002818CB" w:rsidRPr="004B23FB" w:rsidRDefault="008573B0" w:rsidP="002818CB">
      <w:pPr>
        <w:tabs>
          <w:tab w:val="left" w:pos="709"/>
        </w:tabs>
        <w:spacing w:after="200"/>
        <w:ind w:left="709" w:hanging="425"/>
        <w:outlineLvl w:val="8"/>
        <w:rPr>
          <w:szCs w:val="22"/>
        </w:rPr>
      </w:pPr>
      <w:r>
        <w:t xml:space="preserve">e) substancji wymienionych w załączniku 1 do niniejszego rozporządzenia. </w:t>
      </w:r>
    </w:p>
    <w:p w14:paraId="6D0A91EF" w14:textId="6018FA44" w:rsidR="004B23FB" w:rsidRDefault="004B23FB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(4) Opakowanie jednostkowe nie może zawierać więcej niż 240 mg nikotyny i musi zawierać co najmniej 20 dawek saszetek nikotynowych.  Zgodnie z § 12k ust. 2 lit. c) ustawy całkowitą zawartość nikotyny w produkcie podaje się w miligramach. </w:t>
      </w:r>
    </w:p>
    <w:p w14:paraId="498D7350" w14:textId="77777777" w:rsidR="00CF18E4" w:rsidRDefault="00CF18E4" w:rsidP="00F073A0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592E2FC8" w14:textId="3216084C" w:rsidR="00AF277F" w:rsidRDefault="00CF18E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(5)  Jedna dawka saszetki nikotynowej może zawierać maksymalnie 12 mg nikotyny. </w:t>
      </w:r>
    </w:p>
    <w:p w14:paraId="12491737" w14:textId="77777777" w:rsidR="00161C74" w:rsidRPr="005F74CD" w:rsidRDefault="00161C74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</w:p>
    <w:p w14:paraId="7F5A9269" w14:textId="54E65457" w:rsidR="00AF277F" w:rsidRDefault="0E7F4BA9" w:rsidP="0A8B8956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 xml:space="preserve">(6) Dawka saszetki nikotynowej, zgodnie z art. 12k ust. 2 lit. d) ustawy, składa się z: </w:t>
      </w:r>
    </w:p>
    <w:p w14:paraId="191B7F03" w14:textId="4662BC80" w:rsidR="00AF277F" w:rsidRPr="006233C2" w:rsidRDefault="778C34B6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>a) indywidualnie zapakowanej saszetki nikotynowej zawartej w opakowaniu jednostkowym, która nie stanowi poważnego zagrożenia</w:t>
      </w:r>
      <w:r w:rsidR="00CF18E4" w:rsidRPr="006233C2">
        <w:rPr>
          <w:rStyle w:val="FootnoteReference"/>
        </w:rPr>
        <w:footnoteReference w:id="3"/>
      </w:r>
      <w:r>
        <w:rPr>
          <w:vertAlign w:val="superscript"/>
        </w:rPr>
        <w:t>)</w:t>
      </w:r>
      <w:r>
        <w:t xml:space="preserve"> dla zdrowia ludzkiego, oraz</w:t>
      </w:r>
    </w:p>
    <w:p w14:paraId="31A0356F" w14:textId="4948D6A7" w:rsidR="00AF277F" w:rsidRPr="006233C2" w:rsidRDefault="38BF9E19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</w:pPr>
      <w:r>
        <w:t>b) opakowania jadalnego lub niejadalnego bezpiecznego dla zdrowia ludzkiego zgodnie z wymogami art. 3 ust. 1 rozporządzenia (WE) nr 1935/2004 Parlamentu Europejskiego i Rady z dnia 27 października 2004 r. w sprawie materiałów i wyrobów przeznaczonych do kontaktu z żywnością i uchylającego dyrektywy 80/590/EWG i 89/109/EWG oraz wymogi art. 4 lit. a) i e) w części dotyczącej wymogów dotyczących składu rozporządzenia Komisji (UE) nr 10/2011 z dnia 14 stycznia 2011 r. w sprawie materiałów i wyrobów z tworzyw sztucznych przeznaczonych do kontaktu z żywnością oraz wymogów sekcji 3 ust. 1 rozporządzenia nr 38/2001 Coll. w sprawie wymogów higieny dotyczących produktów przeznaczonych do kontaktu z żywnością i posiłkami, ze późniejszymi zmianami, oraz</w:t>
      </w:r>
    </w:p>
    <w:p w14:paraId="528D96B5" w14:textId="6F547ACA" w:rsidR="00AF277F" w:rsidRDefault="32C614C4" w:rsidP="655105DF">
      <w:pPr>
        <w:overflowPunct w:val="0"/>
        <w:autoSpaceDE w:val="0"/>
        <w:autoSpaceDN w:val="0"/>
        <w:adjustRightInd w:val="0"/>
        <w:spacing w:after="60"/>
        <w:textAlignment w:val="baseline"/>
        <w:outlineLvl w:val="7"/>
        <w:rPr>
          <w:highlight w:val="yellow"/>
        </w:rPr>
      </w:pPr>
      <w:r>
        <w:t>c) zamkniętej mieszaniny chemicznej zawierającej nikotynę lub sól nikotynową zgodnie z odpowiednimi przepisami Unii Europejskiej</w:t>
      </w:r>
      <w:r w:rsidR="00CF18E4" w:rsidRPr="006233C2">
        <w:rPr>
          <w:rStyle w:val="FootnoteReference"/>
        </w:rPr>
        <w:footnoteReference w:id="4"/>
      </w:r>
      <w:r>
        <w:rPr>
          <w:vertAlign w:val="superscript"/>
        </w:rPr>
        <w:t>)</w:t>
      </w:r>
      <w:r>
        <w:t>.</w:t>
      </w:r>
    </w:p>
    <w:p w14:paraId="67E8A9A6" w14:textId="77777777" w:rsidR="000C2050" w:rsidRDefault="000C2050" w:rsidP="00AD4BC5">
      <w:pPr>
        <w:tabs>
          <w:tab w:val="left" w:pos="709"/>
        </w:tabs>
        <w:spacing w:after="200"/>
        <w:outlineLvl w:val="8"/>
      </w:pPr>
    </w:p>
    <w:p w14:paraId="2C8A5CBE" w14:textId="587725BD" w:rsid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</w:pPr>
      <w:r>
        <w:t>Artykuł 3</w:t>
      </w:r>
    </w:p>
    <w:p w14:paraId="5314B5A5" w14:textId="77777777" w:rsidR="004B23FB" w:rsidRPr="004B23FB" w:rsidRDefault="004B23FB" w:rsidP="004B23FB">
      <w:pPr>
        <w:tabs>
          <w:tab w:val="left" w:pos="709"/>
        </w:tabs>
        <w:spacing w:after="200"/>
        <w:ind w:left="709" w:hanging="425"/>
        <w:jc w:val="center"/>
        <w:outlineLvl w:val="8"/>
        <w:rPr>
          <w:b/>
          <w:bCs/>
          <w:color w:val="auto"/>
          <w:szCs w:val="22"/>
        </w:rPr>
      </w:pPr>
      <w:r>
        <w:rPr>
          <w:b/>
          <w:color w:val="auto"/>
        </w:rPr>
        <w:t xml:space="preserve">Wygląd i właściwości saszetek nikotynowych </w:t>
      </w:r>
    </w:p>
    <w:p w14:paraId="5C8965DD" w14:textId="7323FD1E" w:rsidR="00942728" w:rsidRDefault="002818CB" w:rsidP="0A8B8956">
      <w:pPr>
        <w:numPr>
          <w:ilvl w:val="3"/>
          <w:numId w:val="5"/>
        </w:numPr>
        <w:tabs>
          <w:tab w:val="clear" w:pos="1440"/>
          <w:tab w:val="left" w:pos="426"/>
        </w:tabs>
        <w:spacing w:after="200"/>
        <w:ind w:left="0" w:firstLine="0"/>
        <w:outlineLvl w:val="8"/>
      </w:pPr>
      <w:r>
        <w:t xml:space="preserve">Opakowanie jednostkowe i każde opakowanie zewnętrzne woreczka nikotynowego nie może przypominać żywności, produktu kosmetycznego ani zabawki ze względu na kształt, rozmiar, kolor, rysunek, naklejkę lub opis. Opakowanie zewnętrzne saszetki nikotynowej to </w:t>
      </w:r>
      <w:r>
        <w:lastRenderedPageBreak/>
        <w:t xml:space="preserve">opakowanie, w którym saszetki nikotynowe są wprowadzane do obrotu i które zawiera opakowanie jednostkowe lub zestaw opakowań jednostkowych;  opakowania przezroczyste nie są uważane za opakowanie zewnętrzne.  </w:t>
      </w:r>
    </w:p>
    <w:p w14:paraId="1E15B0D8" w14:textId="6EC2B344" w:rsidR="00CF18E4" w:rsidRDefault="00CF18E4" w:rsidP="0085060D">
      <w:pPr>
        <w:tabs>
          <w:tab w:val="left" w:pos="0"/>
          <w:tab w:val="left" w:pos="567"/>
        </w:tabs>
        <w:spacing w:after="200"/>
        <w:outlineLvl w:val="8"/>
        <w:rPr>
          <w:szCs w:val="22"/>
        </w:rPr>
      </w:pPr>
      <w:r>
        <w:t xml:space="preserve">(2) Opakowanie jednostkowe saszetki nikotynowej, co oznacza najmniejsze opakowanie jednostkowe wprowadzone do obrotu, musi być chronione przed niepożądanym obchodzeniem się, które w szczególności naruszałoby integralność produktu i byłoby sprzeczne z przeznaczeniem saszetek nikotynowych, w szczególności przed obchodzeniem się z opakowaniami jednostkowymi przez dzieci. </w:t>
      </w:r>
    </w:p>
    <w:p w14:paraId="412E14FA" w14:textId="20F7D572" w:rsidR="00B2014F" w:rsidRPr="004B23FB" w:rsidRDefault="004B23FB" w:rsidP="002818CB">
      <w:pPr>
        <w:keepNext/>
        <w:keepLines/>
        <w:spacing w:before="240" w:after="200"/>
        <w:jc w:val="center"/>
        <w:outlineLvl w:val="5"/>
      </w:pPr>
      <w:r>
        <w:t>Artykuł 4</w:t>
      </w:r>
    </w:p>
    <w:p w14:paraId="1FE791BD" w14:textId="77777777" w:rsidR="002818CB" w:rsidRPr="00F435B9" w:rsidRDefault="002818CB" w:rsidP="00F435B9">
      <w:pPr>
        <w:keepNext/>
        <w:keepLines/>
        <w:spacing w:before="240" w:after="200"/>
        <w:jc w:val="center"/>
        <w:outlineLvl w:val="5"/>
        <w:rPr>
          <w:szCs w:val="22"/>
        </w:rPr>
      </w:pPr>
      <w:r>
        <w:rPr>
          <w:b/>
        </w:rPr>
        <w:t>Etykietowanie opakowań jednostkowych i opakowań zewnętrznych</w:t>
      </w:r>
    </w:p>
    <w:p w14:paraId="11CECE1D" w14:textId="77777777" w:rsidR="002818CB" w:rsidRPr="000A4D02" w:rsidRDefault="002818CB" w:rsidP="00567800">
      <w:pPr>
        <w:numPr>
          <w:ilvl w:val="0"/>
          <w:numId w:val="7"/>
        </w:numPr>
        <w:tabs>
          <w:tab w:val="clear" w:pos="785"/>
          <w:tab w:val="left" w:pos="567"/>
        </w:tabs>
        <w:overflowPunct w:val="0"/>
        <w:autoSpaceDE w:val="0"/>
        <w:autoSpaceDN w:val="0"/>
        <w:adjustRightInd w:val="0"/>
        <w:spacing w:before="120" w:after="60"/>
        <w:ind w:firstLine="142"/>
        <w:textAlignment w:val="baseline"/>
        <w:outlineLvl w:val="6"/>
        <w:rPr>
          <w:szCs w:val="22"/>
        </w:rPr>
      </w:pPr>
      <w:r>
        <w:t xml:space="preserve">Informacja na podstawie § 12k ust. 2 ustawy </w:t>
      </w:r>
    </w:p>
    <w:p w14:paraId="45C5E8D4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>jest drukowana w sposób trwały;</w:t>
      </w:r>
    </w:p>
    <w:p w14:paraId="5481F2FE" w14:textId="77777777" w:rsidR="002818CB" w:rsidRPr="000A4D02" w:rsidRDefault="00807A3E" w:rsidP="00567800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jc w:val="left"/>
        <w:textAlignment w:val="baseline"/>
        <w:outlineLvl w:val="7"/>
        <w:rPr>
          <w:szCs w:val="22"/>
        </w:rPr>
      </w:pPr>
      <w:r>
        <w:t>jest widoczna; oraz</w:t>
      </w:r>
    </w:p>
    <w:p w14:paraId="1853DC48" w14:textId="77777777" w:rsidR="002818CB" w:rsidRPr="000173C2" w:rsidRDefault="002818CB" w:rsidP="000173C2">
      <w:pPr>
        <w:numPr>
          <w:ilvl w:val="1"/>
          <w:numId w:val="7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200"/>
        <w:ind w:left="709"/>
        <w:jc w:val="left"/>
        <w:textAlignment w:val="baseline"/>
        <w:outlineLvl w:val="7"/>
        <w:rPr>
          <w:szCs w:val="22"/>
        </w:rPr>
      </w:pPr>
      <w:r>
        <w:t>nie może być zasłonięta przy wprowadzaniu do obrotu.</w:t>
      </w:r>
    </w:p>
    <w:p w14:paraId="6436801C" w14:textId="77777777" w:rsidR="004B7BA7" w:rsidRPr="00B2014F" w:rsidRDefault="002818CB" w:rsidP="00B2014F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>(2) Opakowanie opakowania jednostkowego i opakowania zewnętrznego musi być oznaczone nazwą marki, jak również nazwą podtypu</w:t>
      </w:r>
      <w:r w:rsidR="00876A49">
        <w:rPr>
          <w:rStyle w:val="FootnoteReference"/>
          <w:szCs w:val="22"/>
        </w:rPr>
        <w:footnoteReference w:id="5"/>
      </w:r>
      <w:r>
        <w:rPr>
          <w:vertAlign w:val="superscript"/>
        </w:rPr>
        <w:t>)</w:t>
      </w:r>
      <w:r>
        <w:t xml:space="preserve">, jeśli istnieje dla danego produktu.  Nazwa marki może obejmować tylko jeden wiersz.  Nazwa podtypu musi obejmować tylko jeden wiersz i musi pojawić się bezpośrednio pod nazwą marki.  Wpisany tekst musi przebiegać równolegle do tekstu ostrzeżenia zdrowotnego.  Nazwa podtypu saszetki nikotynowej oznacza nazwę używaną do rozróżniania różnych saszetek nikotynowych o tej samej nazwie.  </w:t>
      </w:r>
    </w:p>
    <w:p w14:paraId="19DD96BA" w14:textId="77777777" w:rsidR="004B7BA7" w:rsidRPr="000A4D02" w:rsidRDefault="00695116" w:rsidP="00695116">
      <w:pPr>
        <w:tabs>
          <w:tab w:val="left" w:pos="567"/>
        </w:tabs>
        <w:spacing w:after="200"/>
        <w:ind w:firstLine="142"/>
        <w:outlineLvl w:val="7"/>
        <w:rPr>
          <w:szCs w:val="22"/>
        </w:rPr>
      </w:pPr>
      <w:r>
        <w:t xml:space="preserve">(3) Na opakowaniu zewnętrznym zawierającym więcej niż jedno opakowanie jednostkowe umieszcza się jednorazowo informację „beztytoniowa saszetka nikotynowa” oraz liczbę opakowań jednostkowych zawartych w opakowaniu zewnętrznym. </w:t>
      </w:r>
    </w:p>
    <w:p w14:paraId="64EC2E44" w14:textId="77777777" w:rsidR="002818CB" w:rsidRPr="000A4D02" w:rsidRDefault="002818CB" w:rsidP="002818CB">
      <w:pPr>
        <w:tabs>
          <w:tab w:val="left" w:pos="567"/>
        </w:tabs>
        <w:spacing w:after="60"/>
        <w:ind w:firstLine="142"/>
        <w:outlineLvl w:val="7"/>
        <w:rPr>
          <w:rFonts w:eastAsia="MS Mincho" w:cs="Arial"/>
          <w:szCs w:val="22"/>
        </w:rPr>
      </w:pPr>
      <w:r>
        <w:t xml:space="preserve">(4) Na opakowaniu jednostkowym i opakowaniu zewnętrznym saszetki nikotynowej umieszcza się:  </w:t>
      </w:r>
    </w:p>
    <w:p w14:paraId="53B7D898" w14:textId="6BC554D7" w:rsidR="002818CB" w:rsidRPr="00876A49" w:rsidRDefault="002818CB" w:rsidP="00567800">
      <w:pPr>
        <w:pStyle w:val="ListParagraph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/>
          <w:sz w:val="22"/>
        </w:rPr>
        <w:t>numer identyfikacyjny produktu, pod którym produkt jest zgłaszany za pośrednictwem wspólnego elektronicznego punktu przekazywania danych</w:t>
      </w:r>
      <w:r>
        <w:rPr>
          <w:rFonts w:ascii="Arial" w:hAnsi="Arial"/>
          <w:sz w:val="22"/>
          <w:vertAlign w:val="superscript"/>
        </w:rPr>
        <w:t>4)</w:t>
      </w:r>
      <w:r>
        <w:rPr>
          <w:rFonts w:ascii="Arial" w:hAnsi="Arial"/>
          <w:sz w:val="22"/>
        </w:rPr>
        <w:t xml:space="preserve">, </w:t>
      </w:r>
    </w:p>
    <w:p w14:paraId="4EFD1CA7" w14:textId="77777777" w:rsidR="002818CB" w:rsidRPr="000A4D02" w:rsidRDefault="002818CB" w:rsidP="00567800">
      <w:pPr>
        <w:pStyle w:val="ListParagraph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/>
          <w:sz w:val="22"/>
        </w:rPr>
        <w:t>zawartość nikotyny w mg na jedną dawkę saszetki nikotynowej,</w:t>
      </w:r>
    </w:p>
    <w:p w14:paraId="5F411FE9" w14:textId="77777777" w:rsidR="002818CB" w:rsidRPr="000A4D02" w:rsidRDefault="002818CB" w:rsidP="00567800">
      <w:pPr>
        <w:pStyle w:val="ListParagraph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liczbę dawek saszetek nikotynowych w opakowaniu jednostkowym,</w:t>
      </w:r>
    </w:p>
    <w:p w14:paraId="60722767" w14:textId="77777777" w:rsidR="002818CB" w:rsidRPr="000A4D02" w:rsidRDefault="002818CB" w:rsidP="00567800">
      <w:pPr>
        <w:pStyle w:val="ListParagraph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/>
          <w:sz w:val="22"/>
        </w:rPr>
        <w:t>datę minimalnej trwałości,</w:t>
      </w:r>
    </w:p>
    <w:p w14:paraId="165E7AA1" w14:textId="77777777" w:rsidR="002818CB" w:rsidRPr="000A4D02" w:rsidRDefault="002818CB" w:rsidP="00567800">
      <w:pPr>
        <w:pStyle w:val="ListParagraph"/>
        <w:numPr>
          <w:ilvl w:val="0"/>
          <w:numId w:val="9"/>
        </w:numPr>
        <w:spacing w:after="60" w:line="276" w:lineRule="auto"/>
        <w:jc w:val="both"/>
        <w:outlineLvl w:val="7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znak graficzny wraz z tekstem „Produkt nie jest przeznaczony dla osób poniżej 18 roku życia.” oraz następujące zdania: „Produkt nie jest przeznaczony dla kobiet w ciąży”, „Produkt nie jest przeznaczony dla kobiet karmiących piersią.” oraz „Chronić przed dziećmi.”,  wygląd etykiety graficznej „Nie stosować przez osoby poniżej 18 roku życia.” jest określony w załączniku 2 do niniejszego rozporządzenia; oraz </w:t>
      </w:r>
    </w:p>
    <w:p w14:paraId="41932EA8" w14:textId="5305C532" w:rsidR="002818CB" w:rsidRPr="00730B4D" w:rsidRDefault="002818CB" w:rsidP="002E2249">
      <w:pPr>
        <w:pStyle w:val="ListParagraph"/>
        <w:numPr>
          <w:ilvl w:val="0"/>
          <w:numId w:val="9"/>
        </w:numPr>
        <w:spacing w:before="240" w:after="200" w:line="276" w:lineRule="auto"/>
        <w:ind w:left="714" w:hanging="357"/>
        <w:jc w:val="both"/>
        <w:outlineLvl w:val="5"/>
        <w:rPr>
          <w:rFonts w:cs="Arial"/>
          <w:szCs w:val="22"/>
        </w:rPr>
      </w:pPr>
      <w:r>
        <w:rPr>
          <w:rFonts w:ascii="Arial" w:hAnsi="Arial"/>
          <w:sz w:val="22"/>
        </w:rPr>
        <w:lastRenderedPageBreak/>
        <w:t>informacji, o której mowa w art. 9 ust. 1 lit. c) rozporządzenia Parlamentu Europejskiego i 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608/2004.</w:t>
      </w:r>
    </w:p>
    <w:p w14:paraId="4671B767" w14:textId="26AA5FF3" w:rsidR="00730B4D" w:rsidRPr="00807A3E" w:rsidRDefault="00730B4D" w:rsidP="77232BB3">
      <w:pPr>
        <w:pStyle w:val="ListParagraph"/>
        <w:keepNext/>
        <w:keepLines/>
        <w:spacing w:before="240" w:after="200" w:line="276" w:lineRule="auto"/>
        <w:ind w:left="720"/>
        <w:jc w:val="center"/>
        <w:outlineLvl w:val="5"/>
        <w:rPr>
          <w:rFonts w:cs="Arial"/>
        </w:rPr>
      </w:pPr>
      <w:r>
        <w:rPr>
          <w:rFonts w:ascii="Arial" w:hAnsi="Arial"/>
          <w:sz w:val="22"/>
        </w:rPr>
        <w:t>Artykuł 5</w:t>
      </w:r>
    </w:p>
    <w:p w14:paraId="1395B221" w14:textId="1F6ADE11" w:rsidR="00592E6D" w:rsidRPr="00592E6D" w:rsidRDefault="476B43A1" w:rsidP="60B80179">
      <w:pPr>
        <w:tabs>
          <w:tab w:val="left" w:pos="567"/>
        </w:tabs>
        <w:spacing w:after="60"/>
        <w:ind w:firstLine="142"/>
        <w:outlineLvl w:val="7"/>
        <w:rPr>
          <w:rFonts w:cs="Arial"/>
        </w:rPr>
      </w:pPr>
      <w:r>
        <w:t xml:space="preserve">(1) Na opakowaniu jednostkowym i opakowaniu zewnętrznym saszetki nikotynowej może być umieszczone pojedyncze oznaczenie kodu kreskowego w kolorze czarnym na białym tle.  Kod kreskowy nie może przedstawiać obrazu, wzoru lub symbolu przypominającego cokolwiek innego niż kod kreskowy. </w:t>
      </w:r>
    </w:p>
    <w:p w14:paraId="70DF48F1" w14:textId="11C4E3B0" w:rsidR="002818CB" w:rsidRPr="000A4D02" w:rsidRDefault="476B43A1" w:rsidP="37434F36">
      <w:pPr>
        <w:tabs>
          <w:tab w:val="left" w:pos="567"/>
        </w:tabs>
        <w:spacing w:after="200"/>
        <w:ind w:firstLine="142"/>
        <w:outlineLvl w:val="7"/>
        <w:rPr>
          <w:rFonts w:cs="Arial"/>
        </w:rPr>
      </w:pPr>
      <w:r>
        <w:t xml:space="preserve">(2) Składniki zawarte w saszetkach nikotynowych muszą być wymienione w porządku malejącym według wagi.  Jeżeli jednym ze składników jest sól nikotynowa, ilość soli nikotynowej zawarta w dawce podaje się w mg.  </w:t>
      </w:r>
    </w:p>
    <w:p w14:paraId="40FE4527" w14:textId="77777777" w:rsidR="00127ACE" w:rsidRPr="00B2014F" w:rsidRDefault="002818CB" w:rsidP="00B2014F">
      <w:pPr>
        <w:tabs>
          <w:tab w:val="left" w:pos="567"/>
          <w:tab w:val="left" w:pos="851"/>
        </w:tabs>
        <w:spacing w:before="120"/>
        <w:ind w:firstLine="142"/>
        <w:outlineLvl w:val="6"/>
        <w:rPr>
          <w:rFonts w:cs="Arial"/>
          <w:szCs w:val="22"/>
        </w:rPr>
      </w:pPr>
      <w:r>
        <w:t xml:space="preserve">(3) Ostrzeżenie zdrowotne oznacza ostrzeżenie dotyczące negatywnego wpływu saszetek nikotynowych na zdrowie człowieka.  Ostrzeżenia zdrowotne na każdym opakowaniu jednostkowym i na opakowaniu zewnętrznym saszetki nikotynowej mają następujące brzmienie:  „Ten produkt zawiera nikotynę i jest wysoce uzależniający.”  Na opakowaniu pod drugim zdaniem nie można umieszczać żadnego innego tekstu, który komentuje, parafrazuje lub w jakikolwiek sposób odnosi się do tego ostrzeżenia zdrowotnego.  </w:t>
      </w:r>
    </w:p>
    <w:p w14:paraId="75AFCFE4" w14:textId="77777777" w:rsidR="002818CB" w:rsidRPr="000A4D02" w:rsidRDefault="002818CB" w:rsidP="002818CB">
      <w:pPr>
        <w:tabs>
          <w:tab w:val="left" w:pos="567"/>
          <w:tab w:val="left" w:pos="851"/>
        </w:tabs>
        <w:spacing w:after="60"/>
        <w:ind w:firstLine="142"/>
        <w:outlineLvl w:val="6"/>
        <w:rPr>
          <w:szCs w:val="22"/>
        </w:rPr>
      </w:pPr>
      <w:r>
        <w:t xml:space="preserve">(4) Ostrzeżenie zdrowotne określone w ust. 3 musi: </w:t>
      </w:r>
    </w:p>
    <w:p w14:paraId="74C75F27" w14:textId="77777777" w:rsidR="002818CB" w:rsidRPr="000A4D02" w:rsidRDefault="00211E08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być umiejscowione równolegle do głównego tekstu dotyczącego obszaru zarezerwowanego dla tego ostrzeżenia,</w:t>
      </w:r>
    </w:p>
    <w:p w14:paraId="1F9A48CA" w14:textId="77777777" w:rsidR="002818CB" w:rsidRPr="000A4D02" w:rsidRDefault="00211E08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być wydrukowane czarną, pogrubioną czcionką Helvetica przy zachowaniu domyślnego odstępu znaków, który wynosi 100 %, i normalnych przestrzeni na białym tle, rozmiar czcionki musi być taki, aby odpowiedni tekst obejmował w jak największym stopniu zarezerwowaną dla niej powierzchnię, </w:t>
      </w:r>
    </w:p>
    <w:p w14:paraId="7CE73D54" w14:textId="77777777" w:rsidR="002818CB" w:rsidRPr="000A4D02" w:rsidRDefault="00211E08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być umieszczone na środku zarezerwowanej dla niego powierzchni,</w:t>
      </w:r>
    </w:p>
    <w:p w14:paraId="4E28B873" w14:textId="77777777" w:rsidR="002818CB" w:rsidRPr="000A4D02" w:rsidRDefault="00211E08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być równoległe do bocznej krawędzi opakowania jednostkowego lub opakowania zewnętrznego w przypadku opakowań kwadratowych i o podobnym kształcie, </w:t>
      </w:r>
    </w:p>
    <w:p w14:paraId="0B38F437" w14:textId="77777777" w:rsidR="002818CB" w:rsidRPr="000A4D02" w:rsidRDefault="002818CB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obejmować 30 % powierzchni opakowania jednostkowego i każdego opakowania zewnętrznego, na którym nadrukowano ostrzeżenie zdrowotne,</w:t>
      </w:r>
    </w:p>
    <w:p w14:paraId="22FD8CB1" w14:textId="77777777" w:rsidR="002818CB" w:rsidRPr="000A4D02" w:rsidRDefault="00211E08" w:rsidP="00567800">
      <w:pPr>
        <w:pStyle w:val="ListParagraph"/>
        <w:numPr>
          <w:ilvl w:val="0"/>
          <w:numId w:val="12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widnieć na powierzchni wraz z nazwą marki i nazwą podtypu, oraz</w:t>
      </w:r>
    </w:p>
    <w:p w14:paraId="740B2A4E" w14:textId="77777777" w:rsidR="002818CB" w:rsidRPr="000A4D02" w:rsidRDefault="002818CB" w:rsidP="00567800">
      <w:pPr>
        <w:pStyle w:val="ListParagraph"/>
        <w:numPr>
          <w:ilvl w:val="0"/>
          <w:numId w:val="12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pozostawać nienaruszone po otwarciu opakowania jednostkowego w zwykły sposób.</w:t>
      </w:r>
    </w:p>
    <w:p w14:paraId="6B62E187" w14:textId="77777777" w:rsidR="002818CB" w:rsidRPr="000A4D02" w:rsidRDefault="002818CB" w:rsidP="002818CB">
      <w:pPr>
        <w:tabs>
          <w:tab w:val="left" w:pos="567"/>
        </w:tabs>
        <w:spacing w:before="120" w:after="60"/>
        <w:ind w:firstLine="142"/>
        <w:outlineLvl w:val="6"/>
        <w:rPr>
          <w:rFonts w:cs="Arial"/>
          <w:szCs w:val="22"/>
        </w:rPr>
      </w:pPr>
      <w:r>
        <w:t xml:space="preserve">(5) Etykieta samego opakowania jednostkowego i każdego zewnętrznego opakowania saszetki nikotynowej nie może zawierać żadnego elementu lub cechy, która </w:t>
      </w:r>
    </w:p>
    <w:p w14:paraId="4B72E729" w14:textId="77777777" w:rsidR="002818CB" w:rsidRPr="000A4D02" w:rsidRDefault="002818CB" w:rsidP="00567800">
      <w:pPr>
        <w:pStyle w:val="ListParagraph"/>
        <w:numPr>
          <w:ilvl w:val="0"/>
          <w:numId w:val="13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promuje saszetkę nikotynową lub zachęca do jej konsumpcji, wywołując mylne wrażenie co do właściwości produktu, jego skutków zdrowotnych, ryzyka i emisji,</w:t>
      </w:r>
    </w:p>
    <w:p w14:paraId="121AF81F" w14:textId="77777777" w:rsidR="002818CB" w:rsidRPr="000A4D02" w:rsidRDefault="002818CB" w:rsidP="006A66EC">
      <w:pPr>
        <w:pStyle w:val="ListParagraph"/>
        <w:numPr>
          <w:ilvl w:val="0"/>
          <w:numId w:val="13"/>
        </w:numPr>
        <w:tabs>
          <w:tab w:val="left" w:pos="993"/>
        </w:tabs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sugeruje, że saszetka nikotynowa jest mniej szkodliwa niż inne produkty, ma działanie witalne, energetyzujące, lecznicze lub odmładzające lub ma cechy produktu </w:t>
      </w:r>
      <w:r>
        <w:rPr>
          <w:rFonts w:ascii="Arial" w:hAnsi="Arial"/>
          <w:sz w:val="22"/>
        </w:rPr>
        <w:lastRenderedPageBreak/>
        <w:t>ekologicznego, jest pochodzenia naturalnego lub ma inne korzyści dla zdrowia lub stylu życia,</w:t>
      </w:r>
    </w:p>
    <w:p w14:paraId="2FAD8A24" w14:textId="77777777" w:rsidR="002818CB" w:rsidRPr="000A4D02" w:rsidRDefault="002818CB" w:rsidP="00567800">
      <w:pPr>
        <w:pStyle w:val="ListParagraph"/>
        <w:numPr>
          <w:ilvl w:val="0"/>
          <w:numId w:val="13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przypomina produkt spożywczy lub kosmetyczny albo zabawkę lub</w:t>
      </w:r>
    </w:p>
    <w:p w14:paraId="2F99487E" w14:textId="77777777" w:rsidR="002818CB" w:rsidRPr="000A4D02" w:rsidRDefault="002818CB" w:rsidP="00567800">
      <w:pPr>
        <w:pStyle w:val="ListParagraph"/>
        <w:numPr>
          <w:ilvl w:val="0"/>
          <w:numId w:val="13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sugeruje, że saszetka nikotynowa ma zwiększoną biodegradowalność lub inne korzyści dla środowiska. </w:t>
      </w:r>
    </w:p>
    <w:p w14:paraId="267ED334" w14:textId="77777777" w:rsidR="000173C2" w:rsidRDefault="002818CB" w:rsidP="002818CB">
      <w:pPr>
        <w:tabs>
          <w:tab w:val="left" w:pos="567"/>
        </w:tabs>
        <w:spacing w:before="120"/>
        <w:ind w:firstLine="142"/>
        <w:outlineLvl w:val="6"/>
        <w:rPr>
          <w:rFonts w:cs="Arial"/>
          <w:szCs w:val="22"/>
        </w:rPr>
      </w:pPr>
      <w:r>
        <w:t xml:space="preserve">(6) Opakowanie jednostkowe i każde opakowanie zewnętrzne saszetki nikotynowej nie może </w:t>
      </w:r>
    </w:p>
    <w:p w14:paraId="6A794C07" w14:textId="77777777" w:rsidR="000173C2" w:rsidRPr="000173C2" w:rsidRDefault="000173C2" w:rsidP="000173C2">
      <w:pPr>
        <w:pStyle w:val="ListParagraph"/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a) sugerować korzyści ekonomicznych, w tym korzyści w postaci drukowanych bonów, ofert rabatowych, bezpłatnej dystrybucji, ofert „dwa w cenie jednego” lub innych podobnych ofert,</w:t>
      </w:r>
    </w:p>
    <w:p w14:paraId="4A669616" w14:textId="77777777" w:rsidR="000173C2" w:rsidRPr="000173C2" w:rsidRDefault="000173C2" w:rsidP="006A66EC">
      <w:pPr>
        <w:pStyle w:val="ListParagraph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  <w:t xml:space="preserve">zawierać jakichkolwiek elementów związanych z substancjami nielegalnymi lub niebezpiecznymi, lub promujących zachowania niepożądane społecznie, lub sugerujących zwiększoną możliwość osiągnięcia sukcesu społecznego lub socjalnego, </w:t>
      </w:r>
    </w:p>
    <w:p w14:paraId="5C98B942" w14:textId="77777777" w:rsidR="000173C2" w:rsidRPr="000173C2" w:rsidRDefault="000173C2" w:rsidP="006A66EC">
      <w:pPr>
        <w:pStyle w:val="ListParagraph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  <w:t xml:space="preserve">zawierać jakichkolwiek elementów, które bezpośrednio lub pośrednio są skierowane do osób małoletnich w oparciu o ich kulturę,  </w:t>
      </w:r>
    </w:p>
    <w:p w14:paraId="6A080F10" w14:textId="77777777" w:rsidR="002818CB" w:rsidRPr="000173C2" w:rsidRDefault="000173C2" w:rsidP="006A66EC">
      <w:pPr>
        <w:pStyle w:val="ListParagraph"/>
        <w:tabs>
          <w:tab w:val="left" w:pos="993"/>
        </w:tabs>
        <w:spacing w:after="200" w:line="276" w:lineRule="auto"/>
        <w:ind w:left="720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d)</w:t>
      </w:r>
      <w:r>
        <w:rPr>
          <w:rFonts w:ascii="Arial" w:hAnsi="Arial"/>
          <w:sz w:val="22"/>
        </w:rPr>
        <w:tab/>
        <w:t xml:space="preserve">zawierać jakiekolwiek elementy w połączeniu ze smakami i aromatami, które przywołują na myśl wyroby cukiernicze lub słodycze, które mogą być szczególnie atrakcyjne dla małoletnich. </w:t>
      </w:r>
    </w:p>
    <w:p w14:paraId="5236BCD7" w14:textId="243D0800" w:rsidR="002818CB" w:rsidRPr="00AC6882" w:rsidRDefault="476B43A1" w:rsidP="0A8B8956">
      <w:pPr>
        <w:tabs>
          <w:tab w:val="left" w:pos="567"/>
        </w:tabs>
        <w:spacing w:before="120"/>
        <w:ind w:firstLine="142"/>
        <w:outlineLvl w:val="6"/>
        <w:rPr>
          <w:rFonts w:cs="Arial"/>
        </w:rPr>
      </w:pPr>
      <w:r>
        <w:t xml:space="preserve">(7) </w:t>
      </w:r>
      <w:bookmarkStart w:id="2" w:name="_Hlk121298846"/>
      <w:r>
        <w:t xml:space="preserve">Elementem lub funkcją, która jest zabroniona na mocy ust. 5 lub 6, może być tekst, symbol, nazwa, nazwa handlowa, znak graficzny lub inny znak.  Elementy związane z smakiem produktu mogą być wymienione na produkcie tylko w formie tekstu </w:t>
      </w:r>
      <w:bookmarkEnd w:id="2"/>
      <w:r>
        <w:t xml:space="preserve">. </w:t>
      </w:r>
    </w:p>
    <w:p w14:paraId="18F770C1" w14:textId="4F3BEF7C" w:rsidR="002818CB" w:rsidRPr="000A4D02" w:rsidRDefault="002818CB" w:rsidP="77232BB3">
      <w:pPr>
        <w:keepNext/>
        <w:tabs>
          <w:tab w:val="left" w:pos="851"/>
        </w:tabs>
        <w:spacing w:before="120"/>
        <w:jc w:val="center"/>
        <w:outlineLvl w:val="6"/>
        <w:rPr>
          <w:rFonts w:cs="Arial"/>
        </w:rPr>
      </w:pPr>
      <w:r>
        <w:t>Artykuł 6</w:t>
      </w:r>
    </w:p>
    <w:p w14:paraId="67AD5E1F" w14:textId="5468A6CA" w:rsidR="002818CB" w:rsidRPr="000A4D02" w:rsidRDefault="002818CB" w:rsidP="37434F36">
      <w:pPr>
        <w:keepNext/>
        <w:tabs>
          <w:tab w:val="left" w:pos="851"/>
        </w:tabs>
        <w:spacing w:before="120"/>
        <w:jc w:val="center"/>
        <w:outlineLvl w:val="6"/>
        <w:rPr>
          <w:rFonts w:cs="Arial"/>
          <w:b/>
          <w:bCs/>
        </w:rPr>
      </w:pPr>
      <w:bookmarkStart w:id="3" w:name="_Hlk93930811"/>
      <w:r>
        <w:rPr>
          <w:b/>
        </w:rPr>
        <w:t xml:space="preserve">Metoda i zakres obowiązku zgłoszenia przy wprowadzaniu do obrotu saszetek nikotynowych </w:t>
      </w:r>
    </w:p>
    <w:p w14:paraId="0100CC71" w14:textId="7517F511" w:rsidR="002818CB" w:rsidRPr="002D40BC" w:rsidRDefault="476B43A1" w:rsidP="002D40BC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60"/>
        <w:ind w:left="0" w:firstLine="142"/>
        <w:textAlignment w:val="baseline"/>
        <w:outlineLvl w:val="6"/>
        <w:rPr>
          <w:rFonts w:cs="Arial"/>
        </w:rPr>
      </w:pPr>
      <w:bookmarkStart w:id="4" w:name="_Hlk114731565"/>
      <w:r>
        <w:t>Zgłoszenia, o których mowa w art. 12k ust. 4 lit. a) ustawy, dokonuje się za pośrednictwem wspólnego punktu UE służącego do przekazywania danych (zwanej dalej „EU-CEG”) zgodnie z decyzją wykonawczą określającą format przekazywania i ujawniania informacji o wyrobach tytoniowych. Zgłoszenie jest podobne do zgłoszenia w przypadku wyrobów tytoniowych do stosowania doustnego</w:t>
      </w:r>
      <w:r w:rsidR="002D40BC" w:rsidRPr="002D40BC">
        <w:rPr>
          <w:rStyle w:val="FootnoteReference"/>
        </w:rPr>
        <w:footnoteReference w:id="6"/>
      </w:r>
      <w:r>
        <w:rPr>
          <w:vertAlign w:val="superscript"/>
        </w:rPr>
        <w:t>)</w:t>
      </w:r>
      <w:r>
        <w:t xml:space="preserve">, według marki i rodzaju tytoniu do stosowania doustnego.  Zgłoszenie to zawiera co najmniej: </w:t>
      </w:r>
    </w:p>
    <w:bookmarkEnd w:id="4"/>
    <w:p w14:paraId="16AFC439" w14:textId="77777777" w:rsidR="002818CB" w:rsidRPr="000A4D02" w:rsidRDefault="002818CB" w:rsidP="00567800">
      <w:pPr>
        <w:pStyle w:val="ListParagraph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wykaz wszystkich składników zawartych w saszetkach nikotynowych według marki i rodzaju, łącznie z ich ilością,</w:t>
      </w:r>
    </w:p>
    <w:p w14:paraId="700788E2" w14:textId="77777777" w:rsidR="002818CB" w:rsidRPr="000A4D02" w:rsidRDefault="002818CB" w:rsidP="00567800">
      <w:pPr>
        <w:pStyle w:val="ListParagraph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dane toksykologiczne dotyczące składników, o których mowa w lit. a), w szczególności w odniesieniu do ich wpływu doustnego, skórnego i inhalacyjnego na zdrowie konsumentów oraz wszelkich skutków uzależniających, w języku czeskim,</w:t>
      </w:r>
    </w:p>
    <w:p w14:paraId="6C1B4B0F" w14:textId="6E00507E" w:rsidR="002818CB" w:rsidRPr="000A4D02" w:rsidRDefault="002818CB" w:rsidP="00567800">
      <w:pPr>
        <w:pStyle w:val="ListParagraph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kartę charakterystyki sporządzoną zgodnie z bezpośrednio stosowanym rozporządzeniem Unii Europejskiej dotyczącym substancji chemicznych</w:t>
      </w:r>
      <w:r w:rsidR="002D40BC">
        <w:rPr>
          <w:rStyle w:val="FootnoteReference"/>
          <w:rFonts w:ascii="Arial" w:hAnsi="Arial"/>
          <w:sz w:val="22"/>
          <w:szCs w:val="22"/>
        </w:rPr>
        <w:footnoteReference w:id="7"/>
      </w:r>
      <w:r>
        <w:rPr>
          <w:rFonts w:ascii="Arial" w:hAnsi="Arial"/>
          <w:sz w:val="22"/>
          <w:vertAlign w:val="superscript"/>
        </w:rPr>
        <w:t>)</w:t>
      </w:r>
      <w:r>
        <w:rPr>
          <w:rFonts w:ascii="Arial" w:hAnsi="Arial"/>
          <w:sz w:val="22"/>
        </w:rPr>
        <w:t xml:space="preserve">, </w:t>
      </w:r>
    </w:p>
    <w:p w14:paraId="6E1B77E8" w14:textId="77777777" w:rsidR="002818CB" w:rsidRPr="000A4D02" w:rsidRDefault="002818CB" w:rsidP="00567800">
      <w:pPr>
        <w:pStyle w:val="ListParagraph"/>
        <w:numPr>
          <w:ilvl w:val="0"/>
          <w:numId w:val="15"/>
        </w:numPr>
        <w:spacing w:after="6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informacje na temat dawek nikotyny i jej spożycia w normalnych lub przewidywalnych warunkach, oraz</w:t>
      </w:r>
    </w:p>
    <w:p w14:paraId="2ED3EA0E" w14:textId="77777777" w:rsidR="002818CB" w:rsidRPr="000A4D02" w:rsidRDefault="002818CB" w:rsidP="00567800">
      <w:pPr>
        <w:pStyle w:val="ListParagraph"/>
        <w:numPr>
          <w:ilvl w:val="0"/>
          <w:numId w:val="15"/>
        </w:numPr>
        <w:spacing w:after="200" w:line="276" w:lineRule="auto"/>
        <w:jc w:val="both"/>
        <w:outlineLvl w:val="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nazwę i dane kontaktowe producenta, odpowiedzialnej osoby prawnej lub fizycznej w Unii Europejskiej oraz, w stosownych przypadkach, importera w Unii Europejskiej.</w:t>
      </w:r>
    </w:p>
    <w:p w14:paraId="12C6EEC9" w14:textId="09873A23" w:rsidR="002818CB" w:rsidRPr="000A4D02" w:rsidRDefault="476B43A1" w:rsidP="00567800">
      <w:pPr>
        <w:numPr>
          <w:ilvl w:val="3"/>
          <w:numId w:val="8"/>
        </w:numPr>
        <w:tabs>
          <w:tab w:val="clear" w:pos="1440"/>
          <w:tab w:val="left" w:pos="567"/>
          <w:tab w:val="num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r>
        <w:t xml:space="preserve">Przed pierwszym zgłoszeniem, o którym mowa w art. 12k ust. 4 lit. a) ustawy producent lub importer składa wniosek do operatora EU-CEG o nadanie numeru identyfikacyjnego podmiotu składającego wniosek. Na żądanie producent lub importer przedkłada informacje zawierające jego dane identyfikacyjne oraz weryfikację działalności zgodnie z przepisami krajowymi państwa członkowskiego, w którym ma siedzibę. </w:t>
      </w:r>
      <w:r>
        <w:rPr>
          <w:color w:val="444444"/>
        </w:rPr>
        <w:t xml:space="preserve"> </w:t>
      </w:r>
      <w:r>
        <w:t xml:space="preserve">Numer identyfikacyjny zgłaszającego jest używany we wszystkich kolejnych zgłoszeniach dokonywanych za pośrednictwem EU-CEG oraz we wszelkiej dalszej korespondencji z Ministerstwem Zdrowia.  </w:t>
      </w:r>
    </w:p>
    <w:p w14:paraId="74C3445F" w14:textId="77777777" w:rsidR="002764F7" w:rsidRPr="00B2014F" w:rsidRDefault="002818CB" w:rsidP="002764F7">
      <w:pPr>
        <w:numPr>
          <w:ilvl w:val="3"/>
          <w:numId w:val="8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Na podstawie identyfikatora zgłaszającego producent lub importer przypisuje każdemu produktowi numer identyfikacyjny woreczka nikotynowego, który należy zgłosić. Składając powiadomienia o produktach o tym samym składzie i wyglądzie, producent i importer stosują ten sam numer identyfikacyjny saszetki nikotynowej, chyba że niniejsze rozporządzenie stanowi inaczej.  </w:t>
      </w:r>
    </w:p>
    <w:p w14:paraId="0222E8ED" w14:textId="77777777" w:rsidR="002764F7" w:rsidRPr="002764F7" w:rsidRDefault="006E162B" w:rsidP="00E51F17">
      <w:pPr>
        <w:numPr>
          <w:ilvl w:val="3"/>
          <w:numId w:val="8"/>
        </w:numPr>
        <w:tabs>
          <w:tab w:val="clear" w:pos="1440"/>
          <w:tab w:val="left" w:pos="0"/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 w:val="20"/>
          <w:szCs w:val="20"/>
        </w:rPr>
      </w:pPr>
      <w:r>
        <w:t>Procedura przewidziana w ust. 3 ma zastosowanie niezależnie od marki i podtypu produktu oraz liczby rynków, na których produkty są wprowadzane do obrotu. Jeśli nie można zagwarantować, że ten sam numer identyfikacyjny saszetki nikotynowej jest używany dla produktów o tym samym składzie i wyglądzie, należy podać różne numery identyfikacyjne saszetek nikotynowych przypisanych do tych produktów</w:t>
      </w:r>
      <w:r>
        <w:rPr>
          <w:sz w:val="20"/>
        </w:rPr>
        <w:t>.</w:t>
      </w:r>
      <w:r>
        <w:t xml:space="preserve"> </w:t>
      </w:r>
    </w:p>
    <w:p w14:paraId="104E7BAE" w14:textId="77777777" w:rsidR="002818CB" w:rsidRPr="000A4D02" w:rsidRDefault="002818CB" w:rsidP="00282503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  <w:rPr>
          <w:szCs w:val="22"/>
        </w:rPr>
      </w:pPr>
      <w:r>
        <w:t xml:space="preserve">Zgłoszenia na podstawie art. 12k ust. 4 lit. a) i 5 ustawy należy składać przed wprowadzeniem saszetek nikotynowych do obrotu. </w:t>
      </w:r>
    </w:p>
    <w:p w14:paraId="2DEB82CE" w14:textId="38B8A076" w:rsidR="002818CB" w:rsidRPr="004B3B3E" w:rsidRDefault="002818CB" w:rsidP="00567800">
      <w:pPr>
        <w:numPr>
          <w:ilvl w:val="3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0" w:firstLine="142"/>
        <w:textAlignment w:val="baseline"/>
        <w:outlineLvl w:val="6"/>
      </w:pPr>
      <w:bookmarkStart w:id="5" w:name="_Hlk121301704"/>
      <w:r>
        <w:t>Wszelkie informacje, które producent lub importer uznaje za tajemnicę handlową lub w inny sposób poufne, są identyfikowane po przedłożeniu powiadomienia. Nazwa wnioskodawcy, kraj, w którym wnioskodawca ma miejsce zamieszkania lub miejsce zamieszkania, rodzaj wnioskodawcy zgodnie z załącznikiem do decyzji wykonawczej Komisji (UE) 2015/2186 z dnia 25 listopada 2015 r. ustanawiającej format przekazywania i udostępniania informacji na temat wyrobów tytoniowych, numer identyfikacyjny saszetki nikotynowej, nazwę marki, nazwę podtypu, rodzaj produktu, datę pierwszego zgłoszenia, datę ostatniej aktualizacji wniosku, datę, w której wnioskodawca wprowadził lub zamierza wprowadzić produkt do obrotu, nie uważa się za tajemnicę handlową</w:t>
      </w:r>
      <w:bookmarkEnd w:id="5"/>
      <w:r>
        <w:t xml:space="preserve">. </w:t>
      </w:r>
    </w:p>
    <w:p w14:paraId="3F05D2FB" w14:textId="697D4FF5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>Artykuł 7</w:t>
      </w:r>
    </w:p>
    <w:p w14:paraId="5D7BBF3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 xml:space="preserve">Zgłoszenie informacji o rynku saszetek nikotynowych </w:t>
      </w:r>
    </w:p>
    <w:p w14:paraId="6F63D7F4" w14:textId="77777777" w:rsidR="002818CB" w:rsidRPr="000A4D02" w:rsidRDefault="002818CB" w:rsidP="00567800">
      <w:pPr>
        <w:numPr>
          <w:ilvl w:val="0"/>
          <w:numId w:val="14"/>
        </w:numPr>
        <w:tabs>
          <w:tab w:val="clear" w:pos="785"/>
          <w:tab w:val="num" w:pos="567"/>
          <w:tab w:val="left" w:pos="709"/>
        </w:tabs>
        <w:overflowPunct w:val="0"/>
        <w:autoSpaceDE w:val="0"/>
        <w:autoSpaceDN w:val="0"/>
        <w:adjustRightInd w:val="0"/>
        <w:spacing w:before="120" w:after="60"/>
        <w:ind w:firstLine="142"/>
        <w:jc w:val="left"/>
        <w:textAlignment w:val="baseline"/>
        <w:outlineLvl w:val="6"/>
        <w:rPr>
          <w:szCs w:val="22"/>
        </w:rPr>
      </w:pPr>
      <w:r>
        <w:t>Zgłoszenie na podstawie § 12k ust. 4 lit. b) ustawy zawiera:</w:t>
      </w:r>
    </w:p>
    <w:p w14:paraId="64609B35" w14:textId="77777777" w:rsidR="002818CB" w:rsidRPr="000A4D02" w:rsidRDefault="002818CB" w:rsidP="00567800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t>skrócone informacje o wielkości sprzedaży według marki i rodzaju produktu,</w:t>
      </w:r>
    </w:p>
    <w:p w14:paraId="692F2BEC" w14:textId="77777777" w:rsidR="002818CB" w:rsidRPr="009560E1" w:rsidRDefault="005D2DCC" w:rsidP="0083433F">
      <w:pPr>
        <w:numPr>
          <w:ilvl w:val="1"/>
          <w:numId w:val="14"/>
        </w:numPr>
        <w:tabs>
          <w:tab w:val="clear" w:pos="425"/>
          <w:tab w:val="num" w:pos="709"/>
        </w:tabs>
        <w:overflowPunct w:val="0"/>
        <w:autoSpaceDE w:val="0"/>
        <w:autoSpaceDN w:val="0"/>
        <w:adjustRightInd w:val="0"/>
        <w:spacing w:after="60"/>
        <w:ind w:left="709"/>
        <w:textAlignment w:val="baseline"/>
        <w:outlineLvl w:val="7"/>
        <w:rPr>
          <w:szCs w:val="22"/>
        </w:rPr>
      </w:pPr>
      <w:r>
        <w:lastRenderedPageBreak/>
        <w:t xml:space="preserve">wszelkie informacje </w:t>
      </w:r>
      <w:bookmarkStart w:id="6" w:name="_Hlk113964644"/>
      <w:r>
        <w:t>na temat preferencji różnych grup konsumentów, w tym młodzieży, osób niepalących i głównych typów obecnych użytkowników</w:t>
      </w:r>
      <w:bookmarkEnd w:id="6"/>
      <w:r>
        <w:t>.</w:t>
      </w:r>
    </w:p>
    <w:p w14:paraId="51B4FD9C" w14:textId="5467C938" w:rsidR="002818CB" w:rsidRPr="005B0A5F" w:rsidRDefault="476B43A1" w:rsidP="005B0A5F">
      <w:pPr>
        <w:tabs>
          <w:tab w:val="num" w:pos="567"/>
          <w:tab w:val="left" w:pos="851"/>
        </w:tabs>
        <w:spacing w:before="120"/>
        <w:ind w:firstLine="142"/>
        <w:outlineLvl w:val="6"/>
      </w:pPr>
      <w:r>
        <w:t xml:space="preserve">(2) Informacje, o których mowa w ust. 1 lit. a), producent lub importer przedkłada za pośrednictwem odpowiedniej części EU-CEG w formie nowej informacji liczbowej dodanej do każdego roku kalendarzowego.  Informacje, o których mowa w ust. 1 lit. a), producent lub importer składa do dnia 31 maja roku kalendarzowego następującego po zakończeniu roku kalendarzowego, w którym nastąpiła sprzedaż.  Informacje, o których mowa w ust. 1 lit. b), producent lub importer przedkłada do dnia 31 grudnia roku kalendarzowego następującego po roku kalendarzowym, w którym miała miejsce sprzedaż.  </w:t>
      </w:r>
    </w:p>
    <w:p w14:paraId="277233B2" w14:textId="23B11430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>Artykuł 8</w:t>
      </w:r>
    </w:p>
    <w:p w14:paraId="63360E53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>Przepisy przejściowe</w:t>
      </w:r>
    </w:p>
    <w:p w14:paraId="2BD07E1D" w14:textId="77777777" w:rsidR="00CF18E4" w:rsidRDefault="002818CB" w:rsidP="00CF18E4">
      <w:pPr>
        <w:spacing w:before="240" w:after="200"/>
        <w:rPr>
          <w:szCs w:val="22"/>
        </w:rPr>
      </w:pPr>
      <w:r>
        <w:t xml:space="preserve">Saszetki nikotynowe, które nie spełniają wymogów określonych w niniejszym rozporządzeniu i które zostały wyprodukowane lub wprowadzone do obrotu i oznakowane przed datą wejścia w życie niniejszego rozporządzenia, mogą być oferowane do sprzedaży i sprzedawane nie później niż 12 miesięcy od daty wejścia w życie niniejszego dekretu. </w:t>
      </w:r>
    </w:p>
    <w:p w14:paraId="4972252E" w14:textId="77777777" w:rsidR="00F0726C" w:rsidRDefault="00F0726C" w:rsidP="002818CB">
      <w:pPr>
        <w:spacing w:after="200"/>
        <w:jc w:val="center"/>
        <w:outlineLvl w:val="4"/>
      </w:pPr>
    </w:p>
    <w:p w14:paraId="7882F0F4" w14:textId="6CAD2505" w:rsidR="002818CB" w:rsidRPr="000A4D02" w:rsidRDefault="002818CB" w:rsidP="002818CB">
      <w:pPr>
        <w:spacing w:after="200"/>
        <w:jc w:val="center"/>
        <w:outlineLvl w:val="4"/>
      </w:pPr>
      <w:r>
        <w:t>Artykuł 9</w:t>
      </w:r>
    </w:p>
    <w:p w14:paraId="5262B959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>Postanowienia końcowe</w:t>
      </w:r>
    </w:p>
    <w:p w14:paraId="306D7D26" w14:textId="77777777" w:rsidR="002818CB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>Niniejsze rozporządzenie zostało notyfikowane zgodnie z dyrektywą (UE) 2015/1535 Parlamentu Europejskiego i Rady z dnia 9 września 2015 r. ustanawiającą procedurę udzielania informacji w dziedzinie przepisów technicznych oraz zasad dotyczących usług społeczeństwa informacyjnego.</w:t>
      </w:r>
    </w:p>
    <w:p w14:paraId="7366F145" w14:textId="77777777" w:rsidR="0085060D" w:rsidRPr="000A4D02" w:rsidRDefault="0085060D" w:rsidP="002818CB">
      <w:pPr>
        <w:tabs>
          <w:tab w:val="left" w:pos="851"/>
        </w:tabs>
        <w:spacing w:before="120"/>
        <w:outlineLvl w:val="6"/>
        <w:rPr>
          <w:szCs w:val="22"/>
        </w:rPr>
      </w:pPr>
    </w:p>
    <w:p w14:paraId="4F42D56F" w14:textId="513D5D1C" w:rsidR="002818CB" w:rsidRPr="000A4D02" w:rsidRDefault="002818CB" w:rsidP="002818CB">
      <w:pPr>
        <w:keepNext/>
        <w:keepLines/>
        <w:spacing w:before="240" w:after="200"/>
        <w:jc w:val="center"/>
        <w:outlineLvl w:val="5"/>
      </w:pPr>
      <w:r>
        <w:t>Artykuł 10</w:t>
      </w:r>
    </w:p>
    <w:p w14:paraId="5202D66B" w14:textId="77777777" w:rsidR="002818CB" w:rsidRPr="000A4D02" w:rsidRDefault="002818CB" w:rsidP="002818CB">
      <w:pPr>
        <w:keepNext/>
        <w:keepLines/>
        <w:spacing w:after="200"/>
        <w:jc w:val="center"/>
        <w:outlineLvl w:val="4"/>
        <w:rPr>
          <w:b/>
          <w:szCs w:val="22"/>
        </w:rPr>
      </w:pPr>
      <w:r>
        <w:rPr>
          <w:b/>
        </w:rPr>
        <w:t>Data wejścia w życie</w:t>
      </w:r>
    </w:p>
    <w:p w14:paraId="51E8B191" w14:textId="2C6BA679" w:rsidR="002818CB" w:rsidRPr="000A4D02" w:rsidRDefault="002818CB" w:rsidP="002818CB">
      <w:pPr>
        <w:tabs>
          <w:tab w:val="left" w:pos="851"/>
        </w:tabs>
        <w:spacing w:before="120"/>
        <w:outlineLvl w:val="6"/>
        <w:rPr>
          <w:szCs w:val="22"/>
        </w:rPr>
      </w:pPr>
      <w:r>
        <w:t>Niniejsze rozporządzenie wchodzi w życie z dniem....</w:t>
      </w:r>
    </w:p>
    <w:p w14:paraId="66F0FAB0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45CE2B2C" w14:textId="77777777" w:rsidR="00AC1750" w:rsidRDefault="00AC1750" w:rsidP="002818CB">
      <w:pPr>
        <w:spacing w:before="120"/>
        <w:jc w:val="center"/>
        <w:rPr>
          <w:szCs w:val="22"/>
        </w:rPr>
      </w:pPr>
    </w:p>
    <w:p w14:paraId="115B0CC8" w14:textId="77777777" w:rsidR="002818CB" w:rsidRDefault="00D21DFC" w:rsidP="002818CB">
      <w:pPr>
        <w:spacing w:before="120"/>
        <w:jc w:val="center"/>
        <w:rPr>
          <w:szCs w:val="22"/>
        </w:rPr>
      </w:pPr>
      <w:r>
        <w:t>Minister:</w:t>
      </w:r>
    </w:p>
    <w:p w14:paraId="6D06074E" w14:textId="77777777" w:rsidR="000C32F7" w:rsidRDefault="000C32F7" w:rsidP="002818CB">
      <w:pPr>
        <w:spacing w:before="120"/>
        <w:jc w:val="right"/>
        <w:rPr>
          <w:szCs w:val="22"/>
        </w:rPr>
        <w:sectPr w:rsidR="000C32F7" w:rsidSect="006F468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1B533373" w14:textId="62FE390A" w:rsidR="002818CB" w:rsidRPr="000A4D02" w:rsidRDefault="002818CB" w:rsidP="002818CB">
      <w:pPr>
        <w:spacing w:before="120"/>
        <w:jc w:val="right"/>
        <w:rPr>
          <w:szCs w:val="22"/>
        </w:rPr>
      </w:pPr>
      <w:r>
        <w:lastRenderedPageBreak/>
        <w:t>Załącznik 1 do rozporządzenia nr.../...... Dz.U.</w:t>
      </w:r>
    </w:p>
    <w:p w14:paraId="61E97CD8" w14:textId="77777777" w:rsidR="002818CB" w:rsidRPr="000A4D02" w:rsidRDefault="002818CB" w:rsidP="002818CB">
      <w:pPr>
        <w:spacing w:before="120"/>
        <w:jc w:val="right"/>
        <w:rPr>
          <w:szCs w:val="22"/>
        </w:rPr>
      </w:pPr>
    </w:p>
    <w:p w14:paraId="556761E7" w14:textId="6BC4BE67" w:rsidR="002818CB" w:rsidRPr="000A4D02" w:rsidRDefault="476B43A1" w:rsidP="37434F36">
      <w:pPr>
        <w:spacing w:before="120"/>
        <w:jc w:val="center"/>
        <w:rPr>
          <w:b/>
          <w:bCs/>
        </w:rPr>
      </w:pPr>
      <w:bookmarkStart w:id="7" w:name="_Hlk93930919"/>
      <w:r>
        <w:rPr>
          <w:b/>
        </w:rPr>
        <w:t xml:space="preserve">Wykaz substancji zakazanych, których nie można dodawać do saszetek nikotynowych jako samodzielne składniki </w:t>
      </w:r>
    </w:p>
    <w:bookmarkEnd w:id="3"/>
    <w:p w14:paraId="7A23C949" w14:textId="77777777" w:rsidR="002818CB" w:rsidRPr="00BF7F30" w:rsidRDefault="002818CB" w:rsidP="002818CB">
      <w:pPr>
        <w:spacing w:before="12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3"/>
        <w:gridCol w:w="3327"/>
      </w:tblGrid>
      <w:tr w:rsidR="002818CB" w14:paraId="39AB2AF3" w14:textId="77777777" w:rsidTr="00536DAC">
        <w:trPr>
          <w:trHeight w:val="390"/>
          <w:tblHeader/>
        </w:trPr>
        <w:tc>
          <w:tcPr>
            <w:tcW w:w="5733" w:type="dxa"/>
            <w:shd w:val="clear" w:color="auto" w:fill="FFFFFF"/>
            <w:vAlign w:val="bottom"/>
          </w:tcPr>
          <w:p w14:paraId="49EDE4B6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>Nazwa substancji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66C093C" w14:textId="77777777" w:rsidR="002818CB" w:rsidRPr="000A4D02" w:rsidRDefault="002818CB" w:rsidP="00536DAC">
            <w:pPr>
              <w:rPr>
                <w:b/>
                <w:bCs/>
                <w:szCs w:val="22"/>
              </w:rPr>
            </w:pPr>
            <w:r>
              <w:rPr>
                <w:b/>
              </w:rPr>
              <w:t>Numer(-y) CAS</w:t>
            </w:r>
          </w:p>
        </w:tc>
      </w:tr>
      <w:tr w:rsidR="002818CB" w14:paraId="592CF983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69B722F" w14:textId="77777777" w:rsidR="002818CB" w:rsidRPr="000A4D02" w:rsidRDefault="002818CB" w:rsidP="00536DAC">
            <w:pPr>
              <w:rPr>
                <w:szCs w:val="22"/>
              </w:rPr>
            </w:pPr>
            <w:r>
              <w:t>kwas agarowy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47860F9" w14:textId="77777777" w:rsidR="002818CB" w:rsidRPr="000A4D02" w:rsidRDefault="002818CB" w:rsidP="00536DAC">
            <w:pPr>
              <w:rPr>
                <w:szCs w:val="22"/>
              </w:rPr>
            </w:pPr>
            <w:r>
              <w:t>666-99-9</w:t>
            </w:r>
          </w:p>
        </w:tc>
      </w:tr>
      <w:tr w:rsidR="002818CB" w14:paraId="6DF7A1AA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D6CF440" w14:textId="77777777" w:rsidR="002818CB" w:rsidRPr="000A4D02" w:rsidRDefault="002818CB" w:rsidP="00536DAC">
            <w:pPr>
              <w:rPr>
                <w:szCs w:val="22"/>
              </w:rPr>
            </w:pPr>
            <w:r>
              <w:t>aloina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7E31709" w14:textId="77777777" w:rsidR="002818CB" w:rsidRPr="000A4D02" w:rsidRDefault="002818CB" w:rsidP="00536DAC">
            <w:pPr>
              <w:rPr>
                <w:szCs w:val="22"/>
              </w:rPr>
            </w:pPr>
            <w:r>
              <w:t>1415-73-2</w:t>
            </w:r>
          </w:p>
        </w:tc>
      </w:tr>
      <w:tr w:rsidR="002818CB" w14:paraId="30ED86F1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5001D817" w14:textId="77777777" w:rsidR="002818CB" w:rsidRPr="000A4D02" w:rsidRDefault="002818CB" w:rsidP="00536DAC">
            <w:pPr>
              <w:rPr>
                <w:szCs w:val="22"/>
              </w:rPr>
            </w:pPr>
            <w:r>
              <w:t>kapsaicyna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1CBC265" w14:textId="77777777" w:rsidR="002818CB" w:rsidRPr="000A4D02" w:rsidRDefault="002818CB" w:rsidP="00536DAC">
            <w:pPr>
              <w:rPr>
                <w:szCs w:val="22"/>
              </w:rPr>
            </w:pPr>
            <w:r>
              <w:t>404-86-4</w:t>
            </w:r>
          </w:p>
        </w:tc>
      </w:tr>
      <w:tr w:rsidR="002818CB" w14:paraId="10583C7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35E94E8" w14:textId="77777777" w:rsidR="002818CB" w:rsidRPr="000A4D02" w:rsidRDefault="002818CB" w:rsidP="00536DAC">
            <w:pPr>
              <w:rPr>
                <w:szCs w:val="22"/>
              </w:rPr>
            </w:pPr>
            <w:r>
              <w:t>hiperycyna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E835B73" w14:textId="77777777" w:rsidR="002818CB" w:rsidRPr="000A4D02" w:rsidRDefault="002818CB" w:rsidP="00536DAC">
            <w:pPr>
              <w:rPr>
                <w:szCs w:val="22"/>
              </w:rPr>
            </w:pPr>
            <w:r>
              <w:t>548-04-9</w:t>
            </w:r>
          </w:p>
        </w:tc>
      </w:tr>
      <w:tr w:rsidR="002818CB" w14:paraId="21CD6D0F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413AA06" w14:textId="77777777" w:rsidR="002818CB" w:rsidRPr="000A4D02" w:rsidRDefault="002818CB" w:rsidP="00536DAC">
            <w:pPr>
              <w:rPr>
                <w:szCs w:val="22"/>
              </w:rPr>
            </w:pPr>
            <w:r>
              <w:t>beta-azaron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16E5C08" w14:textId="77777777" w:rsidR="002818CB" w:rsidRPr="000A4D02" w:rsidRDefault="002818CB" w:rsidP="00536DAC">
            <w:pPr>
              <w:rPr>
                <w:szCs w:val="22"/>
              </w:rPr>
            </w:pPr>
            <w:r>
              <w:t>5273-86-9</w:t>
            </w:r>
          </w:p>
        </w:tc>
      </w:tr>
      <w:tr w:rsidR="002818CB" w14:paraId="7C71EFB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0DD9D3B" w14:textId="77777777" w:rsidR="002818CB" w:rsidRPr="000A4D02" w:rsidRDefault="002818CB" w:rsidP="00536DAC">
            <w:pPr>
              <w:rPr>
                <w:szCs w:val="22"/>
              </w:rPr>
            </w:pPr>
            <w:r>
              <w:t>estragol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30E5D6E5" w14:textId="77777777" w:rsidR="002818CB" w:rsidRPr="000A4D02" w:rsidRDefault="002818CB" w:rsidP="00536DAC">
            <w:pPr>
              <w:rPr>
                <w:szCs w:val="22"/>
              </w:rPr>
            </w:pPr>
            <w:r>
              <w:t>140-67-0</w:t>
            </w:r>
          </w:p>
        </w:tc>
      </w:tr>
      <w:tr w:rsidR="002818CB" w14:paraId="5997CAA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3A057E12" w14:textId="77777777" w:rsidR="002818CB" w:rsidRPr="000A4D02" w:rsidRDefault="002818CB" w:rsidP="00536DAC">
            <w:pPr>
              <w:rPr>
                <w:szCs w:val="22"/>
              </w:rPr>
            </w:pPr>
            <w:r>
              <w:t>cyjanowodór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7FC23C7F" w14:textId="77777777" w:rsidR="002818CB" w:rsidRPr="000A4D02" w:rsidRDefault="002818CB" w:rsidP="00536DAC">
            <w:pPr>
              <w:rPr>
                <w:szCs w:val="22"/>
              </w:rPr>
            </w:pPr>
            <w:r>
              <w:t>3017-23-0</w:t>
            </w:r>
          </w:p>
        </w:tc>
      </w:tr>
      <w:tr w:rsidR="002818CB" w14:paraId="7ED5C2E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2F47101D" w14:textId="77777777" w:rsidR="002818CB" w:rsidRPr="000A4D02" w:rsidRDefault="002818CB" w:rsidP="00536DAC">
            <w:pPr>
              <w:rPr>
                <w:szCs w:val="22"/>
              </w:rPr>
            </w:pPr>
            <w:r>
              <w:t>menthofuran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441E407" w14:textId="77777777" w:rsidR="002818CB" w:rsidRPr="000A4D02" w:rsidRDefault="002818CB" w:rsidP="00536DAC">
            <w:pPr>
              <w:rPr>
                <w:szCs w:val="22"/>
              </w:rPr>
            </w:pPr>
            <w:r>
              <w:t>494-90-6</w:t>
            </w:r>
          </w:p>
        </w:tc>
      </w:tr>
      <w:tr w:rsidR="002818CB" w14:paraId="78B826A0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69A3C487" w14:textId="77777777" w:rsidR="002818CB" w:rsidRPr="000A4D02" w:rsidRDefault="002818CB" w:rsidP="00536DAC">
            <w:pPr>
              <w:rPr>
                <w:szCs w:val="22"/>
              </w:rPr>
            </w:pPr>
            <w:r>
              <w:t>metyloeugenol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AB7655B" w14:textId="77777777" w:rsidR="002818CB" w:rsidRPr="000A4D02" w:rsidRDefault="002818CB" w:rsidP="00536DAC">
            <w:pPr>
              <w:rPr>
                <w:szCs w:val="22"/>
              </w:rPr>
            </w:pPr>
            <w:r>
              <w:t>93-15-2</w:t>
            </w:r>
          </w:p>
        </w:tc>
      </w:tr>
      <w:tr w:rsidR="002818CB" w14:paraId="724C4D4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4BAECEC5" w14:textId="77777777" w:rsidR="002818CB" w:rsidRPr="000A4D02" w:rsidRDefault="002818CB" w:rsidP="00536DAC">
            <w:pPr>
              <w:rPr>
                <w:szCs w:val="22"/>
              </w:rPr>
            </w:pPr>
            <w:r>
              <w:t>pulegone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C3F452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89-82-7; 15932-80-6 </w:t>
            </w:r>
          </w:p>
        </w:tc>
      </w:tr>
      <w:tr w:rsidR="002818CB" w14:paraId="1F5F4C0B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743E2091" w14:textId="77777777" w:rsidR="002818CB" w:rsidRPr="000A4D02" w:rsidRDefault="002818CB" w:rsidP="00536DAC">
            <w:pPr>
              <w:rPr>
                <w:szCs w:val="22"/>
              </w:rPr>
            </w:pPr>
            <w:r>
              <w:t>quassin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E74514A" w14:textId="77777777" w:rsidR="002818CB" w:rsidRPr="000A4D02" w:rsidRDefault="002818CB" w:rsidP="00536DAC">
            <w:pPr>
              <w:rPr>
                <w:szCs w:val="22"/>
              </w:rPr>
            </w:pPr>
            <w:r>
              <w:t>76-78-8</w:t>
            </w:r>
          </w:p>
        </w:tc>
      </w:tr>
      <w:tr w:rsidR="002818CB" w14:paraId="5563A85C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F4F267" w14:textId="77777777" w:rsidR="002818CB" w:rsidRPr="000A4D02" w:rsidRDefault="002818CB" w:rsidP="00536DAC">
            <w:pPr>
              <w:rPr>
                <w:szCs w:val="22"/>
              </w:rPr>
            </w:pPr>
            <w:r>
              <w:t>safrol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410419EE" w14:textId="77777777" w:rsidR="002818CB" w:rsidRPr="000A4D02" w:rsidRDefault="002818CB" w:rsidP="00536DAC">
            <w:pPr>
              <w:rPr>
                <w:szCs w:val="22"/>
              </w:rPr>
            </w:pPr>
            <w:r>
              <w:t>94-59-7</w:t>
            </w:r>
          </w:p>
        </w:tc>
      </w:tr>
      <w:tr w:rsidR="002818CB" w14:paraId="5E455B02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center"/>
          </w:tcPr>
          <w:p w14:paraId="6B3EB6A6" w14:textId="77777777" w:rsidR="002818CB" w:rsidRPr="000A4D02" w:rsidRDefault="002818CB" w:rsidP="00536DAC">
            <w:pPr>
              <w:rPr>
                <w:szCs w:val="22"/>
              </w:rPr>
            </w:pPr>
            <w:r>
              <w:t>teukryna 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FF1E75A" w14:textId="77777777" w:rsidR="002818CB" w:rsidRPr="000A4D02" w:rsidRDefault="002818CB" w:rsidP="00536DAC">
            <w:pPr>
              <w:rPr>
                <w:szCs w:val="22"/>
              </w:rPr>
            </w:pPr>
            <w:r>
              <w:t>12798-51-5</w:t>
            </w:r>
          </w:p>
        </w:tc>
      </w:tr>
      <w:tr w:rsidR="002818CB" w14:paraId="1A001038" w14:textId="77777777" w:rsidTr="00536DAC">
        <w:trPr>
          <w:trHeight w:val="360"/>
        </w:trPr>
        <w:tc>
          <w:tcPr>
            <w:tcW w:w="5733" w:type="dxa"/>
            <w:shd w:val="clear" w:color="auto" w:fill="FFFFFF"/>
            <w:vAlign w:val="bottom"/>
          </w:tcPr>
          <w:p w14:paraId="25C14A79" w14:textId="77777777" w:rsidR="002818CB" w:rsidRPr="000A4D02" w:rsidRDefault="002818CB" w:rsidP="00536DAC">
            <w:pPr>
              <w:rPr>
                <w:szCs w:val="22"/>
              </w:rPr>
            </w:pPr>
            <w:r>
              <w:t>tujon (alfa i beta)</w:t>
            </w:r>
          </w:p>
        </w:tc>
        <w:tc>
          <w:tcPr>
            <w:tcW w:w="3327" w:type="dxa"/>
            <w:shd w:val="clear" w:color="auto" w:fill="FFFFFF"/>
            <w:vAlign w:val="bottom"/>
          </w:tcPr>
          <w:p w14:paraId="0352C945" w14:textId="77777777" w:rsidR="002818CB" w:rsidRPr="000A4D02" w:rsidRDefault="002818CB" w:rsidP="00536DAC">
            <w:pPr>
              <w:rPr>
                <w:szCs w:val="22"/>
              </w:rPr>
            </w:pPr>
            <w:r>
              <w:t xml:space="preserve">546-80-5; 76231-76-0 </w:t>
            </w:r>
          </w:p>
        </w:tc>
      </w:tr>
      <w:tr w:rsidR="002818CB" w14:paraId="59046B70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0F7AF802" w14:textId="77777777" w:rsidR="002818CB" w:rsidRPr="000A4D02" w:rsidRDefault="002818CB" w:rsidP="00536DAC">
            <w:pPr>
              <w:rPr>
                <w:szCs w:val="22"/>
              </w:rPr>
            </w:pPr>
            <w:r>
              <w:t>kumaryna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7B893007" w14:textId="77777777" w:rsidR="002818CB" w:rsidRPr="000A4D02" w:rsidRDefault="002818CB" w:rsidP="00536DAC">
            <w:pPr>
              <w:rPr>
                <w:szCs w:val="22"/>
              </w:rPr>
            </w:pPr>
            <w:r>
              <w:t>91-64-5</w:t>
            </w:r>
          </w:p>
        </w:tc>
      </w:tr>
      <w:tr w:rsidR="002818CB" w14:paraId="6049847D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199A7AEF" w14:textId="77777777" w:rsidR="002818CB" w:rsidRPr="000A4D02" w:rsidRDefault="002818CB" w:rsidP="00536DAC">
            <w:pPr>
              <w:rPr>
                <w:szCs w:val="22"/>
              </w:rPr>
            </w:pPr>
            <w:r>
              <w:t>kolchicyna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566AF518" w14:textId="77777777" w:rsidR="002818CB" w:rsidRPr="000A4D02" w:rsidRDefault="002818CB" w:rsidP="00536DAC">
            <w:pPr>
              <w:rPr>
                <w:szCs w:val="22"/>
              </w:rPr>
            </w:pPr>
            <w:r>
              <w:t>64-86-8</w:t>
            </w:r>
          </w:p>
        </w:tc>
      </w:tr>
      <w:tr w:rsidR="002818CB" w14:paraId="7620034A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7F6CA964" w14:textId="77777777" w:rsidR="002818CB" w:rsidRPr="000A4D02" w:rsidRDefault="002818CB" w:rsidP="00536DAC">
            <w:pPr>
              <w:rPr>
                <w:szCs w:val="22"/>
              </w:rPr>
            </w:pPr>
            <w:r>
              <w:t>bergamotyna (furanokumaryna)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06AB5672" w14:textId="77777777" w:rsidR="002818CB" w:rsidRPr="000A4D02" w:rsidRDefault="002818CB" w:rsidP="00536DAC">
            <w:pPr>
              <w:rPr>
                <w:szCs w:val="22"/>
              </w:rPr>
            </w:pPr>
            <w:r>
              <w:t>7380-40-7</w:t>
            </w:r>
          </w:p>
        </w:tc>
      </w:tr>
      <w:tr w:rsidR="002818CB" w14:paraId="69D2340F" w14:textId="77777777" w:rsidTr="00536DAC">
        <w:trPr>
          <w:trHeight w:val="390"/>
        </w:trPr>
        <w:tc>
          <w:tcPr>
            <w:tcW w:w="5733" w:type="dxa"/>
            <w:shd w:val="clear" w:color="auto" w:fill="FFFFFF"/>
            <w:vAlign w:val="center"/>
          </w:tcPr>
          <w:p w14:paraId="452B30B5" w14:textId="77777777" w:rsidR="002818CB" w:rsidRPr="000A4D02" w:rsidRDefault="002818CB" w:rsidP="00536DAC">
            <w:pPr>
              <w:rPr>
                <w:szCs w:val="22"/>
              </w:rPr>
            </w:pPr>
            <w:r>
              <w:t>6,7 – dihydroksybergamotyna (furanokumaryna)</w:t>
            </w:r>
          </w:p>
        </w:tc>
        <w:tc>
          <w:tcPr>
            <w:tcW w:w="3327" w:type="dxa"/>
            <w:shd w:val="clear" w:color="auto" w:fill="FFFFFF"/>
            <w:vAlign w:val="center"/>
          </w:tcPr>
          <w:p w14:paraId="24F86F4A" w14:textId="77777777" w:rsidR="002818CB" w:rsidRPr="000A4D02" w:rsidRDefault="002818CB" w:rsidP="00536DAC">
            <w:pPr>
              <w:rPr>
                <w:szCs w:val="22"/>
              </w:rPr>
            </w:pPr>
            <w:r>
              <w:t>145414-76-2</w:t>
            </w:r>
          </w:p>
        </w:tc>
      </w:tr>
    </w:tbl>
    <w:p w14:paraId="40241CE9" w14:textId="77777777" w:rsidR="000C32F7" w:rsidRDefault="000C32F7" w:rsidP="004E593B">
      <w:pPr>
        <w:spacing w:before="120"/>
        <w:rPr>
          <w:rFonts w:cs="Arial"/>
          <w:szCs w:val="22"/>
        </w:rPr>
        <w:sectPr w:rsidR="000C32F7" w:rsidSect="006F4688">
          <w:footerReference w:type="first" r:id="rId15"/>
          <w:pgSz w:w="11906" w:h="16838" w:code="9"/>
          <w:pgMar w:top="1814" w:right="1418" w:bottom="1560" w:left="1418" w:header="1077" w:footer="669" w:gutter="0"/>
          <w:cols w:space="708"/>
          <w:titlePg/>
          <w:docGrid w:linePitch="360"/>
        </w:sectPr>
      </w:pPr>
    </w:p>
    <w:p w14:paraId="4475DAFB" w14:textId="77777777" w:rsidR="00F958E5" w:rsidRDefault="00F958E5" w:rsidP="002764F7">
      <w:pPr>
        <w:spacing w:before="120"/>
        <w:rPr>
          <w:rFonts w:cs="Arial"/>
          <w:szCs w:val="22"/>
        </w:rPr>
      </w:pPr>
    </w:p>
    <w:p w14:paraId="785E9BD5" w14:textId="2A47E59A" w:rsidR="002818CB" w:rsidRPr="00083BA7" w:rsidRDefault="002818CB" w:rsidP="002818CB">
      <w:pPr>
        <w:spacing w:before="120"/>
        <w:jc w:val="right"/>
        <w:rPr>
          <w:rFonts w:cs="Arial"/>
          <w:szCs w:val="22"/>
        </w:rPr>
      </w:pPr>
      <w:r>
        <w:t>Załącznik nr 2 do rozporządzenia nr.../2023 Coll.</w:t>
      </w:r>
    </w:p>
    <w:p w14:paraId="608D339C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</w:p>
    <w:p w14:paraId="2401E3FB" w14:textId="77777777" w:rsidR="002818CB" w:rsidRPr="00083BA7" w:rsidRDefault="002818CB" w:rsidP="002818CB">
      <w:pPr>
        <w:spacing w:before="120"/>
        <w:jc w:val="center"/>
        <w:rPr>
          <w:rFonts w:cs="Arial"/>
          <w:b/>
          <w:bCs/>
          <w:szCs w:val="22"/>
        </w:rPr>
      </w:pPr>
      <w:r>
        <w:rPr>
          <w:b/>
        </w:rPr>
        <w:t>Etykieta graficzna</w:t>
      </w:r>
    </w:p>
    <w:p w14:paraId="7793D4C5" w14:textId="7CEC8EB8" w:rsidR="002818CB" w:rsidRPr="00083BA7" w:rsidRDefault="002818CB" w:rsidP="002818CB">
      <w:pPr>
        <w:pStyle w:val="ListParagraph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Etykieta graficzna „Produkt nie jest przeznaczony dla osób poniżej 18 roku życia.” o charakterze zakazanego symbolu (rysunek 1) ma okrągły kształt o średnicy co najmniej 1 cm na białym tle i okrąg z czerwoną grubszą krawędzią, czerwony ukośny pasek na czarnym tekście 18 na białym tle.</w:t>
      </w:r>
    </w:p>
    <w:p w14:paraId="7D56796E" w14:textId="77777777" w:rsidR="00807A3E" w:rsidRDefault="00807A3E" w:rsidP="002818CB">
      <w:pPr>
        <w:spacing w:before="120"/>
        <w:ind w:firstLine="708"/>
        <w:rPr>
          <w:rFonts w:cs="Arial"/>
          <w:szCs w:val="22"/>
        </w:rPr>
      </w:pPr>
    </w:p>
    <w:p w14:paraId="797D7881" w14:textId="77777777" w:rsidR="002818CB" w:rsidRPr="00083BA7" w:rsidRDefault="44243302" w:rsidP="002818CB">
      <w:pPr>
        <w:spacing w:before="120"/>
        <w:ind w:firstLine="708"/>
        <w:rPr>
          <w:rFonts w:cs="Arial"/>
          <w:szCs w:val="22"/>
        </w:rPr>
      </w:pPr>
      <w:r>
        <w:t>Rys. 1</w:t>
      </w:r>
    </w:p>
    <w:bookmarkEnd w:id="7"/>
    <w:p w14:paraId="5D84DD54" w14:textId="11BA8B8D" w:rsidR="00D84729" w:rsidRPr="00D21DFC" w:rsidRDefault="1D66DE60" w:rsidP="6E92D854">
      <w:pPr>
        <w:spacing w:before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AAD9D25" wp14:editId="1636E04A">
            <wp:extent cx="1438275" cy="1438275"/>
            <wp:effectExtent l="0" t="0" r="0" b="0"/>
            <wp:docPr id="1637642706" name="Obrázek 163764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729" w:rsidRPr="00D21DFC" w:rsidSect="006F4688">
      <w:footerReference w:type="first" r:id="rId17"/>
      <w:pgSz w:w="11906" w:h="16838" w:code="9"/>
      <w:pgMar w:top="1814" w:right="1418" w:bottom="1560" w:left="1418" w:header="107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07" w14:textId="77777777" w:rsidR="00FB7FFB" w:rsidRDefault="00FB7FFB">
      <w:r>
        <w:separator/>
      </w:r>
    </w:p>
  </w:endnote>
  <w:endnote w:type="continuationSeparator" w:id="0">
    <w:p w14:paraId="1AE07AA1" w14:textId="77777777" w:rsidR="00FB7FFB" w:rsidRDefault="00FB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T*Palm Spring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5B0D" w14:textId="77777777" w:rsidR="00536DAC" w:rsidRPr="00A62492" w:rsidRDefault="00536DAC" w:rsidP="00A62492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>
      <w:t>2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62918698" w14:textId="77777777" w:rsidTr="005F74CD">
      <w:trPr>
        <w:trHeight w:val="300"/>
      </w:trPr>
      <w:tc>
        <w:tcPr>
          <w:tcW w:w="3020" w:type="dxa"/>
        </w:tcPr>
        <w:p w14:paraId="704A0DFD" w14:textId="11995407" w:rsidR="010941D5" w:rsidRDefault="010941D5" w:rsidP="005F74CD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29A05BE" w14:textId="3D8436E7" w:rsidR="010941D5" w:rsidRDefault="010941D5" w:rsidP="005F74CD">
          <w:pPr>
            <w:pStyle w:val="Header"/>
          </w:pPr>
        </w:p>
      </w:tc>
      <w:tc>
        <w:tcPr>
          <w:tcW w:w="3020" w:type="dxa"/>
        </w:tcPr>
        <w:p w14:paraId="087A1FB7" w14:textId="3A50C3BA" w:rsidR="010941D5" w:rsidRDefault="010941D5" w:rsidP="005F74CD">
          <w:pPr>
            <w:pStyle w:val="Header"/>
            <w:ind w:right="-115"/>
            <w:jc w:val="right"/>
          </w:pPr>
        </w:p>
      </w:tc>
    </w:tr>
  </w:tbl>
  <w:p w14:paraId="60E77D1C" w14:textId="11EA494C" w:rsidR="010941D5" w:rsidRDefault="010941D5" w:rsidP="005F7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04C6D2F3" w14:textId="77777777" w:rsidTr="005F74CD">
      <w:trPr>
        <w:trHeight w:val="300"/>
      </w:trPr>
      <w:tc>
        <w:tcPr>
          <w:tcW w:w="3020" w:type="dxa"/>
        </w:tcPr>
        <w:p w14:paraId="1CFC81E9" w14:textId="16E7AD1E" w:rsidR="010941D5" w:rsidRDefault="010941D5" w:rsidP="005F74CD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726D65A4" w14:textId="610C574C" w:rsidR="010941D5" w:rsidRDefault="010941D5" w:rsidP="005F74CD">
          <w:pPr>
            <w:pStyle w:val="Header"/>
          </w:pPr>
        </w:p>
      </w:tc>
      <w:tc>
        <w:tcPr>
          <w:tcW w:w="3020" w:type="dxa"/>
        </w:tcPr>
        <w:p w14:paraId="68A2795B" w14:textId="09A8DD8B" w:rsidR="010941D5" w:rsidRDefault="010941D5" w:rsidP="005F74CD">
          <w:pPr>
            <w:pStyle w:val="Header"/>
            <w:ind w:right="-115"/>
            <w:jc w:val="right"/>
          </w:pPr>
        </w:p>
      </w:tc>
    </w:tr>
  </w:tbl>
  <w:p w14:paraId="099FB2BB" w14:textId="5968AD1C" w:rsidR="010941D5" w:rsidRDefault="010941D5" w:rsidP="005F74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941D5" w14:paraId="18C159C2" w14:textId="77777777" w:rsidTr="005F74CD">
      <w:trPr>
        <w:trHeight w:val="300"/>
      </w:trPr>
      <w:tc>
        <w:tcPr>
          <w:tcW w:w="3020" w:type="dxa"/>
        </w:tcPr>
        <w:p w14:paraId="1B65D646" w14:textId="1CA5FB3E" w:rsidR="010941D5" w:rsidRDefault="010941D5" w:rsidP="005F74CD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11156FE" w14:textId="6E230318" w:rsidR="010941D5" w:rsidRDefault="010941D5" w:rsidP="005F74CD">
          <w:pPr>
            <w:pStyle w:val="Header"/>
          </w:pPr>
        </w:p>
      </w:tc>
      <w:tc>
        <w:tcPr>
          <w:tcW w:w="3020" w:type="dxa"/>
        </w:tcPr>
        <w:p w14:paraId="557CFAFD" w14:textId="313D1BA1" w:rsidR="010941D5" w:rsidRDefault="010941D5" w:rsidP="005F74CD">
          <w:pPr>
            <w:pStyle w:val="Header"/>
            <w:ind w:right="-115"/>
            <w:jc w:val="right"/>
          </w:pPr>
        </w:p>
      </w:tc>
    </w:tr>
  </w:tbl>
  <w:p w14:paraId="46D9495D" w14:textId="1EDB1204" w:rsidR="010941D5" w:rsidRDefault="010941D5" w:rsidP="005F7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460C" w14:textId="77777777" w:rsidR="00FB7FFB" w:rsidRDefault="00FB7FFB">
      <w:r>
        <w:separator/>
      </w:r>
    </w:p>
  </w:footnote>
  <w:footnote w:type="continuationSeparator" w:id="0">
    <w:p w14:paraId="0755FA59" w14:textId="77777777" w:rsidR="00FB7FFB" w:rsidRDefault="00FB7FFB">
      <w:r>
        <w:continuationSeparator/>
      </w:r>
    </w:p>
  </w:footnote>
  <w:footnote w:id="1">
    <w:p w14:paraId="4D818A8B" w14:textId="77777777" w:rsidR="0063265A" w:rsidRDefault="008573B0" w:rsidP="000C2050">
      <w:pPr>
        <w:pStyle w:val="FootnoteText"/>
        <w:tabs>
          <w:tab w:val="clear" w:pos="425"/>
        </w:tabs>
        <w:ind w:left="0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rozporządzenia (WE) nr 1925/2006 Parlamentu Europejskiego i Rady z dnia 20 grudnia 2006 r. w sprawie dodawania do żywności witamin i składników mineralnych oraz niektórych innych substancji, ze zmianami; </w:t>
      </w:r>
    </w:p>
  </w:footnote>
  <w:footnote w:id="2">
    <w:p w14:paraId="7DACE623" w14:textId="77777777" w:rsidR="0063265A" w:rsidRDefault="00CA5379" w:rsidP="000C2050">
      <w:pPr>
        <w:pStyle w:val="FootnoteText"/>
        <w:tabs>
          <w:tab w:val="clear" w:pos="425"/>
        </w:tabs>
        <w:ind w:left="-142" w:firstLine="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>
        <w:t xml:space="preserve">Ustawa nr 167/1998 o substancjach uzależniających i zmianie niektórych innych ustaw, ze zmianami, </w:t>
      </w:r>
    </w:p>
  </w:footnote>
  <w:footnote w:id="3">
    <w:p w14:paraId="3AEB8955" w14:textId="77777777" w:rsidR="655105DF" w:rsidRDefault="655105DF" w:rsidP="006A66EC">
      <w:pPr>
        <w:pStyle w:val="FootnoteText"/>
        <w:tabs>
          <w:tab w:val="clear" w:pos="425"/>
        </w:tabs>
        <w:ind w:left="-142" w:firstLine="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>
        <w:t xml:space="preserve">Ustawa nr 102/2001 o ogólnym bezpieczeństwie produktów oraz zmieniająca niektóre akty (ustawa o ogólnym bezpieczeństwie produktów), z późniejszymi zmianami. </w:t>
      </w:r>
    </w:p>
  </w:footnote>
  <w:footnote w:id="4">
    <w:p w14:paraId="6A282453" w14:textId="77777777" w:rsidR="655105DF" w:rsidRDefault="655105DF" w:rsidP="000C2050">
      <w:pPr>
        <w:pStyle w:val="FootnoteText"/>
        <w:tabs>
          <w:tab w:val="clear" w:pos="425"/>
        </w:tabs>
        <w:ind w:left="-142" w:firstLine="0"/>
        <w:jc w:val="both"/>
        <w:rPr>
          <w:rFonts w:cs="Arial"/>
        </w:rPr>
      </w:pPr>
      <w:r>
        <w:rPr>
          <w:rStyle w:val="FootnoteReference"/>
        </w:rPr>
        <w:footnoteRef/>
      </w:r>
      <w:r>
        <w:rPr>
          <w:vertAlign w:val="superscript"/>
        </w:rPr>
        <w:t xml:space="preserve">) </w:t>
      </w:r>
      <w:r>
        <w:t xml:space="preserve">Rozporządzenie (WE) nr 1907/2006 Parlamentu Europejskiego i Rady z dnia 18 grudnia 2006 r. w sprawie rejestracji, oceny, udzielania zezwoleń i stosowanych ograniczeń w zakresie chemikaliów (REACH) i utworzenia Europejskiej Agencji Chemikaliów, zmieniające dyrektywę 1999/45/WE oraz uchylające rozporządzenie Rady (EWG) nr 793/93 i rozporządzenie Komisji (WE) nr 1488/94, jak również dyrektywę Rady 76/769/EWG i dyrektywy Komisji 91/155/EWG, 93/67/EWG, 93/105/WE i 2000/21/WE, ze zmianami; </w:t>
      </w:r>
    </w:p>
    <w:p w14:paraId="2C83931C" w14:textId="072009C8" w:rsidR="655105DF" w:rsidRDefault="655105DF" w:rsidP="006A66EC">
      <w:pPr>
        <w:pStyle w:val="FootnoteText"/>
        <w:tabs>
          <w:tab w:val="clear" w:pos="425"/>
        </w:tabs>
        <w:ind w:left="-142" w:firstLine="0"/>
        <w:jc w:val="both"/>
      </w:pPr>
      <w:r>
        <w:t>Rozporządzenie Parlamentu Europejskiego i Rady (WE) nr 1272/2008 z dnia 16 grudnia 2008 r. w sprawie klasyfikacji, oznakowania i pakowania substancji i mieszanin, zmieniającego i uchylającego dyrektywy 67/548/EWG i 1999/45/WE oraz zmieniającego rozporządzenie (WE) nr 1907/2006, ze zmianami;</w:t>
      </w:r>
    </w:p>
  </w:footnote>
  <w:footnote w:id="5">
    <w:p w14:paraId="7F1B190B" w14:textId="77777777" w:rsidR="0063265A" w:rsidRDefault="00876A49" w:rsidP="00876A49">
      <w:pPr>
        <w:pStyle w:val="FootnoteText"/>
        <w:ind w:left="0" w:firstLine="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>
        <w:t xml:space="preserve">Pkt 3 załącznika do decyzji wykonawczej Komisji (UE) 2015/2186 z dnia 25 listopada 2015 r. ustanawiającej format przekazywania i udostępniania informacji o wyrobach tytoniowych. </w:t>
      </w:r>
    </w:p>
  </w:footnote>
  <w:footnote w:id="6">
    <w:p w14:paraId="3B637765" w14:textId="518FDD88" w:rsidR="002D40BC" w:rsidRDefault="002D40BC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 xml:space="preserve">) </w:t>
      </w:r>
      <w:r>
        <w:t xml:space="preserve">Decyzja wykonawcza Komisji (UE) 2015/2186.  </w:t>
      </w:r>
    </w:p>
  </w:footnote>
  <w:footnote w:id="7">
    <w:p w14:paraId="2D414D52" w14:textId="1D1CDE32" w:rsidR="002D40BC" w:rsidRDefault="002D40BC" w:rsidP="002D40BC">
      <w:pPr>
        <w:pStyle w:val="FootnoteText"/>
        <w:tabs>
          <w:tab w:val="clear" w:pos="425"/>
          <w:tab w:val="left" w:pos="142"/>
          <w:tab w:val="left" w:pos="993"/>
        </w:tabs>
        <w:ind w:left="0" w:firstLine="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>
        <w:t xml:space="preserve">Rozporządzenie (WE) nr 1907/2006 Parlamentu Europejskiego i Rady z dnia 18 grudnia 2006 r. w sprawie rejestracji, oceny, udzielania zezwoleń i stosowanych ograniczeń w zakresie chemikaliów (REACH) i utworzenia Europejskiej Agencji Chemikaliów, zmieniające dyrektywę 1999/45/WE oraz uchylające rozporządzenie Rady (EWG) nr 793/93 i rozporządzenie Komisji (WE) nr 1488/94, jak również dyrektywę Rady 76/769/EWG i dyrektywy Komisji 91/155/EWG, 93/67/EWG, 93/105/WE i 2000/21/WE, ze zmianami;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F8CE" w14:textId="77777777" w:rsidR="00536DAC" w:rsidRDefault="00536DAC" w:rsidP="0079759E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27AE" w14:textId="77777777" w:rsidR="00536DAC" w:rsidRPr="00E15FE8" w:rsidRDefault="00536DAC" w:rsidP="00E15FE8">
    <w:pPr>
      <w:pStyle w:val="Header"/>
      <w:ind w:left="0"/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5D4EBC"/>
    <w:multiLevelType w:val="hybridMultilevel"/>
    <w:tmpl w:val="508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39"/>
        </w:tabs>
        <w:ind w:left="539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3" w15:restartNumberingAfterBreak="0">
    <w:nsid w:val="12D52C91"/>
    <w:multiLevelType w:val="hybridMultilevel"/>
    <w:tmpl w:val="565EC760"/>
    <w:lvl w:ilvl="0" w:tplc="53DCB7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CF58E2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CEFB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C692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92E4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A6C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947C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F625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42D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5" w15:restartNumberingAfterBreak="0">
    <w:nsid w:val="1D6C7F8C"/>
    <w:multiLevelType w:val="hybridMultilevel"/>
    <w:tmpl w:val="C7EC285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C4E97"/>
    <w:multiLevelType w:val="hybridMultilevel"/>
    <w:tmpl w:val="532ADC90"/>
    <w:lvl w:ilvl="0" w:tplc="AB2C33B4">
      <w:start w:val="1"/>
      <w:numFmt w:val="decimal"/>
      <w:lvlText w:val="%1)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F5F37"/>
    <w:multiLevelType w:val="hybridMultilevel"/>
    <w:tmpl w:val="546A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37868"/>
    <w:multiLevelType w:val="hybridMultilevel"/>
    <w:tmpl w:val="78606EC4"/>
    <w:lvl w:ilvl="0" w:tplc="D2F8F5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86288"/>
    <w:multiLevelType w:val="hybridMultilevel"/>
    <w:tmpl w:val="C1FEE7C2"/>
    <w:lvl w:ilvl="0" w:tplc="BC769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1F41DE"/>
    <w:multiLevelType w:val="hybridMultilevel"/>
    <w:tmpl w:val="EA36BFF6"/>
    <w:lvl w:ilvl="0" w:tplc="E32E1B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AB358B"/>
    <w:multiLevelType w:val="hybridMultilevel"/>
    <w:tmpl w:val="22F454CC"/>
    <w:lvl w:ilvl="0" w:tplc="99945434">
      <w:start w:val="4"/>
      <w:numFmt w:val="decimal"/>
      <w:lvlText w:val="%1)"/>
      <w:lvlJc w:val="left"/>
      <w:pPr>
        <w:ind w:left="502" w:hanging="360"/>
      </w:pPr>
      <w:rPr>
        <w:rFonts w:cs="Arial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CAC54A3"/>
    <w:multiLevelType w:val="hybridMultilevel"/>
    <w:tmpl w:val="4EE647E8"/>
    <w:lvl w:ilvl="0" w:tplc="591C210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4" w15:restartNumberingAfterBreak="0">
    <w:nsid w:val="44BD4DB0"/>
    <w:multiLevelType w:val="hybridMultilevel"/>
    <w:tmpl w:val="7EB8BEAE"/>
    <w:lvl w:ilvl="0" w:tplc="D362FAD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738A251"/>
    <w:multiLevelType w:val="multilevel"/>
    <w:tmpl w:val="4738A251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9B52BD"/>
    <w:multiLevelType w:val="multilevel"/>
    <w:tmpl w:val="ACEE9BF8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F96654B"/>
    <w:multiLevelType w:val="hybridMultilevel"/>
    <w:tmpl w:val="398654B2"/>
    <w:lvl w:ilvl="0" w:tplc="8D1AAD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2E621F"/>
    <w:multiLevelType w:val="hybridMultilevel"/>
    <w:tmpl w:val="E4A0712A"/>
    <w:lvl w:ilvl="0" w:tplc="F9748D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6D248C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70CB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5427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5220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EC0B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80D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253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5A3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70E06"/>
    <w:multiLevelType w:val="hybridMultilevel"/>
    <w:tmpl w:val="4DDC7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C0991"/>
    <w:multiLevelType w:val="hybridMultilevel"/>
    <w:tmpl w:val="D8E45DC4"/>
    <w:lvl w:ilvl="0" w:tplc="48A08E80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FC448730">
      <w:start w:val="1"/>
      <w:numFmt w:val="lowerLetter"/>
      <w:lvlText w:val="%2)"/>
      <w:lvlJc w:val="left"/>
      <w:pPr>
        <w:ind w:left="149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odstavce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3" w15:restartNumberingAfterBreak="0">
    <w:nsid w:val="7042741E"/>
    <w:multiLevelType w:val="hybridMultilevel"/>
    <w:tmpl w:val="DD78F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B1569"/>
    <w:multiLevelType w:val="hybridMultilevel"/>
    <w:tmpl w:val="47AC0FCC"/>
    <w:lvl w:ilvl="0" w:tplc="814CD7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341266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2AB5B07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760A425F"/>
    <w:multiLevelType w:val="multilevel"/>
    <w:tmpl w:val="0096C03A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7723039"/>
    <w:multiLevelType w:val="hybridMultilevel"/>
    <w:tmpl w:val="4F282836"/>
    <w:lvl w:ilvl="0" w:tplc="4686E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6087"/>
    <w:multiLevelType w:val="hybridMultilevel"/>
    <w:tmpl w:val="DA7EC47C"/>
    <w:lvl w:ilvl="0" w:tplc="2BF0E37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7819534">
    <w:abstractNumId w:val="6"/>
  </w:num>
  <w:num w:numId="2" w16cid:durableId="1738479618">
    <w:abstractNumId w:val="29"/>
  </w:num>
  <w:num w:numId="3" w16cid:durableId="1865822399">
    <w:abstractNumId w:val="20"/>
  </w:num>
  <w:num w:numId="4" w16cid:durableId="1948582308">
    <w:abstractNumId w:val="21"/>
  </w:num>
  <w:num w:numId="5" w16cid:durableId="1084836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567333">
    <w:abstractNumId w:val="25"/>
  </w:num>
  <w:num w:numId="7" w16cid:durableId="1721784258">
    <w:abstractNumId w:val="27"/>
  </w:num>
  <w:num w:numId="8" w16cid:durableId="630356270">
    <w:abstractNumId w:val="16"/>
  </w:num>
  <w:num w:numId="9" w16cid:durableId="1612201469">
    <w:abstractNumId w:val="3"/>
  </w:num>
  <w:num w:numId="10" w16cid:durableId="1353647690">
    <w:abstractNumId w:val="8"/>
  </w:num>
  <w:num w:numId="11" w16cid:durableId="1024207791">
    <w:abstractNumId w:val="0"/>
  </w:num>
  <w:num w:numId="12" w16cid:durableId="911894429">
    <w:abstractNumId w:val="17"/>
  </w:num>
  <w:num w:numId="13" w16cid:durableId="1143429400">
    <w:abstractNumId w:val="18"/>
  </w:num>
  <w:num w:numId="14" w16cid:durableId="1619145117">
    <w:abstractNumId w:val="26"/>
  </w:num>
  <w:num w:numId="15" w16cid:durableId="360016796">
    <w:abstractNumId w:val="10"/>
  </w:num>
  <w:num w:numId="16" w16cid:durableId="112675670">
    <w:abstractNumId w:val="23"/>
  </w:num>
  <w:num w:numId="17" w16cid:durableId="996693553">
    <w:abstractNumId w:val="19"/>
  </w:num>
  <w:num w:numId="18" w16cid:durableId="1288465052">
    <w:abstractNumId w:val="24"/>
  </w:num>
  <w:num w:numId="19" w16cid:durableId="753402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7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042083">
    <w:abstractNumId w:val="28"/>
  </w:num>
  <w:num w:numId="22" w16cid:durableId="94592278">
    <w:abstractNumId w:val="4"/>
  </w:num>
  <w:num w:numId="23" w16cid:durableId="1736663865">
    <w:abstractNumId w:val="22"/>
  </w:num>
  <w:num w:numId="24" w16cid:durableId="708723259">
    <w:abstractNumId w:val="13"/>
  </w:num>
  <w:num w:numId="25" w16cid:durableId="1176306773">
    <w:abstractNumId w:val="7"/>
  </w:num>
  <w:num w:numId="26" w16cid:durableId="1994408033">
    <w:abstractNumId w:val="1"/>
  </w:num>
  <w:num w:numId="27" w16cid:durableId="1899776948">
    <w:abstractNumId w:val="9"/>
  </w:num>
  <w:num w:numId="28" w16cid:durableId="305089358">
    <w:abstractNumId w:val="5"/>
  </w:num>
  <w:num w:numId="29" w16cid:durableId="2070299892">
    <w:abstractNumId w:val="12"/>
  </w:num>
  <w:num w:numId="30" w16cid:durableId="2097481299">
    <w:abstractNumId w:val="14"/>
  </w:num>
  <w:num w:numId="31" w16cid:durableId="165834200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01AEA"/>
    <w:rsid w:val="00010484"/>
    <w:rsid w:val="00012CD4"/>
    <w:rsid w:val="00016145"/>
    <w:rsid w:val="000173C2"/>
    <w:rsid w:val="000251DD"/>
    <w:rsid w:val="00025F69"/>
    <w:rsid w:val="000273A5"/>
    <w:rsid w:val="00037A2F"/>
    <w:rsid w:val="00046B7C"/>
    <w:rsid w:val="000474D3"/>
    <w:rsid w:val="00051577"/>
    <w:rsid w:val="00051D2B"/>
    <w:rsid w:val="000625DA"/>
    <w:rsid w:val="00067D9D"/>
    <w:rsid w:val="00075FE3"/>
    <w:rsid w:val="00083BA7"/>
    <w:rsid w:val="00085E28"/>
    <w:rsid w:val="0008624E"/>
    <w:rsid w:val="00090983"/>
    <w:rsid w:val="00092B5C"/>
    <w:rsid w:val="00092DEA"/>
    <w:rsid w:val="000947D8"/>
    <w:rsid w:val="000A0F7C"/>
    <w:rsid w:val="000A4D02"/>
    <w:rsid w:val="000B19A9"/>
    <w:rsid w:val="000B432E"/>
    <w:rsid w:val="000C2050"/>
    <w:rsid w:val="000C32F7"/>
    <w:rsid w:val="000C6370"/>
    <w:rsid w:val="000C7874"/>
    <w:rsid w:val="000D0F8A"/>
    <w:rsid w:val="000D2258"/>
    <w:rsid w:val="000D2A4E"/>
    <w:rsid w:val="000D7FC4"/>
    <w:rsid w:val="000E7AAA"/>
    <w:rsid w:val="000F42E5"/>
    <w:rsid w:val="000F52BC"/>
    <w:rsid w:val="000F5FA3"/>
    <w:rsid w:val="000F7E24"/>
    <w:rsid w:val="0010123D"/>
    <w:rsid w:val="00103A34"/>
    <w:rsid w:val="001051E4"/>
    <w:rsid w:val="001107A3"/>
    <w:rsid w:val="00113EC1"/>
    <w:rsid w:val="001209D6"/>
    <w:rsid w:val="00120C5E"/>
    <w:rsid w:val="00121A57"/>
    <w:rsid w:val="00123591"/>
    <w:rsid w:val="00126EBF"/>
    <w:rsid w:val="00127ACE"/>
    <w:rsid w:val="001320EE"/>
    <w:rsid w:val="00134AA1"/>
    <w:rsid w:val="00144276"/>
    <w:rsid w:val="00145FF2"/>
    <w:rsid w:val="00150023"/>
    <w:rsid w:val="00150A67"/>
    <w:rsid w:val="00153DAD"/>
    <w:rsid w:val="001549BB"/>
    <w:rsid w:val="00156A1D"/>
    <w:rsid w:val="0016031B"/>
    <w:rsid w:val="0016164C"/>
    <w:rsid w:val="00161C74"/>
    <w:rsid w:val="00163C9F"/>
    <w:rsid w:val="00164935"/>
    <w:rsid w:val="00164AC2"/>
    <w:rsid w:val="001657F2"/>
    <w:rsid w:val="00172E89"/>
    <w:rsid w:val="0018073A"/>
    <w:rsid w:val="00181EB5"/>
    <w:rsid w:val="00190C70"/>
    <w:rsid w:val="00192BC3"/>
    <w:rsid w:val="001979AE"/>
    <w:rsid w:val="001A21B9"/>
    <w:rsid w:val="001A36AB"/>
    <w:rsid w:val="001A69BA"/>
    <w:rsid w:val="001A71E0"/>
    <w:rsid w:val="001A7A61"/>
    <w:rsid w:val="001C0217"/>
    <w:rsid w:val="001C14E0"/>
    <w:rsid w:val="001C3FF8"/>
    <w:rsid w:val="001D0D28"/>
    <w:rsid w:val="001D361F"/>
    <w:rsid w:val="001D55BF"/>
    <w:rsid w:val="001D734A"/>
    <w:rsid w:val="001E2D08"/>
    <w:rsid w:val="001E421B"/>
    <w:rsid w:val="001F3885"/>
    <w:rsid w:val="001F43F0"/>
    <w:rsid w:val="001F5212"/>
    <w:rsid w:val="00202901"/>
    <w:rsid w:val="0020440B"/>
    <w:rsid w:val="00206A89"/>
    <w:rsid w:val="00211B17"/>
    <w:rsid w:val="00211E08"/>
    <w:rsid w:val="00214D2E"/>
    <w:rsid w:val="00214E22"/>
    <w:rsid w:val="002229F7"/>
    <w:rsid w:val="00224518"/>
    <w:rsid w:val="00224B81"/>
    <w:rsid w:val="00231D28"/>
    <w:rsid w:val="002332ED"/>
    <w:rsid w:val="00241EC4"/>
    <w:rsid w:val="002453E7"/>
    <w:rsid w:val="0024587B"/>
    <w:rsid w:val="00246AB9"/>
    <w:rsid w:val="002504BC"/>
    <w:rsid w:val="0025414E"/>
    <w:rsid w:val="00255684"/>
    <w:rsid w:val="00256794"/>
    <w:rsid w:val="002720DD"/>
    <w:rsid w:val="002745EF"/>
    <w:rsid w:val="002764F7"/>
    <w:rsid w:val="00277D34"/>
    <w:rsid w:val="002818CB"/>
    <w:rsid w:val="0028211C"/>
    <w:rsid w:val="00282503"/>
    <w:rsid w:val="00283A84"/>
    <w:rsid w:val="00283FA9"/>
    <w:rsid w:val="00284A97"/>
    <w:rsid w:val="00285494"/>
    <w:rsid w:val="002858A5"/>
    <w:rsid w:val="00285A30"/>
    <w:rsid w:val="002869BC"/>
    <w:rsid w:val="00286D70"/>
    <w:rsid w:val="00292298"/>
    <w:rsid w:val="00292761"/>
    <w:rsid w:val="00293B88"/>
    <w:rsid w:val="0029756C"/>
    <w:rsid w:val="002A2897"/>
    <w:rsid w:val="002A488D"/>
    <w:rsid w:val="002A54F6"/>
    <w:rsid w:val="002B0D8E"/>
    <w:rsid w:val="002B1B8C"/>
    <w:rsid w:val="002B5CC2"/>
    <w:rsid w:val="002B76A7"/>
    <w:rsid w:val="002B7C26"/>
    <w:rsid w:val="002C013F"/>
    <w:rsid w:val="002C0905"/>
    <w:rsid w:val="002C2677"/>
    <w:rsid w:val="002C3C61"/>
    <w:rsid w:val="002C50E9"/>
    <w:rsid w:val="002C56AB"/>
    <w:rsid w:val="002C6091"/>
    <w:rsid w:val="002D14E5"/>
    <w:rsid w:val="002D1B9A"/>
    <w:rsid w:val="002D40BC"/>
    <w:rsid w:val="002D4FC5"/>
    <w:rsid w:val="002D630A"/>
    <w:rsid w:val="002E0D70"/>
    <w:rsid w:val="002E2249"/>
    <w:rsid w:val="002F02AC"/>
    <w:rsid w:val="002F0893"/>
    <w:rsid w:val="002F1FE9"/>
    <w:rsid w:val="002F273E"/>
    <w:rsid w:val="002F7141"/>
    <w:rsid w:val="0030321A"/>
    <w:rsid w:val="00313439"/>
    <w:rsid w:val="003173D8"/>
    <w:rsid w:val="00320478"/>
    <w:rsid w:val="00322E79"/>
    <w:rsid w:val="0032315B"/>
    <w:rsid w:val="003241A8"/>
    <w:rsid w:val="0033115C"/>
    <w:rsid w:val="00332489"/>
    <w:rsid w:val="00343FF8"/>
    <w:rsid w:val="00350704"/>
    <w:rsid w:val="00351912"/>
    <w:rsid w:val="00353387"/>
    <w:rsid w:val="003628F5"/>
    <w:rsid w:val="00364BFA"/>
    <w:rsid w:val="00366D70"/>
    <w:rsid w:val="00370CC2"/>
    <w:rsid w:val="00371380"/>
    <w:rsid w:val="0038066F"/>
    <w:rsid w:val="00381D39"/>
    <w:rsid w:val="00382DED"/>
    <w:rsid w:val="003917A0"/>
    <w:rsid w:val="003929FE"/>
    <w:rsid w:val="00393FE1"/>
    <w:rsid w:val="00396AD2"/>
    <w:rsid w:val="003A05C3"/>
    <w:rsid w:val="003A3136"/>
    <w:rsid w:val="003A4BA8"/>
    <w:rsid w:val="003A5990"/>
    <w:rsid w:val="003B05C0"/>
    <w:rsid w:val="003C05A1"/>
    <w:rsid w:val="003C3415"/>
    <w:rsid w:val="003C5C87"/>
    <w:rsid w:val="003D5DF7"/>
    <w:rsid w:val="003D7696"/>
    <w:rsid w:val="003E5B37"/>
    <w:rsid w:val="003F53F5"/>
    <w:rsid w:val="00405056"/>
    <w:rsid w:val="004059FC"/>
    <w:rsid w:val="0040636A"/>
    <w:rsid w:val="004117BE"/>
    <w:rsid w:val="00422B00"/>
    <w:rsid w:val="00424495"/>
    <w:rsid w:val="00426D76"/>
    <w:rsid w:val="0042746A"/>
    <w:rsid w:val="004325BA"/>
    <w:rsid w:val="0043580B"/>
    <w:rsid w:val="004369BB"/>
    <w:rsid w:val="00437E60"/>
    <w:rsid w:val="004408C9"/>
    <w:rsid w:val="00441678"/>
    <w:rsid w:val="00441A80"/>
    <w:rsid w:val="004425C0"/>
    <w:rsid w:val="00442A0E"/>
    <w:rsid w:val="004469DF"/>
    <w:rsid w:val="00451CC8"/>
    <w:rsid w:val="0045553E"/>
    <w:rsid w:val="00464BBD"/>
    <w:rsid w:val="004705FA"/>
    <w:rsid w:val="0047165F"/>
    <w:rsid w:val="00472D3E"/>
    <w:rsid w:val="004752D4"/>
    <w:rsid w:val="0047644B"/>
    <w:rsid w:val="0048683E"/>
    <w:rsid w:val="00491BF6"/>
    <w:rsid w:val="00491D09"/>
    <w:rsid w:val="00492D4A"/>
    <w:rsid w:val="00493062"/>
    <w:rsid w:val="00496B90"/>
    <w:rsid w:val="004A4F72"/>
    <w:rsid w:val="004B23FB"/>
    <w:rsid w:val="004B24EF"/>
    <w:rsid w:val="004B2636"/>
    <w:rsid w:val="004B3B3E"/>
    <w:rsid w:val="004B7BA7"/>
    <w:rsid w:val="004B7FA1"/>
    <w:rsid w:val="004C2182"/>
    <w:rsid w:val="004C78DD"/>
    <w:rsid w:val="004D6448"/>
    <w:rsid w:val="004D7D45"/>
    <w:rsid w:val="004E14DA"/>
    <w:rsid w:val="004E2AF3"/>
    <w:rsid w:val="004E593B"/>
    <w:rsid w:val="004E7D1C"/>
    <w:rsid w:val="004F0CBB"/>
    <w:rsid w:val="004F4E17"/>
    <w:rsid w:val="004F5DBA"/>
    <w:rsid w:val="004F5FA6"/>
    <w:rsid w:val="00501C18"/>
    <w:rsid w:val="00502C6F"/>
    <w:rsid w:val="00505CA2"/>
    <w:rsid w:val="0050693D"/>
    <w:rsid w:val="00511B13"/>
    <w:rsid w:val="005145AC"/>
    <w:rsid w:val="00515C54"/>
    <w:rsid w:val="00517735"/>
    <w:rsid w:val="005273BC"/>
    <w:rsid w:val="005310E0"/>
    <w:rsid w:val="00534E9C"/>
    <w:rsid w:val="00536DAC"/>
    <w:rsid w:val="00546C87"/>
    <w:rsid w:val="00550773"/>
    <w:rsid w:val="00551C94"/>
    <w:rsid w:val="00552EB7"/>
    <w:rsid w:val="00553656"/>
    <w:rsid w:val="005610A2"/>
    <w:rsid w:val="00563EA9"/>
    <w:rsid w:val="00565063"/>
    <w:rsid w:val="005665C6"/>
    <w:rsid w:val="00567068"/>
    <w:rsid w:val="00567226"/>
    <w:rsid w:val="00567800"/>
    <w:rsid w:val="00567E39"/>
    <w:rsid w:val="00573049"/>
    <w:rsid w:val="0057633B"/>
    <w:rsid w:val="005810D3"/>
    <w:rsid w:val="005857F4"/>
    <w:rsid w:val="0058698F"/>
    <w:rsid w:val="005874E7"/>
    <w:rsid w:val="00592E6D"/>
    <w:rsid w:val="0059514F"/>
    <w:rsid w:val="005955AB"/>
    <w:rsid w:val="0059773C"/>
    <w:rsid w:val="005A29DC"/>
    <w:rsid w:val="005A2C26"/>
    <w:rsid w:val="005A431C"/>
    <w:rsid w:val="005A5990"/>
    <w:rsid w:val="005A6A23"/>
    <w:rsid w:val="005B0449"/>
    <w:rsid w:val="005B05E8"/>
    <w:rsid w:val="005B0A5F"/>
    <w:rsid w:val="005B2CE6"/>
    <w:rsid w:val="005B3760"/>
    <w:rsid w:val="005B5E01"/>
    <w:rsid w:val="005B617D"/>
    <w:rsid w:val="005B686F"/>
    <w:rsid w:val="005B6D74"/>
    <w:rsid w:val="005B7C9D"/>
    <w:rsid w:val="005C15C2"/>
    <w:rsid w:val="005C5D97"/>
    <w:rsid w:val="005C68BE"/>
    <w:rsid w:val="005C68C7"/>
    <w:rsid w:val="005C7F56"/>
    <w:rsid w:val="005D2DCC"/>
    <w:rsid w:val="005D3140"/>
    <w:rsid w:val="005D3161"/>
    <w:rsid w:val="005D6830"/>
    <w:rsid w:val="005E091E"/>
    <w:rsid w:val="005E38CA"/>
    <w:rsid w:val="005E517D"/>
    <w:rsid w:val="005E52F2"/>
    <w:rsid w:val="005F0613"/>
    <w:rsid w:val="005F74CD"/>
    <w:rsid w:val="005F7A3C"/>
    <w:rsid w:val="00601866"/>
    <w:rsid w:val="006212E7"/>
    <w:rsid w:val="00621987"/>
    <w:rsid w:val="006233C2"/>
    <w:rsid w:val="0062370E"/>
    <w:rsid w:val="0062713B"/>
    <w:rsid w:val="0063165C"/>
    <w:rsid w:val="0063265A"/>
    <w:rsid w:val="006345C0"/>
    <w:rsid w:val="006351AB"/>
    <w:rsid w:val="0065366F"/>
    <w:rsid w:val="00654360"/>
    <w:rsid w:val="00657A0B"/>
    <w:rsid w:val="006643B5"/>
    <w:rsid w:val="006668DA"/>
    <w:rsid w:val="00666EB0"/>
    <w:rsid w:val="0066705D"/>
    <w:rsid w:val="00671A38"/>
    <w:rsid w:val="00671C99"/>
    <w:rsid w:val="00673878"/>
    <w:rsid w:val="00674977"/>
    <w:rsid w:val="006937F4"/>
    <w:rsid w:val="00695116"/>
    <w:rsid w:val="00695C46"/>
    <w:rsid w:val="006963A8"/>
    <w:rsid w:val="006A17C8"/>
    <w:rsid w:val="006A444D"/>
    <w:rsid w:val="006A66EC"/>
    <w:rsid w:val="006B578C"/>
    <w:rsid w:val="006B733D"/>
    <w:rsid w:val="006C4500"/>
    <w:rsid w:val="006C5871"/>
    <w:rsid w:val="006C58D0"/>
    <w:rsid w:val="006D0EFA"/>
    <w:rsid w:val="006D17E7"/>
    <w:rsid w:val="006D37EF"/>
    <w:rsid w:val="006D602A"/>
    <w:rsid w:val="006D7CC6"/>
    <w:rsid w:val="006E162B"/>
    <w:rsid w:val="006E7815"/>
    <w:rsid w:val="006F4688"/>
    <w:rsid w:val="0070249B"/>
    <w:rsid w:val="007049BA"/>
    <w:rsid w:val="00706FA4"/>
    <w:rsid w:val="00716F98"/>
    <w:rsid w:val="00717B6C"/>
    <w:rsid w:val="00717FA8"/>
    <w:rsid w:val="00722474"/>
    <w:rsid w:val="007251BE"/>
    <w:rsid w:val="00726689"/>
    <w:rsid w:val="00730B4D"/>
    <w:rsid w:val="00734C3A"/>
    <w:rsid w:val="00736893"/>
    <w:rsid w:val="00736C9E"/>
    <w:rsid w:val="00742928"/>
    <w:rsid w:val="007527D7"/>
    <w:rsid w:val="00753421"/>
    <w:rsid w:val="007556A6"/>
    <w:rsid w:val="0076347A"/>
    <w:rsid w:val="00764D74"/>
    <w:rsid w:val="00767743"/>
    <w:rsid w:val="007718F9"/>
    <w:rsid w:val="0077741E"/>
    <w:rsid w:val="00777AFB"/>
    <w:rsid w:val="0078204D"/>
    <w:rsid w:val="00786E4D"/>
    <w:rsid w:val="00793580"/>
    <w:rsid w:val="00794C1F"/>
    <w:rsid w:val="00797089"/>
    <w:rsid w:val="0079759E"/>
    <w:rsid w:val="007A6D82"/>
    <w:rsid w:val="007B176B"/>
    <w:rsid w:val="007B3EC4"/>
    <w:rsid w:val="007C3A84"/>
    <w:rsid w:val="007C412A"/>
    <w:rsid w:val="007C58E1"/>
    <w:rsid w:val="007C5EA7"/>
    <w:rsid w:val="007C6CEC"/>
    <w:rsid w:val="007D19FD"/>
    <w:rsid w:val="007D3737"/>
    <w:rsid w:val="007D619A"/>
    <w:rsid w:val="007D7429"/>
    <w:rsid w:val="007E0DAA"/>
    <w:rsid w:val="007E4D13"/>
    <w:rsid w:val="007F156D"/>
    <w:rsid w:val="007F23E6"/>
    <w:rsid w:val="007F2EB4"/>
    <w:rsid w:val="007F4003"/>
    <w:rsid w:val="0080162B"/>
    <w:rsid w:val="0080348C"/>
    <w:rsid w:val="00807A3E"/>
    <w:rsid w:val="008114A9"/>
    <w:rsid w:val="0081260C"/>
    <w:rsid w:val="00812F5E"/>
    <w:rsid w:val="00813962"/>
    <w:rsid w:val="00814B56"/>
    <w:rsid w:val="00822080"/>
    <w:rsid w:val="008235AE"/>
    <w:rsid w:val="008267B4"/>
    <w:rsid w:val="0083341D"/>
    <w:rsid w:val="0083433F"/>
    <w:rsid w:val="008356E5"/>
    <w:rsid w:val="00841669"/>
    <w:rsid w:val="00844BBF"/>
    <w:rsid w:val="00844EC3"/>
    <w:rsid w:val="0085060D"/>
    <w:rsid w:val="0085287D"/>
    <w:rsid w:val="008573B0"/>
    <w:rsid w:val="008632A1"/>
    <w:rsid w:val="00864F7D"/>
    <w:rsid w:val="00870991"/>
    <w:rsid w:val="00874E85"/>
    <w:rsid w:val="00876A49"/>
    <w:rsid w:val="00891F28"/>
    <w:rsid w:val="00892E0A"/>
    <w:rsid w:val="008937FE"/>
    <w:rsid w:val="00893CD6"/>
    <w:rsid w:val="008A004B"/>
    <w:rsid w:val="008A01F8"/>
    <w:rsid w:val="008A1597"/>
    <w:rsid w:val="008A49D6"/>
    <w:rsid w:val="008A5FDA"/>
    <w:rsid w:val="008A6F8B"/>
    <w:rsid w:val="008B4A16"/>
    <w:rsid w:val="008B6BFB"/>
    <w:rsid w:val="008C44EC"/>
    <w:rsid w:val="008C6465"/>
    <w:rsid w:val="008D58D1"/>
    <w:rsid w:val="008D79F0"/>
    <w:rsid w:val="008E1328"/>
    <w:rsid w:val="008E251C"/>
    <w:rsid w:val="008E4F64"/>
    <w:rsid w:val="008E5969"/>
    <w:rsid w:val="008E6768"/>
    <w:rsid w:val="008F38C5"/>
    <w:rsid w:val="008F66FF"/>
    <w:rsid w:val="009033E8"/>
    <w:rsid w:val="009106D5"/>
    <w:rsid w:val="0091085D"/>
    <w:rsid w:val="00912C31"/>
    <w:rsid w:val="00913BDD"/>
    <w:rsid w:val="00916068"/>
    <w:rsid w:val="00917F3B"/>
    <w:rsid w:val="0092127A"/>
    <w:rsid w:val="009212B6"/>
    <w:rsid w:val="0092249C"/>
    <w:rsid w:val="00924B0A"/>
    <w:rsid w:val="00924B40"/>
    <w:rsid w:val="00926FDC"/>
    <w:rsid w:val="0093375C"/>
    <w:rsid w:val="00933E5D"/>
    <w:rsid w:val="0094149F"/>
    <w:rsid w:val="00941D75"/>
    <w:rsid w:val="00942728"/>
    <w:rsid w:val="009449D8"/>
    <w:rsid w:val="009459C2"/>
    <w:rsid w:val="00947C46"/>
    <w:rsid w:val="00951C74"/>
    <w:rsid w:val="00951D62"/>
    <w:rsid w:val="009524AC"/>
    <w:rsid w:val="00954D78"/>
    <w:rsid w:val="0095519E"/>
    <w:rsid w:val="00955B80"/>
    <w:rsid w:val="009560E1"/>
    <w:rsid w:val="00957CB5"/>
    <w:rsid w:val="0096385B"/>
    <w:rsid w:val="0096445B"/>
    <w:rsid w:val="00966E3D"/>
    <w:rsid w:val="0097066B"/>
    <w:rsid w:val="009772D9"/>
    <w:rsid w:val="00982011"/>
    <w:rsid w:val="0098409D"/>
    <w:rsid w:val="00991BE4"/>
    <w:rsid w:val="00992949"/>
    <w:rsid w:val="00993C1D"/>
    <w:rsid w:val="00995B9B"/>
    <w:rsid w:val="009A1171"/>
    <w:rsid w:val="009A1CEC"/>
    <w:rsid w:val="009B382E"/>
    <w:rsid w:val="009B6E0F"/>
    <w:rsid w:val="009C368C"/>
    <w:rsid w:val="009D08AD"/>
    <w:rsid w:val="009D0D6E"/>
    <w:rsid w:val="009D1100"/>
    <w:rsid w:val="009D2E65"/>
    <w:rsid w:val="009D348C"/>
    <w:rsid w:val="009D5A24"/>
    <w:rsid w:val="009E446D"/>
    <w:rsid w:val="009F4938"/>
    <w:rsid w:val="009F6510"/>
    <w:rsid w:val="009F6B42"/>
    <w:rsid w:val="00A069F0"/>
    <w:rsid w:val="00A070DC"/>
    <w:rsid w:val="00A13F30"/>
    <w:rsid w:val="00A26A10"/>
    <w:rsid w:val="00A27921"/>
    <w:rsid w:val="00A32D5F"/>
    <w:rsid w:val="00A44542"/>
    <w:rsid w:val="00A460EF"/>
    <w:rsid w:val="00A50313"/>
    <w:rsid w:val="00A53EF0"/>
    <w:rsid w:val="00A54906"/>
    <w:rsid w:val="00A560FC"/>
    <w:rsid w:val="00A579B4"/>
    <w:rsid w:val="00A62492"/>
    <w:rsid w:val="00A6430E"/>
    <w:rsid w:val="00A6591A"/>
    <w:rsid w:val="00A65F40"/>
    <w:rsid w:val="00A72A04"/>
    <w:rsid w:val="00A7350E"/>
    <w:rsid w:val="00A74FE9"/>
    <w:rsid w:val="00A75E1C"/>
    <w:rsid w:val="00A86192"/>
    <w:rsid w:val="00A9001C"/>
    <w:rsid w:val="00A93F44"/>
    <w:rsid w:val="00A94C7F"/>
    <w:rsid w:val="00AA03B8"/>
    <w:rsid w:val="00AA3F94"/>
    <w:rsid w:val="00AA40AB"/>
    <w:rsid w:val="00AA6C79"/>
    <w:rsid w:val="00AA7135"/>
    <w:rsid w:val="00AB4C2E"/>
    <w:rsid w:val="00AB5216"/>
    <w:rsid w:val="00AB640F"/>
    <w:rsid w:val="00AC1750"/>
    <w:rsid w:val="00AC271C"/>
    <w:rsid w:val="00AC3FBB"/>
    <w:rsid w:val="00AC6882"/>
    <w:rsid w:val="00AD4060"/>
    <w:rsid w:val="00AD4222"/>
    <w:rsid w:val="00AD4BC5"/>
    <w:rsid w:val="00AD6483"/>
    <w:rsid w:val="00AD728D"/>
    <w:rsid w:val="00AE24E6"/>
    <w:rsid w:val="00AF277F"/>
    <w:rsid w:val="00B040BD"/>
    <w:rsid w:val="00B04D2B"/>
    <w:rsid w:val="00B07934"/>
    <w:rsid w:val="00B1313C"/>
    <w:rsid w:val="00B14E10"/>
    <w:rsid w:val="00B15678"/>
    <w:rsid w:val="00B2014F"/>
    <w:rsid w:val="00B20909"/>
    <w:rsid w:val="00B242F0"/>
    <w:rsid w:val="00B32669"/>
    <w:rsid w:val="00B3305C"/>
    <w:rsid w:val="00B330A2"/>
    <w:rsid w:val="00B342BA"/>
    <w:rsid w:val="00B34CA6"/>
    <w:rsid w:val="00B358B1"/>
    <w:rsid w:val="00B40D9E"/>
    <w:rsid w:val="00B459F7"/>
    <w:rsid w:val="00B47AFD"/>
    <w:rsid w:val="00B502CE"/>
    <w:rsid w:val="00B52409"/>
    <w:rsid w:val="00B535C9"/>
    <w:rsid w:val="00B62331"/>
    <w:rsid w:val="00B70B0A"/>
    <w:rsid w:val="00B70FBF"/>
    <w:rsid w:val="00B726BF"/>
    <w:rsid w:val="00B76083"/>
    <w:rsid w:val="00B809A3"/>
    <w:rsid w:val="00B9273C"/>
    <w:rsid w:val="00B93C10"/>
    <w:rsid w:val="00B940E3"/>
    <w:rsid w:val="00B97808"/>
    <w:rsid w:val="00BA4CF0"/>
    <w:rsid w:val="00BA5EF4"/>
    <w:rsid w:val="00BB0089"/>
    <w:rsid w:val="00BB1A19"/>
    <w:rsid w:val="00BB2418"/>
    <w:rsid w:val="00BB71F2"/>
    <w:rsid w:val="00BB76CF"/>
    <w:rsid w:val="00BB7A7E"/>
    <w:rsid w:val="00BC265B"/>
    <w:rsid w:val="00BC2ABE"/>
    <w:rsid w:val="00BC334D"/>
    <w:rsid w:val="00BC3C27"/>
    <w:rsid w:val="00BC4815"/>
    <w:rsid w:val="00BC4EAD"/>
    <w:rsid w:val="00BC60A0"/>
    <w:rsid w:val="00BC637A"/>
    <w:rsid w:val="00BD4BE5"/>
    <w:rsid w:val="00BE4BD4"/>
    <w:rsid w:val="00BF530A"/>
    <w:rsid w:val="00BF7F30"/>
    <w:rsid w:val="00C03418"/>
    <w:rsid w:val="00C14683"/>
    <w:rsid w:val="00C24754"/>
    <w:rsid w:val="00C27C15"/>
    <w:rsid w:val="00C30641"/>
    <w:rsid w:val="00C35267"/>
    <w:rsid w:val="00C36911"/>
    <w:rsid w:val="00C37349"/>
    <w:rsid w:val="00C42BB6"/>
    <w:rsid w:val="00C445EB"/>
    <w:rsid w:val="00C53862"/>
    <w:rsid w:val="00C53A66"/>
    <w:rsid w:val="00C53D3A"/>
    <w:rsid w:val="00C542A4"/>
    <w:rsid w:val="00C573D2"/>
    <w:rsid w:val="00C63054"/>
    <w:rsid w:val="00C63AEE"/>
    <w:rsid w:val="00C6536D"/>
    <w:rsid w:val="00C76AF4"/>
    <w:rsid w:val="00C82D30"/>
    <w:rsid w:val="00C84126"/>
    <w:rsid w:val="00C901DA"/>
    <w:rsid w:val="00C9061E"/>
    <w:rsid w:val="00C93B11"/>
    <w:rsid w:val="00CA442D"/>
    <w:rsid w:val="00CA51C7"/>
    <w:rsid w:val="00CA5379"/>
    <w:rsid w:val="00CC11F4"/>
    <w:rsid w:val="00CC73C7"/>
    <w:rsid w:val="00CD33E1"/>
    <w:rsid w:val="00CD48E7"/>
    <w:rsid w:val="00CD4EBE"/>
    <w:rsid w:val="00CD5BCF"/>
    <w:rsid w:val="00CD79F7"/>
    <w:rsid w:val="00CD7ADF"/>
    <w:rsid w:val="00CE1112"/>
    <w:rsid w:val="00CE18A1"/>
    <w:rsid w:val="00CE2C20"/>
    <w:rsid w:val="00CF18E4"/>
    <w:rsid w:val="00CF6A5D"/>
    <w:rsid w:val="00D0360D"/>
    <w:rsid w:val="00D1692B"/>
    <w:rsid w:val="00D20233"/>
    <w:rsid w:val="00D21DFC"/>
    <w:rsid w:val="00D223FD"/>
    <w:rsid w:val="00D244F8"/>
    <w:rsid w:val="00D26071"/>
    <w:rsid w:val="00D27929"/>
    <w:rsid w:val="00D27E25"/>
    <w:rsid w:val="00D30F35"/>
    <w:rsid w:val="00D32B91"/>
    <w:rsid w:val="00D3402F"/>
    <w:rsid w:val="00D35A9C"/>
    <w:rsid w:val="00D420E6"/>
    <w:rsid w:val="00D44C9A"/>
    <w:rsid w:val="00D50367"/>
    <w:rsid w:val="00D50848"/>
    <w:rsid w:val="00D536C1"/>
    <w:rsid w:val="00D56F93"/>
    <w:rsid w:val="00D621A5"/>
    <w:rsid w:val="00D70434"/>
    <w:rsid w:val="00D70CBA"/>
    <w:rsid w:val="00D71B7B"/>
    <w:rsid w:val="00D775AF"/>
    <w:rsid w:val="00D8035C"/>
    <w:rsid w:val="00D84729"/>
    <w:rsid w:val="00D90ED5"/>
    <w:rsid w:val="00D948F4"/>
    <w:rsid w:val="00D95304"/>
    <w:rsid w:val="00D96E4D"/>
    <w:rsid w:val="00DA015B"/>
    <w:rsid w:val="00DA5349"/>
    <w:rsid w:val="00DA6E30"/>
    <w:rsid w:val="00DB1074"/>
    <w:rsid w:val="00DB5ABD"/>
    <w:rsid w:val="00DC1573"/>
    <w:rsid w:val="00DC3340"/>
    <w:rsid w:val="00DC409E"/>
    <w:rsid w:val="00DC7109"/>
    <w:rsid w:val="00DC7179"/>
    <w:rsid w:val="00DD091B"/>
    <w:rsid w:val="00DD0D40"/>
    <w:rsid w:val="00DD15A9"/>
    <w:rsid w:val="00DD7630"/>
    <w:rsid w:val="00DE0C57"/>
    <w:rsid w:val="00DE6310"/>
    <w:rsid w:val="00DF2C8A"/>
    <w:rsid w:val="00DF3509"/>
    <w:rsid w:val="00DF4CDE"/>
    <w:rsid w:val="00DF66B1"/>
    <w:rsid w:val="00DF7852"/>
    <w:rsid w:val="00E0099A"/>
    <w:rsid w:val="00E00D00"/>
    <w:rsid w:val="00E015D4"/>
    <w:rsid w:val="00E02E23"/>
    <w:rsid w:val="00E05AA1"/>
    <w:rsid w:val="00E06106"/>
    <w:rsid w:val="00E100B9"/>
    <w:rsid w:val="00E1249F"/>
    <w:rsid w:val="00E12B14"/>
    <w:rsid w:val="00E148BA"/>
    <w:rsid w:val="00E15FE8"/>
    <w:rsid w:val="00E2184D"/>
    <w:rsid w:val="00E22F60"/>
    <w:rsid w:val="00E23E59"/>
    <w:rsid w:val="00E259D9"/>
    <w:rsid w:val="00E27591"/>
    <w:rsid w:val="00E304CE"/>
    <w:rsid w:val="00E31524"/>
    <w:rsid w:val="00E33088"/>
    <w:rsid w:val="00E4139E"/>
    <w:rsid w:val="00E465C1"/>
    <w:rsid w:val="00E50DB6"/>
    <w:rsid w:val="00E51F17"/>
    <w:rsid w:val="00E53B13"/>
    <w:rsid w:val="00E602AA"/>
    <w:rsid w:val="00E66159"/>
    <w:rsid w:val="00E7260A"/>
    <w:rsid w:val="00E73821"/>
    <w:rsid w:val="00E7519C"/>
    <w:rsid w:val="00E75AD4"/>
    <w:rsid w:val="00E83455"/>
    <w:rsid w:val="00E858D5"/>
    <w:rsid w:val="00E86B8F"/>
    <w:rsid w:val="00E90763"/>
    <w:rsid w:val="00E9292B"/>
    <w:rsid w:val="00E93F83"/>
    <w:rsid w:val="00EB2E83"/>
    <w:rsid w:val="00EB5153"/>
    <w:rsid w:val="00EC0982"/>
    <w:rsid w:val="00EC4A5C"/>
    <w:rsid w:val="00EC55C2"/>
    <w:rsid w:val="00EC5CC1"/>
    <w:rsid w:val="00EC6DA0"/>
    <w:rsid w:val="00EC7667"/>
    <w:rsid w:val="00ED1244"/>
    <w:rsid w:val="00ED1A17"/>
    <w:rsid w:val="00ED440B"/>
    <w:rsid w:val="00ED7A20"/>
    <w:rsid w:val="00EE0467"/>
    <w:rsid w:val="00EE2475"/>
    <w:rsid w:val="00F031F7"/>
    <w:rsid w:val="00F0726C"/>
    <w:rsid w:val="00F073A0"/>
    <w:rsid w:val="00F1266B"/>
    <w:rsid w:val="00F13BF5"/>
    <w:rsid w:val="00F14032"/>
    <w:rsid w:val="00F17EB5"/>
    <w:rsid w:val="00F22783"/>
    <w:rsid w:val="00F22EA5"/>
    <w:rsid w:val="00F2383D"/>
    <w:rsid w:val="00F26303"/>
    <w:rsid w:val="00F315AB"/>
    <w:rsid w:val="00F31A58"/>
    <w:rsid w:val="00F31D8D"/>
    <w:rsid w:val="00F32C18"/>
    <w:rsid w:val="00F32FEF"/>
    <w:rsid w:val="00F3306C"/>
    <w:rsid w:val="00F348B2"/>
    <w:rsid w:val="00F3522B"/>
    <w:rsid w:val="00F37BFF"/>
    <w:rsid w:val="00F40DF7"/>
    <w:rsid w:val="00F42F1C"/>
    <w:rsid w:val="00F435B9"/>
    <w:rsid w:val="00F52DAF"/>
    <w:rsid w:val="00F55400"/>
    <w:rsid w:val="00F5726D"/>
    <w:rsid w:val="00F626CB"/>
    <w:rsid w:val="00F66976"/>
    <w:rsid w:val="00F7525F"/>
    <w:rsid w:val="00F7547A"/>
    <w:rsid w:val="00F771FD"/>
    <w:rsid w:val="00F83B2C"/>
    <w:rsid w:val="00F8422D"/>
    <w:rsid w:val="00F8535F"/>
    <w:rsid w:val="00F869E0"/>
    <w:rsid w:val="00F92EAA"/>
    <w:rsid w:val="00F9568D"/>
    <w:rsid w:val="00F958E5"/>
    <w:rsid w:val="00F9784C"/>
    <w:rsid w:val="00FA275F"/>
    <w:rsid w:val="00FA3BDB"/>
    <w:rsid w:val="00FA3D79"/>
    <w:rsid w:val="00FA4E2E"/>
    <w:rsid w:val="00FA5994"/>
    <w:rsid w:val="00FA7FA9"/>
    <w:rsid w:val="00FB2BFD"/>
    <w:rsid w:val="00FB45D3"/>
    <w:rsid w:val="00FB6A34"/>
    <w:rsid w:val="00FB7FFB"/>
    <w:rsid w:val="00FC07B2"/>
    <w:rsid w:val="00FC5BBC"/>
    <w:rsid w:val="00FC6276"/>
    <w:rsid w:val="00FC7767"/>
    <w:rsid w:val="00FD2617"/>
    <w:rsid w:val="00FD4944"/>
    <w:rsid w:val="00FD78C8"/>
    <w:rsid w:val="00FE204F"/>
    <w:rsid w:val="00FE4085"/>
    <w:rsid w:val="00FE40F7"/>
    <w:rsid w:val="00FF0D58"/>
    <w:rsid w:val="00FF188C"/>
    <w:rsid w:val="00FF2D05"/>
    <w:rsid w:val="00FF34DF"/>
    <w:rsid w:val="00FF484E"/>
    <w:rsid w:val="00FF625E"/>
    <w:rsid w:val="00FF6539"/>
    <w:rsid w:val="010941D5"/>
    <w:rsid w:val="0129AD8C"/>
    <w:rsid w:val="013BCC1F"/>
    <w:rsid w:val="01E0F796"/>
    <w:rsid w:val="02A02B3D"/>
    <w:rsid w:val="03816589"/>
    <w:rsid w:val="062C979E"/>
    <w:rsid w:val="0637BBA6"/>
    <w:rsid w:val="0865DF39"/>
    <w:rsid w:val="099954FD"/>
    <w:rsid w:val="0A8B8956"/>
    <w:rsid w:val="0B548288"/>
    <w:rsid w:val="0B94F02F"/>
    <w:rsid w:val="0C93AA6B"/>
    <w:rsid w:val="0D82E406"/>
    <w:rsid w:val="0E7F4BA9"/>
    <w:rsid w:val="0FE86A4F"/>
    <w:rsid w:val="0FEF8F2A"/>
    <w:rsid w:val="105BB98A"/>
    <w:rsid w:val="10FD6870"/>
    <w:rsid w:val="111270DD"/>
    <w:rsid w:val="11CA33E6"/>
    <w:rsid w:val="1203A678"/>
    <w:rsid w:val="14B9C508"/>
    <w:rsid w:val="15FAEE26"/>
    <w:rsid w:val="1634B713"/>
    <w:rsid w:val="169045AE"/>
    <w:rsid w:val="16973DBA"/>
    <w:rsid w:val="16F59DF2"/>
    <w:rsid w:val="179CCBB8"/>
    <w:rsid w:val="17FFAE2D"/>
    <w:rsid w:val="18B861CD"/>
    <w:rsid w:val="1937F643"/>
    <w:rsid w:val="1B4C7871"/>
    <w:rsid w:val="1B8414A3"/>
    <w:rsid w:val="1BDF14EC"/>
    <w:rsid w:val="1C0C18F7"/>
    <w:rsid w:val="1C149E90"/>
    <w:rsid w:val="1C41D763"/>
    <w:rsid w:val="1C4D43D4"/>
    <w:rsid w:val="1C80F063"/>
    <w:rsid w:val="1CA04275"/>
    <w:rsid w:val="1CCC1281"/>
    <w:rsid w:val="1CDCA2CC"/>
    <w:rsid w:val="1D5D0AA6"/>
    <w:rsid w:val="1D66DE60"/>
    <w:rsid w:val="1D9D2F32"/>
    <w:rsid w:val="1DC07364"/>
    <w:rsid w:val="1E6AD5DC"/>
    <w:rsid w:val="1EEFD882"/>
    <w:rsid w:val="215E55F3"/>
    <w:rsid w:val="21B23DCF"/>
    <w:rsid w:val="21EB893A"/>
    <w:rsid w:val="23C98976"/>
    <w:rsid w:val="245CC571"/>
    <w:rsid w:val="2483511A"/>
    <w:rsid w:val="26BC4C6C"/>
    <w:rsid w:val="26D572FB"/>
    <w:rsid w:val="27792BB5"/>
    <w:rsid w:val="279FC3B1"/>
    <w:rsid w:val="28D9F93B"/>
    <w:rsid w:val="28E31FAA"/>
    <w:rsid w:val="2A77E854"/>
    <w:rsid w:val="2AA85720"/>
    <w:rsid w:val="2AF1FF88"/>
    <w:rsid w:val="2B55603F"/>
    <w:rsid w:val="2D24908E"/>
    <w:rsid w:val="2D3F0DB1"/>
    <w:rsid w:val="2D94B6F7"/>
    <w:rsid w:val="2D96C148"/>
    <w:rsid w:val="2E7A1C8A"/>
    <w:rsid w:val="2E8C3DD2"/>
    <w:rsid w:val="2FD2E7E0"/>
    <w:rsid w:val="31482D32"/>
    <w:rsid w:val="315B9374"/>
    <w:rsid w:val="31ADC485"/>
    <w:rsid w:val="32C614C4"/>
    <w:rsid w:val="32E0530D"/>
    <w:rsid w:val="32F763D5"/>
    <w:rsid w:val="348A0E86"/>
    <w:rsid w:val="34D4E7BE"/>
    <w:rsid w:val="34E31A28"/>
    <w:rsid w:val="358C37C5"/>
    <w:rsid w:val="359797C8"/>
    <w:rsid w:val="35FA8415"/>
    <w:rsid w:val="37381582"/>
    <w:rsid w:val="37434F36"/>
    <w:rsid w:val="374FB468"/>
    <w:rsid w:val="379B86A2"/>
    <w:rsid w:val="37A3AF69"/>
    <w:rsid w:val="37C4D168"/>
    <w:rsid w:val="38BF9E19"/>
    <w:rsid w:val="3960A1C9"/>
    <w:rsid w:val="39877928"/>
    <w:rsid w:val="39F352A8"/>
    <w:rsid w:val="3AFC5E8F"/>
    <w:rsid w:val="3B6601C2"/>
    <w:rsid w:val="3BFA05D8"/>
    <w:rsid w:val="3C17FCA5"/>
    <w:rsid w:val="3C32400E"/>
    <w:rsid w:val="3D00126C"/>
    <w:rsid w:val="3D944AB5"/>
    <w:rsid w:val="3DBEB881"/>
    <w:rsid w:val="3DE304DF"/>
    <w:rsid w:val="3F4EC988"/>
    <w:rsid w:val="3F9445B4"/>
    <w:rsid w:val="411C2901"/>
    <w:rsid w:val="41F8A0B1"/>
    <w:rsid w:val="42D29B7B"/>
    <w:rsid w:val="44243302"/>
    <w:rsid w:val="45BDDA2C"/>
    <w:rsid w:val="462FF8BD"/>
    <w:rsid w:val="4666A194"/>
    <w:rsid w:val="468B587C"/>
    <w:rsid w:val="476B43A1"/>
    <w:rsid w:val="47A286FA"/>
    <w:rsid w:val="47D5FE99"/>
    <w:rsid w:val="486B2869"/>
    <w:rsid w:val="4930138C"/>
    <w:rsid w:val="49777870"/>
    <w:rsid w:val="4A77F215"/>
    <w:rsid w:val="4B845CFE"/>
    <w:rsid w:val="4BE35AA8"/>
    <w:rsid w:val="4DC4B8D1"/>
    <w:rsid w:val="4E156589"/>
    <w:rsid w:val="4E3924B2"/>
    <w:rsid w:val="514AC712"/>
    <w:rsid w:val="519A9177"/>
    <w:rsid w:val="51FDAF0C"/>
    <w:rsid w:val="520A2D79"/>
    <w:rsid w:val="52600556"/>
    <w:rsid w:val="53F2DA16"/>
    <w:rsid w:val="559D918F"/>
    <w:rsid w:val="55C7C426"/>
    <w:rsid w:val="56E16594"/>
    <w:rsid w:val="584EB9B0"/>
    <w:rsid w:val="5995F66D"/>
    <w:rsid w:val="5C01F130"/>
    <w:rsid w:val="5CD41869"/>
    <w:rsid w:val="5ED024CB"/>
    <w:rsid w:val="5FB77A82"/>
    <w:rsid w:val="5FE269A9"/>
    <w:rsid w:val="60B80179"/>
    <w:rsid w:val="61266A15"/>
    <w:rsid w:val="617E3A0A"/>
    <w:rsid w:val="630ACA30"/>
    <w:rsid w:val="650A94D8"/>
    <w:rsid w:val="650FC398"/>
    <w:rsid w:val="655105DF"/>
    <w:rsid w:val="659F50BA"/>
    <w:rsid w:val="65ACC4ED"/>
    <w:rsid w:val="66FAE9E9"/>
    <w:rsid w:val="6842359A"/>
    <w:rsid w:val="6930B32D"/>
    <w:rsid w:val="69D85906"/>
    <w:rsid w:val="6BC8F755"/>
    <w:rsid w:val="6D084478"/>
    <w:rsid w:val="6D15DAF1"/>
    <w:rsid w:val="6E4C87B3"/>
    <w:rsid w:val="6E66A534"/>
    <w:rsid w:val="6E92D854"/>
    <w:rsid w:val="6F413FCA"/>
    <w:rsid w:val="70137B3D"/>
    <w:rsid w:val="7197F3D1"/>
    <w:rsid w:val="719AC3D4"/>
    <w:rsid w:val="73381BBB"/>
    <w:rsid w:val="7352E98F"/>
    <w:rsid w:val="74545800"/>
    <w:rsid w:val="746AEA10"/>
    <w:rsid w:val="74A0677D"/>
    <w:rsid w:val="74C0F5BA"/>
    <w:rsid w:val="7647E54F"/>
    <w:rsid w:val="766F4043"/>
    <w:rsid w:val="76C86A2C"/>
    <w:rsid w:val="77232BB3"/>
    <w:rsid w:val="778C34B6"/>
    <w:rsid w:val="78298C30"/>
    <w:rsid w:val="786E3C8E"/>
    <w:rsid w:val="78F46F51"/>
    <w:rsid w:val="792D1C1F"/>
    <w:rsid w:val="7BFF9D13"/>
    <w:rsid w:val="7C79506C"/>
    <w:rsid w:val="7C8D1017"/>
    <w:rsid w:val="7F2C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F4A4C"/>
  <w14:defaultImageDpi w14:val="0"/>
  <w15:docId w15:val="{A49488FC-98AE-43CF-AE0F-285B3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grey"/>
    <w:qFormat/>
    <w:rsid w:val="006D602A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2818CB"/>
    <w:pPr>
      <w:keepNext/>
      <w:overflowPunct w:val="0"/>
      <w:autoSpaceDE w:val="0"/>
      <w:autoSpaceDN w:val="0"/>
      <w:adjustRightInd w:val="0"/>
      <w:spacing w:before="120" w:after="0" w:line="240" w:lineRule="auto"/>
      <w:ind w:left="1440"/>
      <w:jc w:val="left"/>
      <w:textAlignment w:val="baseline"/>
      <w:outlineLvl w:val="3"/>
    </w:pPr>
    <w:rPr>
      <w:rFonts w:ascii="Times New Roman" w:hAnsi="Times New Roman"/>
      <w:color w:val="auto"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1669"/>
    <w:pPr>
      <w:keepNext/>
      <w:numPr>
        <w:ilvl w:val="4"/>
        <w:numId w:val="4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  <w:outlineLvl w:val="4"/>
    </w:pPr>
    <w:rPr>
      <w:rFonts w:ascii="Times New Roman" w:hAnsi="Times New Roman"/>
      <w:b/>
      <w:color w:val="auto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41669"/>
    <w:pPr>
      <w:numPr>
        <w:ilvl w:val="5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5"/>
    </w:pPr>
    <w:rPr>
      <w:rFonts w:ascii="Times New Roman" w:hAnsi="Times New Roman"/>
      <w:b/>
      <w:bCs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41669"/>
    <w:pPr>
      <w:numPr>
        <w:ilvl w:val="6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41669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hAnsi="Times New Roman"/>
      <w:i/>
      <w:iCs/>
      <w:color w:val="auto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41669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cs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pl-PL" w:eastAsia="cs-CZ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pl-PL" w:eastAsia="cs-CZ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818CB"/>
    <w:rPr>
      <w:rFonts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41669"/>
    <w:rPr>
      <w:rFonts w:cs="Times New Roman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4166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84166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4166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41669"/>
    <w:rPr>
      <w:rFonts w:ascii="Arial" w:hAnsi="Arial" w:cs="Arial"/>
    </w:rPr>
  </w:style>
  <w:style w:type="paragraph" w:styleId="Header">
    <w:name w:val="header"/>
    <w:basedOn w:val="Footer"/>
    <w:link w:val="HeaderChar"/>
    <w:uiPriority w:val="99"/>
    <w:rsid w:val="0020440B"/>
    <w:pPr>
      <w:ind w:left="1247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Footer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al"/>
    <w:next w:val="Normal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al"/>
    <w:rsid w:val="003C3415"/>
    <w:pPr>
      <w:spacing w:before="1200"/>
      <w:ind w:left="142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character" w:customStyle="1" w:styleId="jmeno">
    <w:name w:val="jmeno"/>
    <w:rsid w:val="00AB640F"/>
  </w:style>
  <w:style w:type="character" w:styleId="Hyperlink">
    <w:name w:val="Hyperlink"/>
    <w:basedOn w:val="DefaultParagraphFont"/>
    <w:uiPriority w:val="99"/>
    <w:rsid w:val="00E15FE8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yhlky">
    <w:name w:val="nadpis vyhlášky"/>
    <w:basedOn w:val="Normal"/>
    <w:next w:val="Ministerstvo"/>
    <w:rsid w:val="00841669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0"/>
    </w:pPr>
    <w:rPr>
      <w:rFonts w:ascii="Times New Roman" w:hAnsi="Times New Roman"/>
      <w:b/>
      <w:color w:val="auto"/>
      <w:sz w:val="20"/>
      <w:szCs w:val="20"/>
    </w:rPr>
  </w:style>
  <w:style w:type="paragraph" w:customStyle="1" w:styleId="Ministerstvo">
    <w:name w:val="Ministerstvo"/>
    <w:basedOn w:val="Normal"/>
    <w:next w:val="Normal"/>
    <w:rsid w:val="00841669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vrh">
    <w:name w:val="Návrh"/>
    <w:basedOn w:val="Normal"/>
    <w:next w:val="Normal"/>
    <w:rsid w:val="00841669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hAnsi="Times New Roman"/>
      <w:color w:val="auto"/>
      <w:spacing w:val="40"/>
      <w:sz w:val="20"/>
      <w:szCs w:val="20"/>
    </w:rPr>
  </w:style>
  <w:style w:type="paragraph" w:customStyle="1" w:styleId="VYHLKA">
    <w:name w:val="VYHLÁŠKA"/>
    <w:basedOn w:val="Normal"/>
    <w:next w:val="nadpisvyhlky"/>
    <w:rsid w:val="00841669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Textodstavce">
    <w:name w:val="Text odstavce"/>
    <w:basedOn w:val="Normal"/>
    <w:uiPriority w:val="99"/>
    <w:rsid w:val="0084166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  <w:outlineLvl w:val="6"/>
    </w:pPr>
    <w:rPr>
      <w:rFonts w:ascii="Times New Roman" w:hAnsi="Times New Roman"/>
      <w:color w:val="auto"/>
      <w:sz w:val="20"/>
      <w:szCs w:val="20"/>
    </w:rPr>
  </w:style>
  <w:style w:type="paragraph" w:customStyle="1" w:styleId="Textbodu">
    <w:name w:val="Text bodu"/>
    <w:basedOn w:val="Normal"/>
    <w:uiPriority w:val="99"/>
    <w:rsid w:val="00841669"/>
    <w:pPr>
      <w:tabs>
        <w:tab w:val="num" w:pos="851"/>
      </w:tabs>
      <w:overflowPunct w:val="0"/>
      <w:autoSpaceDE w:val="0"/>
      <w:autoSpaceDN w:val="0"/>
      <w:adjustRightInd w:val="0"/>
      <w:spacing w:after="0" w:line="240" w:lineRule="auto"/>
      <w:ind w:left="851" w:hanging="426"/>
      <w:jc w:val="left"/>
      <w:textAlignment w:val="baseline"/>
      <w:outlineLvl w:val="8"/>
    </w:pPr>
    <w:rPr>
      <w:rFonts w:ascii="Times New Roman" w:hAnsi="Times New Roman"/>
      <w:color w:val="auto"/>
      <w:sz w:val="20"/>
      <w:szCs w:val="20"/>
    </w:rPr>
  </w:style>
  <w:style w:type="paragraph" w:customStyle="1" w:styleId="Textpsmene">
    <w:name w:val="Text písmene"/>
    <w:basedOn w:val="Normal"/>
    <w:uiPriority w:val="99"/>
    <w:rsid w:val="00841669"/>
    <w:pPr>
      <w:tabs>
        <w:tab w:val="num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  <w:outlineLvl w:val="7"/>
    </w:pPr>
    <w:rPr>
      <w:rFonts w:ascii="Times New Roman" w:hAnsi="Times New Roman"/>
      <w:color w:val="auto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841669"/>
    <w:pPr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425" w:hanging="425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166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41669"/>
    <w:rPr>
      <w:rFonts w:cs="Times New Roman"/>
      <w:vertAlign w:val="superscript"/>
    </w:rPr>
  </w:style>
  <w:style w:type="paragraph" w:styleId="ListParagraph">
    <w:name w:val="List Paragraph"/>
    <w:aliases w:val="Odstavec_muj"/>
    <w:basedOn w:val="Normal"/>
    <w:link w:val="ListParagraphChar"/>
    <w:uiPriority w:val="99"/>
    <w:qFormat/>
    <w:rsid w:val="00841669"/>
    <w:pPr>
      <w:overflowPunct w:val="0"/>
      <w:autoSpaceDE w:val="0"/>
      <w:autoSpaceDN w:val="0"/>
      <w:adjustRightInd w:val="0"/>
      <w:spacing w:after="0" w:line="240" w:lineRule="auto"/>
      <w:ind w:left="708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ListParagraphChar">
    <w:name w:val="List Paragraph Char"/>
    <w:aliases w:val="Odstavec_muj Char"/>
    <w:link w:val="ListParagraph"/>
    <w:locked/>
    <w:rsid w:val="00786E4D"/>
  </w:style>
  <w:style w:type="paragraph" w:customStyle="1" w:styleId="Textparagrafu">
    <w:name w:val="Text paragrafu"/>
    <w:basedOn w:val="Normal"/>
    <w:uiPriority w:val="99"/>
    <w:rsid w:val="00277D34"/>
    <w:pPr>
      <w:spacing w:before="240" w:after="160" w:line="259" w:lineRule="auto"/>
      <w:ind w:firstLine="425"/>
      <w:jc w:val="left"/>
      <w:outlineLvl w:val="5"/>
    </w:pPr>
    <w:rPr>
      <w:rFonts w:ascii="Calibri" w:hAnsi="Calibri"/>
      <w:color w:val="auto"/>
      <w:szCs w:val="22"/>
      <w:lang w:eastAsia="en-US"/>
    </w:rPr>
  </w:style>
  <w:style w:type="paragraph" w:customStyle="1" w:styleId="Default">
    <w:name w:val="Default"/>
    <w:rsid w:val="00277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lovn">
    <w:name w:val="číslování"/>
    <w:basedOn w:val="Normal"/>
    <w:rsid w:val="00786E4D"/>
    <w:pPr>
      <w:numPr>
        <w:numId w:val="19"/>
      </w:numPr>
      <w:spacing w:after="0" w:line="240" w:lineRule="auto"/>
      <w:jc w:val="center"/>
    </w:pPr>
    <w:rPr>
      <w:rFonts w:ascii="Times New Roman" w:hAnsi="Times New Roman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786E4D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786E4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paragraph" w:customStyle="1" w:styleId="Paragraf">
    <w:name w:val="Paragraf"/>
    <w:basedOn w:val="Normal"/>
    <w:next w:val="Textodstavce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Oddl">
    <w:name w:val="Oddíl"/>
    <w:basedOn w:val="Normal"/>
    <w:next w:val="Nadpisod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4"/>
    </w:pPr>
    <w:rPr>
      <w:rFonts w:ascii="Times New Roman" w:hAnsi="Times New Roman"/>
      <w:color w:val="auto"/>
      <w:sz w:val="20"/>
      <w:szCs w:val="20"/>
    </w:rPr>
  </w:style>
  <w:style w:type="paragraph" w:customStyle="1" w:styleId="Nadpisoddlu">
    <w:name w:val="Nadpis oddílu"/>
    <w:basedOn w:val="Normal"/>
    <w:next w:val="Paragraf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b/>
      <w:color w:val="auto"/>
      <w:sz w:val="20"/>
      <w:szCs w:val="20"/>
    </w:rPr>
  </w:style>
  <w:style w:type="paragraph" w:customStyle="1" w:styleId="Dl">
    <w:name w:val="Díl"/>
    <w:basedOn w:val="Normal"/>
    <w:next w:val="Nadpisdlu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3"/>
    </w:pPr>
    <w:rPr>
      <w:rFonts w:ascii="Times New Roman" w:hAnsi="Times New Roman"/>
      <w:color w:val="auto"/>
      <w:sz w:val="20"/>
      <w:szCs w:val="20"/>
    </w:rPr>
  </w:style>
  <w:style w:type="paragraph" w:customStyle="1" w:styleId="Nadpisdlu">
    <w:name w:val="Nadpis dílu"/>
    <w:basedOn w:val="Normal"/>
    <w:next w:val="Od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color w:val="auto"/>
      <w:sz w:val="20"/>
      <w:szCs w:val="20"/>
    </w:rPr>
  </w:style>
  <w:style w:type="paragraph" w:customStyle="1" w:styleId="Hlava">
    <w:name w:val="Hlava"/>
    <w:basedOn w:val="Normal"/>
    <w:next w:val="Nadpishlavy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2"/>
    </w:pPr>
    <w:rPr>
      <w:rFonts w:ascii="Times New Roman" w:hAnsi="Times New Roman"/>
      <w:color w:val="auto"/>
      <w:sz w:val="20"/>
      <w:szCs w:val="20"/>
    </w:rPr>
  </w:style>
  <w:style w:type="paragraph" w:customStyle="1" w:styleId="Nadpishlavy">
    <w:name w:val="Nadpis hlavy"/>
    <w:basedOn w:val="Normal"/>
    <w:next w:val="Dl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">
    <w:name w:val="ČÁST"/>
    <w:basedOn w:val="Normal"/>
    <w:next w:val="NADPISSTI"/>
    <w:rsid w:val="002818CB"/>
    <w:pPr>
      <w:keepNext/>
      <w:keepLines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  <w:outlineLvl w:val="1"/>
    </w:pPr>
    <w:rPr>
      <w:rFonts w:ascii="Times New Roman" w:hAnsi="Times New Roman"/>
      <w:caps/>
      <w:color w:val="auto"/>
      <w:sz w:val="20"/>
      <w:szCs w:val="20"/>
    </w:rPr>
  </w:style>
  <w:style w:type="paragraph" w:customStyle="1" w:styleId="NADPISSTI">
    <w:name w:val="NADPIS ČÁSTI"/>
    <w:basedOn w:val="Normal"/>
    <w:next w:val="Hlava"/>
    <w:rsid w:val="002818CB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caps/>
      <w:color w:val="auto"/>
      <w:sz w:val="20"/>
      <w:szCs w:val="20"/>
    </w:rPr>
  </w:style>
  <w:style w:type="paragraph" w:customStyle="1" w:styleId="Novelizanbod">
    <w:name w:val="Novelizační bod"/>
    <w:basedOn w:val="Normal"/>
    <w:next w:val="Normal"/>
    <w:rsid w:val="002818CB"/>
    <w:pPr>
      <w:keepNext/>
      <w:keepLines/>
      <w:numPr>
        <w:numId w:val="22"/>
      </w:numPr>
      <w:tabs>
        <w:tab w:val="left" w:pos="851"/>
      </w:tabs>
      <w:overflowPunct w:val="0"/>
      <w:autoSpaceDE w:val="0"/>
      <w:autoSpaceDN w:val="0"/>
      <w:adjustRightInd w:val="0"/>
      <w:spacing w:before="48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funkce">
    <w:name w:val="funkce"/>
    <w:basedOn w:val="Normal"/>
    <w:rsid w:val="002818CB"/>
    <w:pPr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2818CB"/>
    <w:rPr>
      <w:rFonts w:cs="Times New Roman"/>
    </w:rPr>
  </w:style>
  <w:style w:type="paragraph" w:styleId="Caption">
    <w:name w:val="caption"/>
    <w:basedOn w:val="Normal"/>
    <w:next w:val="Normal"/>
    <w:uiPriority w:val="35"/>
    <w:qFormat/>
    <w:rsid w:val="002818CB"/>
    <w:pPr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Podpis">
    <w:name w:val="Podpis_"/>
    <w:basedOn w:val="Normal"/>
    <w:next w:val="funkce"/>
    <w:rsid w:val="002818CB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Nadpisparagrafu">
    <w:name w:val="Nadpis paragrafu"/>
    <w:basedOn w:val="Paragraf"/>
    <w:next w:val="Textodstavce"/>
    <w:rsid w:val="002818CB"/>
    <w:pPr>
      <w:numPr>
        <w:numId w:val="23"/>
      </w:numPr>
    </w:pPr>
    <w:rPr>
      <w:b/>
    </w:rPr>
  </w:style>
  <w:style w:type="paragraph" w:customStyle="1" w:styleId="VARIANTA">
    <w:name w:val="VARIANTA"/>
    <w:basedOn w:val="Normal"/>
    <w:next w:val="Normal"/>
    <w:rsid w:val="002818CB"/>
    <w:pPr>
      <w:keepNext/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paragraph" w:customStyle="1" w:styleId="VARIANTA-konec">
    <w:name w:val="VARIANTA - konec"/>
    <w:basedOn w:val="Normal"/>
    <w:next w:val="Normal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aps/>
      <w:color w:val="auto"/>
      <w:spacing w:val="60"/>
      <w:sz w:val="20"/>
      <w:szCs w:val="20"/>
    </w:rPr>
  </w:style>
  <w:style w:type="character" w:customStyle="1" w:styleId="Odkaznapoznpodarou">
    <w:name w:val="Odkaz na pozn. pod čarou"/>
    <w:rsid w:val="002818CB"/>
    <w:rPr>
      <w:vertAlign w:val="superscript"/>
    </w:rPr>
  </w:style>
  <w:style w:type="paragraph" w:customStyle="1" w:styleId="lnek">
    <w:name w:val="Článek"/>
    <w:basedOn w:val="Normal"/>
    <w:next w:val="Normal"/>
    <w:rsid w:val="002818CB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Nadpislnku">
    <w:name w:val="Nadpis článku"/>
    <w:basedOn w:val="lnek"/>
    <w:next w:val="Normal"/>
    <w:rsid w:val="002818CB"/>
    <w:rPr>
      <w:b/>
    </w:rPr>
  </w:style>
  <w:style w:type="paragraph" w:customStyle="1" w:styleId="Textlnku">
    <w:name w:val="Text článku"/>
    <w:basedOn w:val="Normal"/>
    <w:rsid w:val="002818CB"/>
    <w:pPr>
      <w:overflowPunct w:val="0"/>
      <w:autoSpaceDE w:val="0"/>
      <w:autoSpaceDN w:val="0"/>
      <w:adjustRightInd w:val="0"/>
      <w:spacing w:before="240" w:after="0" w:line="240" w:lineRule="auto"/>
      <w:ind w:firstLine="425"/>
      <w:jc w:val="left"/>
      <w:textAlignment w:val="baseline"/>
      <w:outlineLvl w:val="5"/>
    </w:pPr>
    <w:rPr>
      <w:rFonts w:ascii="Times New Roman" w:hAnsi="Times New Roman"/>
      <w:color w:val="auto"/>
      <w:sz w:val="20"/>
      <w:szCs w:val="20"/>
    </w:rPr>
  </w:style>
  <w:style w:type="paragraph" w:customStyle="1" w:styleId="Textbodunovely">
    <w:name w:val="Text bodu novely"/>
    <w:basedOn w:val="Normal"/>
    <w:next w:val="Normal"/>
    <w:rsid w:val="002818CB"/>
    <w:pPr>
      <w:overflowPunct w:val="0"/>
      <w:autoSpaceDE w:val="0"/>
      <w:autoSpaceDN w:val="0"/>
      <w:adjustRightInd w:val="0"/>
      <w:spacing w:after="0" w:line="240" w:lineRule="auto"/>
      <w:ind w:left="567" w:hanging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Anex-Nadpis">
    <w:name w:val="Anex - Nadpis"/>
    <w:basedOn w:val="Normal"/>
    <w:rsid w:val="002818CB"/>
    <w:pPr>
      <w:overflowPunct w:val="0"/>
      <w:autoSpaceDE w:val="0"/>
      <w:autoSpaceDN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/>
      <w:b/>
      <w:color w:val="auto"/>
      <w:sz w:val="20"/>
      <w:szCs w:val="20"/>
    </w:rPr>
  </w:style>
  <w:style w:type="paragraph" w:customStyle="1" w:styleId="Styl1">
    <w:name w:val="Styl1"/>
    <w:basedOn w:val="Normal"/>
    <w:rsid w:val="002818CB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1"/>
    </w:pPr>
    <w:rPr>
      <w:rFonts w:ascii="Times New Roman" w:hAnsi="Times New Roman" w:cs="Arial"/>
      <w:b/>
      <w:bCs/>
      <w:color w:val="auto"/>
      <w:sz w:val="20"/>
      <w:szCs w:val="28"/>
      <w:u w:val="single"/>
    </w:rPr>
  </w:style>
  <w:style w:type="paragraph" w:customStyle="1" w:styleId="dka">
    <w:name w:val="Řádka"/>
    <w:rsid w:val="002818CB"/>
    <w:pPr>
      <w:ind w:left="425"/>
      <w:jc w:val="both"/>
    </w:pPr>
    <w:rPr>
      <w:color w:val="000000"/>
      <w:sz w:val="24"/>
    </w:rPr>
  </w:style>
  <w:style w:type="paragraph" w:customStyle="1" w:styleId="Normln">
    <w:name w:val="Norm‡ln’"/>
    <w:rsid w:val="002818CB"/>
    <w:pPr>
      <w:ind w:left="425"/>
      <w:jc w:val="both"/>
    </w:pPr>
  </w:style>
  <w:style w:type="paragraph" w:styleId="CommentText">
    <w:name w:val="annotation text"/>
    <w:basedOn w:val="Normal"/>
    <w:link w:val="Comment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18C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18CB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i/>
      <w:iCs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18CB"/>
    <w:rPr>
      <w:rFonts w:cs="Times New Roman"/>
      <w:i/>
      <w:iCs/>
    </w:rPr>
  </w:style>
  <w:style w:type="paragraph" w:customStyle="1" w:styleId="tunsted5">
    <w:name w:val="tučně střed 5"/>
    <w:basedOn w:val="BodyText"/>
    <w:rsid w:val="002818CB"/>
    <w:pPr>
      <w:spacing w:before="60" w:after="60"/>
      <w:jc w:val="center"/>
    </w:pPr>
    <w:rPr>
      <w:b/>
    </w:rPr>
  </w:style>
  <w:style w:type="paragraph" w:styleId="BodyText">
    <w:name w:val="Body Text"/>
    <w:basedOn w:val="Normal"/>
    <w:link w:val="BodyTextChar"/>
    <w:uiPriority w:val="99"/>
    <w:rsid w:val="002818CB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18CB"/>
    <w:rPr>
      <w:rFonts w:cs="Times New Roman"/>
    </w:rPr>
  </w:style>
  <w:style w:type="paragraph" w:customStyle="1" w:styleId="dka3">
    <w:name w:val="Řádka 3"/>
    <w:basedOn w:val="BodyText"/>
    <w:rsid w:val="002818CB"/>
    <w:pPr>
      <w:spacing w:before="120" w:after="0"/>
    </w:pPr>
  </w:style>
  <w:style w:type="paragraph" w:styleId="BodyText3">
    <w:name w:val="Body Text 3"/>
    <w:basedOn w:val="Normal"/>
    <w:link w:val="BodyText3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818CB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2818CB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tLeast"/>
      <w:ind w:left="709" w:hanging="709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18CB"/>
    <w:rPr>
      <w:rFonts w:cs="Times New Roman"/>
    </w:rPr>
  </w:style>
  <w:style w:type="paragraph" w:customStyle="1" w:styleId="nzevzkona">
    <w:name w:val="název zákona"/>
    <w:basedOn w:val="Title"/>
    <w:rsid w:val="002818CB"/>
    <w:pPr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2818C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="Arial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818CB"/>
    <w:rPr>
      <w:rFonts w:ascii="Arial" w:hAnsi="Arial" w:cs="Arial"/>
      <w:b/>
      <w:bCs/>
      <w:kern w:val="28"/>
      <w:sz w:val="32"/>
      <w:szCs w:val="32"/>
    </w:rPr>
  </w:style>
  <w:style w:type="paragraph" w:customStyle="1" w:styleId="odstavec1">
    <w:name w:val="odstavec 1"/>
    <w:basedOn w:val="Normal"/>
    <w:rsid w:val="002818CB"/>
    <w:pPr>
      <w:overflowPunct w:val="0"/>
      <w:autoSpaceDE w:val="0"/>
      <w:autoSpaceDN w:val="0"/>
      <w:adjustRightInd w:val="0"/>
      <w:spacing w:before="120" w:after="0" w:line="240" w:lineRule="auto"/>
      <w:ind w:firstLine="567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paragraph" w:customStyle="1" w:styleId="12">
    <w:name w:val="12"/>
    <w:basedOn w:val="Normal"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bCs/>
      <w:color w:val="auto"/>
      <w:sz w:val="20"/>
      <w:szCs w:val="20"/>
    </w:rPr>
  </w:style>
  <w:style w:type="paragraph" w:customStyle="1" w:styleId="koln">
    <w:name w:val="školní"/>
    <w:basedOn w:val="Normal"/>
    <w:rsid w:val="002818CB"/>
    <w:pPr>
      <w:overflowPunct w:val="0"/>
      <w:autoSpaceDE w:val="0"/>
      <w:autoSpaceDN w:val="0"/>
      <w:adjustRightInd w:val="0"/>
      <w:spacing w:after="80" w:line="280" w:lineRule="atLeast"/>
      <w:ind w:firstLine="680"/>
      <w:jc w:val="left"/>
      <w:textAlignment w:val="baseline"/>
    </w:pPr>
    <w:rPr>
      <w:rFonts w:ascii="AT*Palm Springs" w:hAnsi="AT*Palm Springs"/>
      <w:color w:val="auto"/>
      <w:kern w:val="24"/>
      <w:sz w:val="24"/>
      <w:szCs w:val="20"/>
    </w:rPr>
  </w:style>
  <w:style w:type="paragraph" w:customStyle="1" w:styleId="Textnormy">
    <w:name w:val="Text normy"/>
    <w:rsid w:val="002818CB"/>
    <w:pPr>
      <w:spacing w:after="120"/>
      <w:ind w:left="425"/>
      <w:jc w:val="both"/>
    </w:pPr>
    <w:rPr>
      <w:rFonts w:ascii="Arial" w:hAnsi="Arial"/>
    </w:rPr>
  </w:style>
  <w:style w:type="paragraph" w:customStyle="1" w:styleId="adresa4">
    <w:name w:val="adresa 4"/>
    <w:basedOn w:val="Normal"/>
    <w:rsid w:val="002818CB"/>
    <w:pPr>
      <w:overflowPunct w:val="0"/>
      <w:autoSpaceDE w:val="0"/>
      <w:autoSpaceDN w:val="0"/>
      <w:adjustRightInd w:val="0"/>
      <w:spacing w:after="0" w:line="240" w:lineRule="auto"/>
      <w:ind w:left="5954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TextpsmeneChar">
    <w:name w:val="Text písmene Char"/>
    <w:rsid w:val="002818CB"/>
    <w:rPr>
      <w:sz w:val="24"/>
    </w:rPr>
  </w:style>
  <w:style w:type="character" w:customStyle="1" w:styleId="TextodstavceChar">
    <w:name w:val="Text odstavce Char"/>
    <w:rsid w:val="002818CB"/>
    <w:rPr>
      <w:sz w:val="24"/>
    </w:rPr>
  </w:style>
  <w:style w:type="paragraph" w:styleId="PlainText">
    <w:name w:val="Plain Text"/>
    <w:basedOn w:val="Normal"/>
    <w:link w:val="PlainTextChar"/>
    <w:uiPriority w:val="99"/>
    <w:semiHidden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18CB"/>
    <w:rPr>
      <w:rFonts w:ascii="Courier New" w:hAnsi="Courier New" w:cs="Courier New"/>
    </w:rPr>
  </w:style>
  <w:style w:type="character" w:customStyle="1" w:styleId="TextparagrafuChar">
    <w:name w:val="Text paragrafu Char"/>
    <w:rsid w:val="002818CB"/>
    <w:rPr>
      <w:sz w:val="24"/>
    </w:rPr>
  </w:style>
  <w:style w:type="paragraph" w:customStyle="1" w:styleId="CELEX">
    <w:name w:val="CELEX"/>
    <w:basedOn w:val="Normal"/>
    <w:next w:val="Normal"/>
    <w:rsid w:val="002818C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Times New Roman" w:hAnsi="Times New Roman"/>
      <w:i/>
      <w:color w:val="auto"/>
      <w:sz w:val="20"/>
      <w:szCs w:val="20"/>
    </w:rPr>
  </w:style>
  <w:style w:type="paragraph" w:customStyle="1" w:styleId="l5">
    <w:name w:val="l5"/>
    <w:basedOn w:val="Normal"/>
    <w:rsid w:val="002818CB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left"/>
      <w:textAlignment w:val="baseline"/>
    </w:pPr>
    <w:rPr>
      <w:rFonts w:ascii="Times New Roman" w:hAnsi="Times New Roman"/>
      <w:color w:val="auto"/>
      <w:sz w:val="20"/>
    </w:rPr>
  </w:style>
  <w:style w:type="character" w:styleId="IntenseReference">
    <w:name w:val="Intense Reference"/>
    <w:basedOn w:val="DefaultParagraphFont"/>
    <w:uiPriority w:val="32"/>
    <w:qFormat/>
    <w:rsid w:val="002818CB"/>
    <w:rPr>
      <w:rFonts w:cs="Times New Roman"/>
      <w:b/>
      <w:smallCaps/>
      <w:color w:val="4472C4"/>
      <w:spacing w:val="5"/>
    </w:rPr>
  </w:style>
  <w:style w:type="character" w:styleId="CommentReference">
    <w:name w:val="annotation reference"/>
    <w:basedOn w:val="DefaultParagraphFont"/>
    <w:uiPriority w:val="99"/>
    <w:semiHidden/>
    <w:rsid w:val="002818CB"/>
    <w:rPr>
      <w:rFonts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8CB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MS Mincho" w:hAnsi="Times New Roman"/>
      <w:color w:val="5A5A5A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818CB"/>
    <w:rPr>
      <w:rFonts w:eastAsia="MS Mincho" w:cs="Times New Roman"/>
      <w:color w:val="5A5A5A"/>
      <w:spacing w:val="15"/>
    </w:rPr>
  </w:style>
  <w:style w:type="character" w:styleId="FollowedHyperlink">
    <w:name w:val="FollowedHyperlink"/>
    <w:basedOn w:val="DefaultParagraphFont"/>
    <w:uiPriority w:val="99"/>
    <w:semiHidden/>
    <w:rsid w:val="002818CB"/>
    <w:rPr>
      <w:rFonts w:cs="Times New Roman"/>
      <w:color w:val="954F72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818CB"/>
    <w:rPr>
      <w:rFonts w:cs="Times New Roman"/>
      <w:vertAlign w:val="superscript"/>
    </w:rPr>
  </w:style>
  <w:style w:type="character" w:customStyle="1" w:styleId="TextvysvtlivekChar">
    <w:name w:val="Text vysvětlivek Char"/>
    <w:semiHidden/>
    <w:rsid w:val="002818CB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18CB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818CB"/>
    <w:rPr>
      <w:rFonts w:cs="Times New Roman"/>
    </w:rPr>
  </w:style>
  <w:style w:type="paragraph" w:styleId="Revision">
    <w:name w:val="Revision"/>
    <w:hidden/>
    <w:uiPriority w:val="99"/>
    <w:semiHidden/>
    <w:rsid w:val="002818CB"/>
    <w:rPr>
      <w:rFonts w:ascii="Calibri" w:hAnsi="Calibri" w:cs="Arial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18CB"/>
    <w:rPr>
      <w:rFonts w:cs="Times New Roman"/>
      <w:color w:val="605E5C"/>
      <w:shd w:val="clear" w:color="auto" w:fill="E1DFDD"/>
    </w:rPr>
  </w:style>
  <w:style w:type="paragraph" w:customStyle="1" w:styleId="sporn">
    <w:name w:val="úsporný"/>
    <w:basedOn w:val="Normal"/>
    <w:rsid w:val="002818CB"/>
    <w:pPr>
      <w:overflowPunct w:val="0"/>
      <w:autoSpaceDE w:val="0"/>
      <w:autoSpaceDN w:val="0"/>
      <w:adjustRightInd w:val="0"/>
      <w:spacing w:after="40" w:line="240" w:lineRule="atLeast"/>
      <w:ind w:firstLine="284"/>
      <w:jc w:val="left"/>
      <w:textAlignment w:val="baseline"/>
    </w:pPr>
    <w:rPr>
      <w:rFonts w:ascii="AT*Palm Springs" w:hAnsi="AT*Palm Springs"/>
      <w:color w:val="auto"/>
      <w:kern w:val="24"/>
      <w:sz w:val="20"/>
      <w:szCs w:val="20"/>
    </w:rPr>
  </w:style>
  <w:style w:type="paragraph" w:customStyle="1" w:styleId="Nadpis2">
    <w:name w:val="Nadpis2"/>
    <w:basedOn w:val="Normal"/>
    <w:next w:val="koln"/>
    <w:rsid w:val="002818CB"/>
    <w:pPr>
      <w:overflowPunct w:val="0"/>
      <w:autoSpaceDE w:val="0"/>
      <w:autoSpaceDN w:val="0"/>
      <w:adjustRightInd w:val="0"/>
      <w:spacing w:after="0" w:line="240" w:lineRule="atLeast"/>
      <w:ind w:left="284" w:firstLine="284"/>
      <w:jc w:val="center"/>
      <w:textAlignment w:val="baseline"/>
    </w:pPr>
    <w:rPr>
      <w:rFonts w:ascii="GaramondE" w:hAnsi="GaramondE"/>
      <w:b/>
      <w:smallCaps/>
      <w:color w:val="auto"/>
      <w:sz w:val="36"/>
      <w:szCs w:val="20"/>
      <w:u w:val="single"/>
    </w:rPr>
  </w:style>
  <w:style w:type="paragraph" w:customStyle="1" w:styleId="NadpisV">
    <w:name w:val="Nadpis V."/>
    <w:basedOn w:val="koln"/>
    <w:rsid w:val="002818CB"/>
    <w:rPr>
      <w:b/>
    </w:rPr>
  </w:style>
  <w:style w:type="paragraph" w:customStyle="1" w:styleId="NadpisIV">
    <w:name w:val="Nadpis IV."/>
    <w:basedOn w:val="koln"/>
    <w:next w:val="koln"/>
    <w:rsid w:val="002818CB"/>
    <w:pPr>
      <w:keepNext/>
      <w:keepLines/>
      <w:suppressAutoHyphens/>
      <w:spacing w:line="320" w:lineRule="atLeast"/>
      <w:ind w:left="680" w:firstLine="0"/>
    </w:pPr>
    <w:rPr>
      <w:b/>
      <w:sz w:val="28"/>
    </w:rPr>
  </w:style>
  <w:style w:type="paragraph" w:customStyle="1" w:styleId="NadpisIII">
    <w:name w:val="Nadpis III."/>
    <w:basedOn w:val="Normal"/>
    <w:next w:val="koln"/>
    <w:rsid w:val="002818CB"/>
    <w:pPr>
      <w:keepNext/>
      <w:keepLines/>
      <w:suppressAutoHyphens/>
      <w:overflowPunct w:val="0"/>
      <w:autoSpaceDE w:val="0"/>
      <w:autoSpaceDN w:val="0"/>
      <w:adjustRightInd w:val="0"/>
      <w:spacing w:line="360" w:lineRule="atLeast"/>
      <w:ind w:left="284"/>
      <w:jc w:val="left"/>
      <w:textAlignment w:val="baseline"/>
    </w:pPr>
    <w:rPr>
      <w:rFonts w:ascii="GaramondE" w:hAnsi="GaramondE"/>
      <w:b/>
      <w:color w:val="auto"/>
      <w:kern w:val="24"/>
      <w:sz w:val="32"/>
      <w:szCs w:val="20"/>
    </w:rPr>
  </w:style>
  <w:style w:type="paragraph" w:customStyle="1" w:styleId="NadpisII">
    <w:name w:val="Nadpis II."/>
    <w:basedOn w:val="Normal"/>
    <w:next w:val="koln"/>
    <w:rsid w:val="002818CB"/>
    <w:pPr>
      <w:keepNext/>
      <w:keepLines/>
      <w:pageBreakBefore/>
      <w:pBdr>
        <w:bottom w:val="single" w:sz="12" w:space="0" w:color="auto"/>
      </w:pBdr>
      <w:suppressAutoHyphens/>
      <w:overflowPunct w:val="0"/>
      <w:autoSpaceDE w:val="0"/>
      <w:autoSpaceDN w:val="0"/>
      <w:adjustRightInd w:val="0"/>
      <w:spacing w:line="440" w:lineRule="atLeast"/>
      <w:jc w:val="center"/>
      <w:textAlignment w:val="baseline"/>
    </w:pPr>
    <w:rPr>
      <w:rFonts w:ascii="AT*Palm Springs" w:hAnsi="AT*Palm Springs"/>
      <w:b/>
      <w:smallCaps/>
      <w:color w:val="auto"/>
      <w:spacing w:val="-20"/>
      <w:kern w:val="28"/>
      <w:sz w:val="40"/>
      <w:szCs w:val="20"/>
    </w:rPr>
  </w:style>
  <w:style w:type="paragraph" w:customStyle="1" w:styleId="NadpisI">
    <w:name w:val="Nadpis I."/>
    <w:basedOn w:val="Normal"/>
    <w:next w:val="koln"/>
    <w:rsid w:val="002818CB"/>
    <w:pPr>
      <w:keepLines/>
      <w:pageBreakBefore/>
      <w:suppressAutoHyphens/>
      <w:overflowPunct w:val="0"/>
      <w:autoSpaceDE w:val="0"/>
      <w:autoSpaceDN w:val="0"/>
      <w:adjustRightInd w:val="0"/>
      <w:spacing w:after="0" w:line="440" w:lineRule="atLeast"/>
      <w:jc w:val="center"/>
      <w:textAlignment w:val="baseline"/>
    </w:pPr>
    <w:rPr>
      <w:rFonts w:ascii="GaramondE" w:hAnsi="GaramondE"/>
      <w:b/>
      <w:color w:val="auto"/>
      <w:kern w:val="32"/>
      <w:sz w:val="40"/>
      <w:szCs w:val="20"/>
    </w:rPr>
  </w:style>
  <w:style w:type="paragraph" w:customStyle="1" w:styleId="citace">
    <w:name w:val="citace"/>
    <w:basedOn w:val="Normal"/>
    <w:rsid w:val="002818CB"/>
    <w:pPr>
      <w:overflowPunct w:val="0"/>
      <w:autoSpaceDE w:val="0"/>
      <w:autoSpaceDN w:val="0"/>
      <w:adjustRightInd w:val="0"/>
      <w:spacing w:before="60" w:after="0" w:line="240" w:lineRule="auto"/>
      <w:ind w:left="284" w:hanging="284"/>
      <w:jc w:val="left"/>
      <w:textAlignment w:val="baseline"/>
    </w:pPr>
    <w:rPr>
      <w:rFonts w:ascii="Times New Roman" w:hAnsi="Times New Roman"/>
      <w:color w:val="auto"/>
      <w:sz w:val="24"/>
      <w:szCs w:val="20"/>
    </w:rPr>
  </w:style>
  <w:style w:type="paragraph" w:customStyle="1" w:styleId="koln2">
    <w:name w:val="Školní2"/>
    <w:basedOn w:val="Normal"/>
    <w:rsid w:val="002818CB"/>
    <w:pPr>
      <w:overflowPunct w:val="0"/>
      <w:autoSpaceDE w:val="0"/>
      <w:autoSpaceDN w:val="0"/>
      <w:adjustRightInd w:val="0"/>
      <w:spacing w:before="60" w:after="60" w:line="240" w:lineRule="auto"/>
      <w:ind w:firstLine="284"/>
      <w:jc w:val="left"/>
      <w:textAlignment w:val="baseline"/>
    </w:pPr>
    <w:rPr>
      <w:rFonts w:ascii="AT*Palm Springs" w:hAnsi="AT*Palm Springs"/>
      <w:color w:val="auto"/>
      <w:sz w:val="24"/>
      <w:szCs w:val="20"/>
    </w:rPr>
  </w:style>
  <w:style w:type="paragraph" w:customStyle="1" w:styleId="CM1">
    <w:name w:val="CM1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6DAC"/>
    <w:rPr>
      <w:rFonts w:cs="Times New Roman"/>
      <w:color w:val="auto"/>
    </w:rPr>
  </w:style>
  <w:style w:type="paragraph" w:customStyle="1" w:styleId="Zkladntextodsazen21">
    <w:name w:val="Základní text odsazený 21"/>
    <w:basedOn w:val="Normal"/>
    <w:rsid w:val="00536DAC"/>
    <w:pPr>
      <w:suppressAutoHyphens/>
      <w:spacing w:line="480" w:lineRule="auto"/>
      <w:ind w:left="283"/>
      <w:jc w:val="left"/>
    </w:pPr>
    <w:rPr>
      <w:szCs w:val="22"/>
      <w:lang w:eastAsia="ar-SA"/>
    </w:rPr>
  </w:style>
  <w:style w:type="paragraph" w:customStyle="1" w:styleId="Typedudocument">
    <w:name w:val="Type du document"/>
    <w:basedOn w:val="Normal"/>
    <w:next w:val="Normal"/>
    <w:rsid w:val="00536DAC"/>
    <w:pPr>
      <w:spacing w:before="360" w:after="160" w:line="259" w:lineRule="auto"/>
      <w:jc w:val="center"/>
    </w:pPr>
    <w:rPr>
      <w:rFonts w:ascii="Calibri" w:hAnsi="Calibri"/>
      <w:b/>
      <w:color w:val="auto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EFEF827AD9D42AE73C0B38051EF70" ma:contentTypeVersion="2" ma:contentTypeDescription="Vytvoří nový dokument" ma:contentTypeScope="" ma:versionID="b2f8142ad5c5112f0493733a2619e4f8">
  <xsd:schema xmlns:xsd="http://www.w3.org/2001/XMLSchema" xmlns:xs="http://www.w3.org/2001/XMLSchema" xmlns:p="http://schemas.microsoft.com/office/2006/metadata/properties" xmlns:ns2="fcebf3c6-5a33-44a9-b648-6b8de97661a3" targetNamespace="http://schemas.microsoft.com/office/2006/metadata/properties" ma:root="true" ma:fieldsID="83f647610ad7b1f9b0fdf61d444e3dec" ns2:_="">
    <xsd:import namespace="fcebf3c6-5a33-44a9-b648-6b8de9766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f3c6-5a33-44a9-b648-6b8de976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798AD-8151-4DD4-8362-4801C8600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7C8563-690C-4B09-87C0-48122DFF8B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174B0-D943-40E2-A7C7-4A6D0A731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FFFD2-80C5-4C66-89FF-B7B0195D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f3c6-5a33-44a9-b648-6b8de9766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2240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Dimitris Dimitriadis</cp:lastModifiedBy>
  <cp:revision>3</cp:revision>
  <cp:lastPrinted>2022-07-19T09:26:00Z</cp:lastPrinted>
  <dcterms:created xsi:type="dcterms:W3CDTF">2023-01-17T14:38:00Z</dcterms:created>
  <dcterms:modified xsi:type="dcterms:W3CDTF">2023-02-03T14:24:00Z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0x010100796EFEF827AD9D42AE73C0B38051EF70</vt:lpwstr>
  </property>
</Properties>
</file>