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0901FB" w14:textId="580CCA28" w:rsidR="008F5571" w:rsidRPr="008F5571" w:rsidRDefault="008F5571" w:rsidP="008F5571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>1. ------IND- 2020 0549 B-- ES- ------ 20200911 --- --- PROJET</w:t>
      </w:r>
    </w:p>
    <w:p w14:paraId="72BFD6B2" w14:textId="77777777" w:rsidR="008F5571" w:rsidRPr="008F5571" w:rsidRDefault="008F5571" w:rsidP="008F5571">
      <w:pPr>
        <w:spacing w:after="0" w:line="240" w:lineRule="auto"/>
      </w:pPr>
    </w:p>
    <w:p w14:paraId="71744518" w14:textId="2E9DB1EE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Artículo 1</w:t>
      </w:r>
    </w:p>
    <w:p w14:paraId="148B8B34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La presente Ley regula un asunto mencionado en el artículo 74 de la Constitución belga.</w:t>
      </w:r>
    </w:p>
    <w:p w14:paraId="48680981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  <w:u w:val="thick"/>
        </w:rPr>
        <w:t>Artículo 2</w:t>
      </w:r>
      <w:r>
        <w:rPr>
          <w:rFonts w:ascii="Arial" w:hAnsi="Arial"/>
        </w:rPr>
        <w:t xml:space="preserve"> (</w:t>
      </w:r>
      <w:r>
        <w:rPr>
          <w:rFonts w:ascii="Arial" w:hAnsi="Arial"/>
          <w:i/>
        </w:rPr>
        <w:t>nuevo</w:t>
      </w:r>
      <w:r>
        <w:rPr>
          <w:rFonts w:ascii="Arial" w:hAnsi="Arial"/>
        </w:rPr>
        <w:t>)</w:t>
      </w:r>
    </w:p>
    <w:p w14:paraId="5A417BDE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Esta Ley prevé la transposición parcial de la Directiva (UE) 2019/904 del Parlamento Europeo y del Consejo, de 5 de junio de 2019, relativa a la reducción del impacto de determinados productos de plástico en el medio ambiente, y de la Directiva (UE) 2015/720 del Parlamento Europeo y del Consejo, de 29 de abril de 2015, por la que se modifica la Directiva 94/62/CE en lo que se refiere a la reducción del consumo de bolsas de plástico ligeras.</w:t>
      </w:r>
    </w:p>
    <w:p w14:paraId="1D39E3F8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Artículo </w:t>
      </w:r>
      <w:r>
        <w:rPr>
          <w:rFonts w:ascii="Arial" w:hAnsi="Arial"/>
          <w:u w:val="thick"/>
        </w:rPr>
        <w:t>3</w:t>
      </w:r>
      <w:r>
        <w:rPr>
          <w:rFonts w:ascii="Arial" w:hAnsi="Arial"/>
        </w:rPr>
        <w:t xml:space="preserve"> (antiguo artículo 2)</w:t>
      </w:r>
    </w:p>
    <w:p w14:paraId="50EB5F49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El artículo 2 de la Ley, de 21 de diciembre de 1998, relativa a las normas de los productos para promover patrones de producción y consumo sostenibles y proteger el medioambiente, la salud pública y a los trabajadores, modificada</w:t>
      </w:r>
      <w:r>
        <w:rPr>
          <w:rFonts w:ascii="Arial" w:hAnsi="Arial"/>
          <w:u w:val="thick"/>
        </w:rPr>
        <w:t xml:space="preserve"> por última vez </w:t>
      </w:r>
      <w:r>
        <w:rPr>
          <w:rFonts w:ascii="Arial" w:hAnsi="Arial"/>
        </w:rPr>
        <w:t>por la Ley de 16 de diciembre de 2015, se complementa con las siguientes disposiciones de los puntos 23 a 26, con la siguiente redacción:</w:t>
      </w:r>
    </w:p>
    <w:p w14:paraId="70B34437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«23) "plástico": un material compuesto por un polímero tal como se define en el artículo 3, punto 5, del </w:t>
      </w:r>
      <w:r>
        <w:rPr>
          <w:rFonts w:ascii="Arial" w:hAnsi="Arial"/>
          <w:u w:val="thick"/>
        </w:rPr>
        <w:t>REACH</w:t>
      </w:r>
      <w:r>
        <w:rPr>
          <w:rFonts w:ascii="Arial" w:hAnsi="Arial"/>
        </w:rPr>
        <w:t>, al que pueden haberse añadido aditivos u otras sustancias, y que puede funcionar como principal componente estructural de los productos finales, con la excepción de los polímeros naturales que no han sido modificados químicamente;</w:t>
      </w:r>
    </w:p>
    <w:p w14:paraId="284CE3E0" w14:textId="77777777" w:rsidR="00994A23" w:rsidRPr="004301FB" w:rsidRDefault="00224C6A">
      <w:pPr>
        <w:pStyle w:val="BodyTextNL"/>
        <w:rPr>
          <w:rFonts w:ascii="Arial" w:hAnsi="Arial" w:cs="Arial"/>
          <w:spacing w:val="-4"/>
        </w:rPr>
      </w:pPr>
      <w:r w:rsidRPr="004301FB">
        <w:rPr>
          <w:rFonts w:ascii="Arial" w:hAnsi="Arial"/>
          <w:spacing w:val="-4"/>
        </w:rPr>
        <w:t>24) "producto de plástico de un solo uso": un producto fabricado total o parcialmente con plástico y que no ha sido concebido, diseñado o introducido en el mercado para completar, dentro de su período de vida, múltiples circuitos o rotaciones mediante su devolución a un productor para ser rellenado o reutilizado con el mismo fin para el que fue concebido;</w:t>
      </w:r>
    </w:p>
    <w:p w14:paraId="28CEBF73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25) "plástico oxodegradable": materiales plásticos que incluyen aditivos los cuales, mediante oxidación, provocan la fragmentación del material plástico en microfragmentos o su descomposición química;</w:t>
      </w:r>
    </w:p>
    <w:p w14:paraId="1E9365A9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Style w:val="Underline"/>
          <w:rFonts w:ascii="Arial" w:hAnsi="Arial"/>
        </w:rPr>
        <w:t>26) "bolsa de plástico de un solo uso": una bolsa de plástico ligera o una bolsa de plástico muy ligera, en el sentido de la Directiva 94/62/CE del Parlamento Europeo y del Consejo, de 20 de diciembre de 1994, relativa a los envases y residuos de envases, fabricada total o parcialmente con plástico y que no ha sido diseñada, producida o comercializada para ser reutilizada, dentro de su período de vida, con el mismo fin para el que fue diseñada».</w:t>
      </w:r>
    </w:p>
    <w:p w14:paraId="17AFD7CB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Artículo </w:t>
      </w:r>
      <w:r>
        <w:rPr>
          <w:rFonts w:ascii="Arial" w:hAnsi="Arial"/>
          <w:u w:val="thick"/>
        </w:rPr>
        <w:t>4</w:t>
      </w:r>
      <w:r>
        <w:rPr>
          <w:rFonts w:ascii="Arial" w:hAnsi="Arial"/>
        </w:rPr>
        <w:t xml:space="preserve"> (antiguo artículo 3)</w:t>
      </w:r>
    </w:p>
    <w:p w14:paraId="4FF64097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Se añade un capítulo IV </w:t>
      </w:r>
      <w:r>
        <w:rPr>
          <w:rStyle w:val="Italic"/>
          <w:rFonts w:ascii="Arial" w:hAnsi="Arial"/>
        </w:rPr>
        <w:t>bis</w:t>
      </w:r>
      <w:r>
        <w:rPr>
          <w:rFonts w:ascii="Arial" w:hAnsi="Arial"/>
        </w:rPr>
        <w:t xml:space="preserve"> a la misma Ley, con la siguiente redacción:</w:t>
      </w:r>
    </w:p>
    <w:p w14:paraId="3518C363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«Capítulo IV </w:t>
      </w:r>
      <w:r>
        <w:rPr>
          <w:rStyle w:val="Italic"/>
          <w:rFonts w:ascii="Arial" w:hAnsi="Arial"/>
        </w:rPr>
        <w:t>bis</w:t>
      </w:r>
      <w:r>
        <w:rPr>
          <w:rFonts w:ascii="Arial" w:hAnsi="Arial"/>
        </w:rPr>
        <w:t xml:space="preserve">. Disposiciones especiales sobre </w:t>
      </w:r>
      <w:r>
        <w:rPr>
          <w:rFonts w:ascii="Arial" w:hAnsi="Arial"/>
          <w:u w:val="thick"/>
        </w:rPr>
        <w:t>los productos de plástico</w:t>
      </w:r>
      <w:r>
        <w:rPr>
          <w:rFonts w:ascii="Arial" w:hAnsi="Arial"/>
        </w:rPr>
        <w:t>».</w:t>
      </w:r>
    </w:p>
    <w:p w14:paraId="120C8156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Artículo </w:t>
      </w:r>
      <w:r>
        <w:rPr>
          <w:rFonts w:ascii="Arial" w:hAnsi="Arial"/>
          <w:u w:val="thick"/>
        </w:rPr>
        <w:t>5</w:t>
      </w:r>
      <w:r>
        <w:rPr>
          <w:rFonts w:ascii="Arial" w:hAnsi="Arial"/>
        </w:rPr>
        <w:t xml:space="preserve"> (antiguo artículo 4)</w:t>
      </w:r>
    </w:p>
    <w:p w14:paraId="04CA87F4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En capítulo IV </w:t>
      </w:r>
      <w:r>
        <w:rPr>
          <w:rStyle w:val="Italic"/>
          <w:rFonts w:ascii="Arial" w:hAnsi="Arial"/>
        </w:rPr>
        <w:t>bis</w:t>
      </w:r>
      <w:r>
        <w:rPr>
          <w:rFonts w:ascii="Arial" w:hAnsi="Arial"/>
        </w:rPr>
        <w:t xml:space="preserve"> mencionado, se añade un artículo </w:t>
      </w:r>
      <w:r>
        <w:rPr>
          <w:rFonts w:ascii="Arial" w:hAnsi="Arial"/>
          <w:u w:val="thick"/>
        </w:rPr>
        <w:t xml:space="preserve">9 </w:t>
      </w:r>
      <w:r>
        <w:rPr>
          <w:rStyle w:val="Italic"/>
          <w:rFonts w:ascii="Arial" w:hAnsi="Arial"/>
          <w:u w:val="thick"/>
        </w:rPr>
        <w:t>bis</w:t>
      </w:r>
      <w:r>
        <w:rPr>
          <w:rFonts w:ascii="Arial" w:hAnsi="Arial"/>
        </w:rPr>
        <w:t xml:space="preserve"> con la siguiente redacción:</w:t>
      </w:r>
    </w:p>
    <w:p w14:paraId="68CE4898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«Artículo 9 </w:t>
      </w:r>
      <w:r>
        <w:rPr>
          <w:rFonts w:ascii="Arial" w:hAnsi="Arial"/>
          <w:i/>
          <w:iCs/>
        </w:rPr>
        <w:t>bis</w:t>
      </w:r>
      <w:r>
        <w:rPr>
          <w:rFonts w:ascii="Arial" w:hAnsi="Arial"/>
        </w:rPr>
        <w:t>. Queda prohibido comercializar productos a base de plástico oxodegradable».</w:t>
      </w:r>
    </w:p>
    <w:p w14:paraId="4CC3EED2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Artículo </w:t>
      </w:r>
      <w:r>
        <w:rPr>
          <w:rFonts w:ascii="Arial" w:hAnsi="Arial"/>
          <w:u w:val="thick"/>
        </w:rPr>
        <w:t>6</w:t>
      </w:r>
      <w:r>
        <w:rPr>
          <w:rFonts w:ascii="Arial" w:hAnsi="Arial"/>
        </w:rPr>
        <w:t xml:space="preserve"> (antiguo artículo 5)</w:t>
      </w:r>
    </w:p>
    <w:p w14:paraId="13ADD4F2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En el capítulo IV </w:t>
      </w:r>
      <w:r>
        <w:rPr>
          <w:rStyle w:val="Italic"/>
          <w:rFonts w:ascii="Arial" w:hAnsi="Arial"/>
        </w:rPr>
        <w:t>bis</w:t>
      </w:r>
      <w:r>
        <w:rPr>
          <w:rFonts w:ascii="Arial" w:hAnsi="Arial"/>
        </w:rPr>
        <w:t xml:space="preserve"> mencionado, se añade un artículo </w:t>
      </w:r>
      <w:r>
        <w:rPr>
          <w:rFonts w:ascii="Arial" w:hAnsi="Arial"/>
          <w:u w:val="thick"/>
        </w:rPr>
        <w:t xml:space="preserve">9 </w:t>
      </w:r>
      <w:r>
        <w:rPr>
          <w:rStyle w:val="Italic"/>
          <w:rFonts w:ascii="Arial" w:hAnsi="Arial"/>
          <w:u w:val="thick"/>
        </w:rPr>
        <w:t>ter</w:t>
      </w:r>
      <w:r>
        <w:rPr>
          <w:rFonts w:ascii="Arial" w:hAnsi="Arial"/>
        </w:rPr>
        <w:t xml:space="preserve"> con la siguiente redacción:</w:t>
      </w:r>
    </w:p>
    <w:p w14:paraId="0ECEF58C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«Artículo </w:t>
      </w:r>
      <w:r>
        <w:rPr>
          <w:rFonts w:ascii="Arial" w:hAnsi="Arial"/>
          <w:u w:val="thick"/>
        </w:rPr>
        <w:t xml:space="preserve">9 </w:t>
      </w:r>
      <w:r>
        <w:rPr>
          <w:rFonts w:ascii="Arial" w:hAnsi="Arial"/>
          <w:i/>
          <w:iCs/>
          <w:u w:val="thick"/>
        </w:rPr>
        <w:t>ter</w:t>
      </w:r>
      <w:r>
        <w:rPr>
          <w:rFonts w:ascii="Arial" w:hAnsi="Arial"/>
        </w:rPr>
        <w:t>. Queda prohibido comercializar los siguientes productos de plástico de un solo uso:</w:t>
      </w:r>
    </w:p>
    <w:p w14:paraId="34AEC717" w14:textId="77777777" w:rsidR="00994A23" w:rsidRPr="004301FB" w:rsidRDefault="00224C6A">
      <w:pPr>
        <w:pStyle w:val="BodyTextNL"/>
        <w:rPr>
          <w:rFonts w:ascii="Arial" w:hAnsi="Arial" w:cs="Arial"/>
          <w:spacing w:val="-2"/>
        </w:rPr>
      </w:pPr>
      <w:r w:rsidRPr="004301FB">
        <w:rPr>
          <w:rFonts w:ascii="Arial" w:hAnsi="Arial"/>
          <w:spacing w:val="-2"/>
        </w:rPr>
        <w:t xml:space="preserve">1) bastoncillos de algodón, excepto si entran en el ámbito de aplicación de la Directiva 90/385/CEE del Consejo, </w:t>
      </w:r>
      <w:r w:rsidRPr="004301FB">
        <w:rPr>
          <w:rFonts w:ascii="Arial" w:hAnsi="Arial"/>
          <w:spacing w:val="-2"/>
          <w:u w:val="thick"/>
        </w:rPr>
        <w:t>de 20 de junio de 1990, relativa a la aproximación de las legislaciones de los Estados Miembros sobre los productos sanitarios implantables activos</w:t>
      </w:r>
      <w:r w:rsidRPr="004301FB">
        <w:rPr>
          <w:rFonts w:ascii="Arial" w:hAnsi="Arial"/>
          <w:spacing w:val="-2"/>
        </w:rPr>
        <w:t xml:space="preserve">, o de la Directiva 93/42/CEE del Consejo, </w:t>
      </w:r>
      <w:r w:rsidRPr="004301FB">
        <w:rPr>
          <w:rFonts w:ascii="Arial" w:hAnsi="Arial"/>
          <w:spacing w:val="-2"/>
          <w:u w:val="thick"/>
        </w:rPr>
        <w:t>de 14 de junio de 1993, relativa a los productos sanitarios</w:t>
      </w:r>
      <w:r w:rsidRPr="004301FB">
        <w:rPr>
          <w:rFonts w:ascii="Arial" w:hAnsi="Arial"/>
          <w:spacing w:val="-2"/>
        </w:rPr>
        <w:t>;</w:t>
      </w:r>
    </w:p>
    <w:p w14:paraId="30187EEB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lastRenderedPageBreak/>
        <w:t>2) cubiertos (tenedores, cuchillos, cucharas, palillos);</w:t>
      </w:r>
    </w:p>
    <w:p w14:paraId="36C9D4BD" w14:textId="77777777" w:rsidR="00994A23" w:rsidRDefault="00224C6A">
      <w:pPr>
        <w:pStyle w:val="BodyTextNL"/>
        <w:spacing w:before="240"/>
        <w:rPr>
          <w:rFonts w:ascii="Arial" w:hAnsi="Arial" w:cs="Arial"/>
        </w:rPr>
      </w:pPr>
      <w:r>
        <w:rPr>
          <w:rFonts w:ascii="Arial" w:hAnsi="Arial"/>
        </w:rPr>
        <w:t>3) platos;</w:t>
      </w:r>
    </w:p>
    <w:p w14:paraId="77F3288E" w14:textId="77777777" w:rsidR="00994A23" w:rsidRPr="004301FB" w:rsidRDefault="00224C6A">
      <w:pPr>
        <w:pStyle w:val="BodyTextNL"/>
        <w:rPr>
          <w:rFonts w:ascii="Arial" w:hAnsi="Arial" w:cs="Arial"/>
          <w:spacing w:val="-2"/>
        </w:rPr>
      </w:pPr>
      <w:r w:rsidRPr="004301FB">
        <w:rPr>
          <w:rFonts w:ascii="Arial" w:hAnsi="Arial"/>
          <w:spacing w:val="-2"/>
        </w:rPr>
        <w:t xml:space="preserve">4) pajitas, excepto si entran en el ámbito de aplicación de la Directiva 90/385/CEE del Consejo, </w:t>
      </w:r>
      <w:r w:rsidRPr="004301FB">
        <w:rPr>
          <w:rFonts w:ascii="Arial" w:hAnsi="Arial"/>
          <w:spacing w:val="-2"/>
          <w:u w:val="thick"/>
        </w:rPr>
        <w:t>de 20 de junio de 1990, relativa a la aproximación de las legislaciones de los Estados Miembros sobre los productos sanitarios implantables activos</w:t>
      </w:r>
      <w:r w:rsidRPr="004301FB">
        <w:rPr>
          <w:rFonts w:ascii="Arial" w:hAnsi="Arial"/>
          <w:spacing w:val="-2"/>
        </w:rPr>
        <w:t xml:space="preserve">, o de la Directiva 93/42/CEE del Consejo, </w:t>
      </w:r>
      <w:r w:rsidRPr="004301FB">
        <w:rPr>
          <w:rFonts w:ascii="Arial" w:hAnsi="Arial"/>
          <w:spacing w:val="-2"/>
          <w:u w:val="thick"/>
        </w:rPr>
        <w:t>de 14 de junio de 1993, relativa a los productos sanitarios</w:t>
      </w:r>
      <w:r w:rsidRPr="004301FB">
        <w:rPr>
          <w:rFonts w:ascii="Arial" w:hAnsi="Arial"/>
          <w:spacing w:val="-2"/>
        </w:rPr>
        <w:t>;</w:t>
      </w:r>
    </w:p>
    <w:p w14:paraId="4667BDE1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5) agitadores de bebidas;</w:t>
      </w:r>
    </w:p>
    <w:p w14:paraId="14EC48F7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6) palitos destinados a sujetar e ir unidos a globos, con excepción de los globos para usos y aplicaciones industriales y profesionales que no se distribuyen a los consumidores, incluidos los mecanismos de esos palitos;</w:t>
      </w:r>
    </w:p>
    <w:p w14:paraId="47B7F89B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 xml:space="preserve">7) recipientes para alimentos, hechos de poliestireno expandido, esto es, </w:t>
      </w:r>
      <w:r>
        <w:rPr>
          <w:rFonts w:ascii="Arial" w:hAnsi="Arial"/>
          <w:u w:val="thick"/>
        </w:rPr>
        <w:t>recipientes</w:t>
      </w:r>
      <w:r>
        <w:rPr>
          <w:rFonts w:ascii="Arial" w:hAnsi="Arial"/>
        </w:rPr>
        <w:t xml:space="preserve"> tales como cajas, con o sin tapa, utilizados con el fin de contener alimentos que:</w:t>
      </w:r>
    </w:p>
    <w:p w14:paraId="77C93A15" w14:textId="77777777" w:rsidR="00994A23" w:rsidRDefault="00224C6A">
      <w:pPr>
        <w:pStyle w:val="BodyTextNL"/>
        <w:spacing w:before="240"/>
        <w:rPr>
          <w:rFonts w:ascii="Arial" w:hAnsi="Arial" w:cs="Arial"/>
        </w:rPr>
      </w:pPr>
      <w:r>
        <w:rPr>
          <w:rFonts w:ascii="Arial" w:hAnsi="Arial"/>
        </w:rPr>
        <w:t xml:space="preserve">a) están destinados al consumo inmediato, </w:t>
      </w:r>
      <w:r>
        <w:rPr>
          <w:rFonts w:ascii="Arial" w:hAnsi="Arial"/>
          <w:i/>
          <w:iCs/>
        </w:rPr>
        <w:t>in situ</w:t>
      </w:r>
      <w:r>
        <w:rPr>
          <w:rFonts w:ascii="Arial" w:hAnsi="Arial"/>
        </w:rPr>
        <w:t xml:space="preserve"> o para llevar;</w:t>
      </w:r>
    </w:p>
    <w:p w14:paraId="7DC6276B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b) </w:t>
      </w:r>
      <w:r>
        <w:rPr>
          <w:rFonts w:ascii="Arial" w:hAnsi="Arial"/>
          <w:u w:val="thick"/>
        </w:rPr>
        <w:t xml:space="preserve">normalmente </w:t>
      </w:r>
      <w:r>
        <w:rPr>
          <w:rFonts w:ascii="Arial" w:hAnsi="Arial"/>
        </w:rPr>
        <w:t xml:space="preserve">se consumen en el propio </w:t>
      </w:r>
      <w:r>
        <w:rPr>
          <w:rFonts w:ascii="Arial" w:hAnsi="Arial"/>
          <w:u w:val="thick"/>
        </w:rPr>
        <w:t>recipiente</w:t>
      </w:r>
      <w:r>
        <w:rPr>
          <w:rFonts w:ascii="Arial" w:hAnsi="Arial"/>
        </w:rPr>
        <w:t>; y</w:t>
      </w:r>
    </w:p>
    <w:p w14:paraId="35E33460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c) están listos para el consumo sin ninguna otra preparación posterior, como cocinar, hervir o calentar,</w:t>
      </w:r>
    </w:p>
    <w:p w14:paraId="685D0E21" w14:textId="77777777" w:rsidR="00994A23" w:rsidRDefault="00224C6A">
      <w:pPr>
        <w:pStyle w:val="BodyTextNL"/>
        <w:spacing w:before="240"/>
        <w:rPr>
          <w:rFonts w:ascii="Arial" w:hAnsi="Arial" w:cs="Arial"/>
        </w:rPr>
      </w:pPr>
      <w:r>
        <w:rPr>
          <w:rFonts w:ascii="Arial" w:hAnsi="Arial"/>
        </w:rPr>
        <w:t>incluidos los recipientes para alimentos utilizados para comida rápida u otros alimentos listos para su consumo inmediato, excepto los recipientes para bebidas, los platos y los envases y envoltorios que contienen alimentos;</w:t>
      </w:r>
    </w:p>
    <w:p w14:paraId="54F3FE39" w14:textId="77777777" w:rsidR="00994A23" w:rsidRDefault="00224C6A">
      <w:pPr>
        <w:pStyle w:val="BodyTextNL"/>
        <w:spacing w:before="240"/>
        <w:rPr>
          <w:rFonts w:ascii="Arial" w:hAnsi="Arial" w:cs="Arial"/>
        </w:rPr>
      </w:pPr>
      <w:r>
        <w:rPr>
          <w:rFonts w:ascii="Arial" w:hAnsi="Arial"/>
        </w:rPr>
        <w:t>8) recipientes para bebidas hechos de poliestireno expandido, incluidos sus tapas y tapones;</w:t>
      </w:r>
    </w:p>
    <w:p w14:paraId="2F6CC2AD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9) vasos para bebidas hechos de poliestireno expandido, incluidos sus tapas y tapones.».</w:t>
      </w:r>
    </w:p>
    <w:p w14:paraId="7A7524E3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Fonts w:ascii="Arial" w:hAnsi="Arial"/>
        </w:rPr>
        <w:t>Artículo </w:t>
      </w:r>
      <w:r>
        <w:rPr>
          <w:rFonts w:ascii="Arial" w:hAnsi="Arial"/>
          <w:u w:val="thick"/>
        </w:rPr>
        <w:t>7</w:t>
      </w:r>
      <w:r>
        <w:rPr>
          <w:rFonts w:ascii="Arial" w:hAnsi="Arial"/>
        </w:rPr>
        <w:t xml:space="preserve"> (antiguo artículo 6)</w:t>
      </w:r>
    </w:p>
    <w:p w14:paraId="7B150196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En el capítulo IV </w:t>
      </w:r>
      <w:r>
        <w:rPr>
          <w:rStyle w:val="Italic"/>
          <w:rFonts w:ascii="Arial" w:hAnsi="Arial"/>
        </w:rPr>
        <w:t>bis</w:t>
      </w:r>
      <w:r>
        <w:rPr>
          <w:rFonts w:ascii="Arial" w:hAnsi="Arial"/>
        </w:rPr>
        <w:t xml:space="preserve"> mencionado, se añade un artículo </w:t>
      </w:r>
      <w:r>
        <w:rPr>
          <w:rFonts w:ascii="Arial" w:hAnsi="Arial"/>
          <w:u w:val="thick"/>
        </w:rPr>
        <w:t xml:space="preserve">9 </w:t>
      </w:r>
      <w:r>
        <w:rPr>
          <w:rStyle w:val="Italic"/>
          <w:rFonts w:ascii="Arial" w:hAnsi="Arial"/>
          <w:u w:val="thick"/>
        </w:rPr>
        <w:t>quater</w:t>
      </w:r>
      <w:r>
        <w:rPr>
          <w:rFonts w:ascii="Arial" w:hAnsi="Arial"/>
        </w:rPr>
        <w:t xml:space="preserve"> con la siguiente redacción:</w:t>
      </w:r>
    </w:p>
    <w:p w14:paraId="6FEAD1B3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«Artículo </w:t>
      </w:r>
      <w:r>
        <w:rPr>
          <w:rFonts w:ascii="Arial" w:hAnsi="Arial"/>
          <w:u w:val="thick"/>
        </w:rPr>
        <w:t xml:space="preserve">9 </w:t>
      </w:r>
      <w:r>
        <w:rPr>
          <w:rFonts w:ascii="Arial" w:hAnsi="Arial"/>
          <w:i/>
          <w:iCs/>
          <w:u w:val="thick"/>
        </w:rPr>
        <w:t>quater</w:t>
      </w:r>
      <w:r>
        <w:rPr>
          <w:rFonts w:ascii="Arial" w:hAnsi="Arial"/>
        </w:rPr>
        <w:t>. Queda prohibido comercializar bolsas de plástico de un solo uso destinadas a embalar o transportar bienes adquiridos en puntos de venta interiores o exteriores, salvo en los siguientes casos:</w:t>
      </w:r>
    </w:p>
    <w:p w14:paraId="1E7BA3C2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1) en los aeropuertos, y si están equipadas con un cierre adhesivo de alta seguridad o costuras duraderas;</w:t>
      </w:r>
    </w:p>
    <w:p w14:paraId="08461A54" w14:textId="4634388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2) si están destinadas a la recogida de residuos;</w:t>
      </w:r>
    </w:p>
    <w:p w14:paraId="046CBB9F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3) si están destinadas a uso médico;</w:t>
      </w:r>
    </w:p>
    <w:p w14:paraId="5A667197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4) si están destinadas al envasado de productos alimenticios vendidos en pequeñas cantidades que estén húmedos o líquidos o que contengan líquidos que puedan derramarse, siempre que la bolsa sea de origen biológico y apta para el compostaje doméstico;</w:t>
      </w:r>
    </w:p>
    <w:p w14:paraId="27209BDA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5) si son muy ligeras y están destinadas al embalaje primario de plantas y animales acuáticos. </w:t>
      </w:r>
    </w:p>
    <w:p w14:paraId="2907C68D" w14:textId="77777777" w:rsidR="00994A23" w:rsidRDefault="00224C6A">
      <w:pPr>
        <w:pStyle w:val="BodyTextNL"/>
        <w:spacing w:before="240"/>
        <w:rPr>
          <w:rFonts w:ascii="Arial" w:hAnsi="Arial" w:cs="Arial"/>
        </w:rPr>
      </w:pPr>
      <w:r>
        <w:rPr>
          <w:rFonts w:ascii="Arial" w:hAnsi="Arial"/>
          <w:u w:val="thick"/>
        </w:rPr>
        <w:t>Seis meses después de la publicación de la Ley, de ..., por la que se modifica la Ley de 21 de diciembre de 1998 relativa a las normas de los productos para promover patrones de producción y consumo sostenibles y proteger el medioambiente, la salud pública y a los trabajadores, a fin de introducir en el Boletín Oficial de Bélgica una prohibición sobre el uso de productos de plástico oxodegradables y otros productos de plástico de un solo uso en el Boletín Oficial de Bélgica</w:t>
      </w:r>
      <w:r>
        <w:rPr>
          <w:rFonts w:ascii="Arial" w:hAnsi="Arial"/>
        </w:rPr>
        <w:t xml:space="preserve">, las bolsas a que se refiere el apartado 1, punto 4, estarán compuestas por un mínimo del 40 % de biomaterial y, a más tardar, el 1 de enero de 2025, estarán compuestas por un 60 % de biomaterial. </w:t>
      </w:r>
    </w:p>
    <w:p w14:paraId="2A58C639" w14:textId="77777777" w:rsidR="00994A23" w:rsidRDefault="00224C6A" w:rsidP="004301FB">
      <w:pPr>
        <w:pStyle w:val="BodyTextNL"/>
        <w:keepLines/>
        <w:rPr>
          <w:rFonts w:ascii="Arial" w:hAnsi="Arial" w:cs="Arial"/>
        </w:rPr>
      </w:pPr>
      <w:r>
        <w:rPr>
          <w:rFonts w:ascii="Arial" w:hAnsi="Arial"/>
          <w:u w:val="thick"/>
        </w:rPr>
        <w:lastRenderedPageBreak/>
        <w:t xml:space="preserve">Solo se permitirá al Rey añadir otras exenciones a la prohibición del apartado 1 si las circunstancias lo exigen y no se dispone de alternativas a los plásticos de un solo uso, teniendo en cuenta las disposiciones sobre proporcionalidad y </w:t>
      </w:r>
      <w:r>
        <w:rPr>
          <w:rStyle w:val="ItalicUnderline"/>
          <w:rFonts w:ascii="Arial" w:hAnsi="Arial"/>
          <w:i w:val="0"/>
        </w:rPr>
        <w:t>no discriminación establecidas en la Directiva 94/62/CE del Parlamento Europeo y del Consejo, de 20 de diciembre de 1994, relativa a los envases y residuos de envases».</w:t>
      </w:r>
    </w:p>
    <w:p w14:paraId="2AB9389F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Style w:val="Underline"/>
          <w:rFonts w:ascii="Arial" w:hAnsi="Arial"/>
          <w:u w:val="none"/>
        </w:rPr>
        <w:t>Artículo </w:t>
      </w:r>
      <w:r>
        <w:rPr>
          <w:rStyle w:val="Underline"/>
          <w:rFonts w:ascii="Arial" w:hAnsi="Arial"/>
        </w:rPr>
        <w:t>8</w:t>
      </w:r>
      <w:r>
        <w:rPr>
          <w:rStyle w:val="Underline"/>
          <w:rFonts w:ascii="Arial" w:hAnsi="Arial"/>
          <w:u w:val="none"/>
        </w:rPr>
        <w:t xml:space="preserve"> </w:t>
      </w:r>
      <w:r>
        <w:rPr>
          <w:rFonts w:ascii="Arial" w:hAnsi="Arial"/>
        </w:rPr>
        <w:t>(antiguo artículo 7)</w:t>
      </w:r>
    </w:p>
    <w:p w14:paraId="1EBE0348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 xml:space="preserve">En el artículo 17, apartado 2, punto 2, de la misma Ley de 21 de diciembre de 1998, se sustituyen las palabras «de los artículos 10 a 14» por las palabras «de los artículos </w:t>
      </w:r>
      <w:r>
        <w:rPr>
          <w:rFonts w:ascii="Arial" w:hAnsi="Arial"/>
          <w:u w:val="thick"/>
        </w:rPr>
        <w:t xml:space="preserve">9 </w:t>
      </w:r>
      <w:r>
        <w:rPr>
          <w:rStyle w:val="Italic"/>
          <w:rFonts w:ascii="Arial" w:hAnsi="Arial"/>
          <w:u w:val="thick"/>
        </w:rPr>
        <w:t>bis</w:t>
      </w:r>
      <w:r>
        <w:rPr>
          <w:rFonts w:ascii="Arial" w:hAnsi="Arial"/>
        </w:rPr>
        <w:t xml:space="preserve"> a 14».</w:t>
      </w:r>
    </w:p>
    <w:p w14:paraId="7A909A9F" w14:textId="77777777" w:rsidR="00994A23" w:rsidRDefault="00224C6A">
      <w:pPr>
        <w:pStyle w:val="centeredARTICLE"/>
        <w:rPr>
          <w:rFonts w:ascii="Arial" w:hAnsi="Arial" w:cs="Arial"/>
        </w:rPr>
      </w:pPr>
      <w:r>
        <w:rPr>
          <w:rStyle w:val="Underline"/>
          <w:rFonts w:ascii="Arial" w:hAnsi="Arial"/>
        </w:rPr>
        <w:t>Artículo 9</w:t>
      </w:r>
      <w:r>
        <w:rPr>
          <w:rFonts w:ascii="Arial" w:hAnsi="Arial"/>
        </w:rPr>
        <w:t xml:space="preserve"> (</w:t>
      </w:r>
      <w:r>
        <w:rPr>
          <w:rFonts w:ascii="Arial" w:hAnsi="Arial"/>
          <w:i/>
        </w:rPr>
        <w:t>nuevo</w:t>
      </w:r>
      <w:r>
        <w:rPr>
          <w:rFonts w:ascii="Arial" w:hAnsi="Arial"/>
        </w:rPr>
        <w:t>)</w:t>
      </w:r>
    </w:p>
    <w:p w14:paraId="1888D22E" w14:textId="77777777" w:rsidR="00994A23" w:rsidRDefault="00224C6A">
      <w:pPr>
        <w:pStyle w:val="BodyTextNL"/>
        <w:rPr>
          <w:rStyle w:val="Italic"/>
          <w:rFonts w:ascii="Arial" w:hAnsi="Arial" w:cs="Arial"/>
        </w:rPr>
      </w:pPr>
      <w:r>
        <w:rPr>
          <w:rFonts w:ascii="Arial" w:hAnsi="Arial"/>
        </w:rPr>
        <w:t>Las bolsas de plástico cuya comercialización está prohibida en virtud del artículo 9 </w:t>
      </w:r>
      <w:r>
        <w:rPr>
          <w:rStyle w:val="Italic"/>
          <w:rFonts w:ascii="Arial" w:hAnsi="Arial"/>
        </w:rPr>
        <w:t>quater</w:t>
      </w:r>
      <w:r>
        <w:rPr>
          <w:rFonts w:ascii="Arial" w:hAnsi="Arial"/>
        </w:rPr>
        <w:t xml:space="preserve"> de la misma Ley y por las que un minorista ya haya pagado antes de la fecha de entrada en vigor de conformidad con el artículo </w:t>
      </w:r>
      <w:r>
        <w:rPr>
          <w:rStyle w:val="Underline"/>
          <w:rFonts w:ascii="Arial" w:hAnsi="Arial"/>
        </w:rPr>
        <w:t>10</w:t>
      </w:r>
      <w:r>
        <w:rPr>
          <w:rFonts w:ascii="Arial" w:hAnsi="Arial"/>
        </w:rPr>
        <w:t xml:space="preserve">, apartado 2, de esta Ley podrán seguir distribuyéndose </w:t>
      </w:r>
      <w:r>
        <w:rPr>
          <w:rStyle w:val="Italic"/>
          <w:rFonts w:ascii="Arial" w:hAnsi="Arial"/>
          <w:i w:val="0"/>
        </w:rPr>
        <w:t>durante seis meses después de esa fecha.</w:t>
      </w:r>
      <w:r>
        <w:rPr>
          <w:rStyle w:val="Italic"/>
          <w:rFonts w:ascii="Arial" w:hAnsi="Arial"/>
        </w:rPr>
        <w:t xml:space="preserve"> </w:t>
      </w:r>
    </w:p>
    <w:p w14:paraId="53F3F179" w14:textId="77777777" w:rsidR="00994A23" w:rsidRDefault="00224C6A">
      <w:pPr>
        <w:pStyle w:val="centeredARTICLE"/>
        <w:rPr>
          <w:rStyle w:val="Underline"/>
          <w:rFonts w:ascii="Arial" w:hAnsi="Arial" w:cs="Arial"/>
        </w:rPr>
      </w:pPr>
      <w:r>
        <w:rPr>
          <w:rStyle w:val="Underline"/>
          <w:rFonts w:ascii="Arial" w:hAnsi="Arial"/>
          <w:u w:val="none"/>
        </w:rPr>
        <w:t>Artículo </w:t>
      </w:r>
      <w:r>
        <w:rPr>
          <w:rStyle w:val="Underline"/>
          <w:rFonts w:ascii="Arial" w:hAnsi="Arial"/>
        </w:rPr>
        <w:t>10</w:t>
      </w:r>
      <w:r>
        <w:rPr>
          <w:rStyle w:val="Underline"/>
          <w:rFonts w:ascii="Arial" w:hAnsi="Arial"/>
          <w:u w:val="none"/>
        </w:rPr>
        <w:t xml:space="preserve"> </w:t>
      </w:r>
      <w:r>
        <w:rPr>
          <w:rFonts w:ascii="Arial" w:hAnsi="Arial"/>
        </w:rPr>
        <w:t>(antiguo artículo 8)</w:t>
      </w:r>
    </w:p>
    <w:p w14:paraId="508382BA" w14:textId="77777777" w:rsidR="00994A23" w:rsidRDefault="00224C6A" w:rsidP="008F5571">
      <w:pPr>
        <w:pStyle w:val="BodyTextNL"/>
        <w:keepNext/>
        <w:keepLines/>
        <w:rPr>
          <w:rFonts w:ascii="Arial" w:hAnsi="Arial" w:cs="Arial"/>
        </w:rPr>
      </w:pPr>
      <w:r>
        <w:rPr>
          <w:rFonts w:ascii="Arial" w:hAnsi="Arial"/>
        </w:rPr>
        <w:t>La presente Ley entrará en vigor el 3 de julio de 2021.</w:t>
      </w:r>
    </w:p>
    <w:p w14:paraId="603AF641" w14:textId="77777777" w:rsidR="00994A23" w:rsidRDefault="00224C6A">
      <w:pPr>
        <w:pStyle w:val="BodyTextNL"/>
        <w:rPr>
          <w:rFonts w:ascii="Arial" w:hAnsi="Arial" w:cs="Arial"/>
        </w:rPr>
      </w:pPr>
      <w:r>
        <w:rPr>
          <w:rFonts w:ascii="Arial" w:hAnsi="Arial"/>
        </w:rPr>
        <w:t>El Rey podrá decretar una fecha de entrada en vigor anterior a la fecha indicada en el apartado 1.</w:t>
      </w:r>
    </w:p>
    <w:p w14:paraId="51060FE7" w14:textId="77777777" w:rsidR="00994A23" w:rsidRDefault="00224C6A">
      <w:pPr>
        <w:pStyle w:val="BodyTextNL"/>
      </w:pPr>
      <w:r>
        <w:rPr>
          <w:rFonts w:ascii="Arial" w:hAnsi="Arial"/>
        </w:rPr>
        <w:t>Contrariamente a lo dispuesto en los apartados 1 y 2,</w:t>
      </w:r>
      <w:r>
        <w:rPr>
          <w:rFonts w:ascii="Arial" w:hAnsi="Arial"/>
          <w:u w:val="thick"/>
        </w:rPr>
        <w:t xml:space="preserve"> los artículos 3, 4, 7 y 8</w:t>
      </w:r>
      <w:r>
        <w:rPr>
          <w:rFonts w:ascii="Arial" w:hAnsi="Arial"/>
        </w:rPr>
        <w:t xml:space="preserve"> entrarán en vigor seis meses después de la publicación de la presente Ley en el </w:t>
      </w:r>
      <w:r>
        <w:rPr>
          <w:rStyle w:val="Italic"/>
          <w:rFonts w:ascii="Arial" w:hAnsi="Arial"/>
          <w:u w:val="thick"/>
        </w:rPr>
        <w:t>Boletín</w:t>
      </w:r>
      <w:r>
        <w:rPr>
          <w:rStyle w:val="Italic"/>
          <w:rFonts w:ascii="Arial" w:hAnsi="Arial"/>
        </w:rPr>
        <w:t xml:space="preserve"> Oficial de Bélgica</w:t>
      </w:r>
      <w:r>
        <w:rPr>
          <w:rFonts w:ascii="Arial" w:hAnsi="Arial"/>
        </w:rPr>
        <w:t>.</w:t>
      </w:r>
    </w:p>
    <w:sectPr w:rsidR="00994A2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">
    <w:altName w:val="Arial"/>
    <w:panose1 w:val="020B0504020202020204"/>
    <w:charset w:val="00"/>
    <w:family w:val="swiss"/>
    <w:notTrueType/>
    <w:pitch w:val="variable"/>
    <w:sig w:usb0="800002AF" w:usb1="5000204A" w:usb2="00000000" w:usb3="00000000" w:csb0="00000005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6A"/>
    <w:rsid w:val="00224C6A"/>
    <w:rsid w:val="00272AB1"/>
    <w:rsid w:val="004301FB"/>
    <w:rsid w:val="00674080"/>
    <w:rsid w:val="008F5571"/>
    <w:rsid w:val="00994A23"/>
    <w:rsid w:val="00B6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5CEC5B"/>
  <w14:defaultImageDpi w14:val="0"/>
  <w15:docId w15:val="{C6B2BA8E-28E1-4DE1-8A66-0220D7F8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Helvetica LT Std" w:hAnsi="Helvetica LT Std" w:cs="Helvetica LT Std"/>
      <w:color w:val="000000"/>
      <w:sz w:val="24"/>
      <w:szCs w:val="24"/>
    </w:rPr>
  </w:style>
  <w:style w:type="paragraph" w:customStyle="1" w:styleId="BodyTextNL">
    <w:name w:val="BodyText_NL"/>
    <w:basedOn w:val="NoParagraphStyle"/>
    <w:uiPriority w:val="99"/>
    <w:pPr>
      <w:spacing w:after="240"/>
      <w:ind w:firstLine="227"/>
      <w:jc w:val="both"/>
    </w:pPr>
    <w:rPr>
      <w:sz w:val="20"/>
      <w:szCs w:val="20"/>
    </w:rPr>
  </w:style>
  <w:style w:type="paragraph" w:customStyle="1" w:styleId="centeredARTICLE">
    <w:name w:val="centered ARTICLE"/>
    <w:basedOn w:val="BodyTextNL"/>
    <w:next w:val="NoParagraphStyle"/>
    <w:uiPriority w:val="99"/>
    <w:pPr>
      <w:keepNext/>
      <w:keepLines/>
      <w:suppressAutoHyphens/>
      <w:spacing w:before="240"/>
      <w:ind w:firstLine="0"/>
      <w:jc w:val="center"/>
    </w:pPr>
  </w:style>
  <w:style w:type="character" w:customStyle="1" w:styleId="Underline">
    <w:name w:val="_Underline"/>
    <w:uiPriority w:val="99"/>
    <w:rPr>
      <w:u w:val="thick"/>
    </w:rPr>
  </w:style>
  <w:style w:type="character" w:customStyle="1" w:styleId="Italic">
    <w:name w:val="_Italic"/>
    <w:uiPriority w:val="99"/>
    <w:rPr>
      <w:i/>
      <w:iCs/>
    </w:rPr>
  </w:style>
  <w:style w:type="character" w:customStyle="1" w:styleId="ItalicUnderline">
    <w:name w:val="_Italic_Underline"/>
    <w:basedOn w:val="Italic"/>
    <w:uiPriority w:val="99"/>
    <w:rPr>
      <w:i/>
      <w:iCs/>
      <w:u w:val="thick"/>
    </w:rPr>
  </w:style>
  <w:style w:type="character" w:customStyle="1" w:styleId="Sup">
    <w:name w:val="_Sup"/>
    <w:uiPriority w:val="99"/>
    <w:rPr>
      <w:vertAlign w:val="superscript"/>
    </w:rPr>
  </w:style>
  <w:style w:type="character" w:customStyle="1" w:styleId="Bold">
    <w:name w:val="_Bold"/>
    <w:uiPriority w:val="99"/>
    <w:rPr>
      <w:b/>
      <w:bCs/>
    </w:rPr>
  </w:style>
  <w:style w:type="character" w:customStyle="1" w:styleId="BoldUnderline">
    <w:name w:val="_Bold_Underline"/>
    <w:basedOn w:val="Bold"/>
    <w:uiPriority w:val="99"/>
    <w:rPr>
      <w:b/>
      <w:bCs/>
      <w:u w:val="thick"/>
    </w:rPr>
  </w:style>
  <w:style w:type="character" w:customStyle="1" w:styleId="Caps">
    <w:name w:val="_Caps"/>
    <w:uiPriority w:val="99"/>
    <w:rPr>
      <w:caps/>
    </w:rPr>
  </w:style>
  <w:style w:type="character" w:customStyle="1" w:styleId="BoldCaps">
    <w:name w:val="_Bold_Caps"/>
    <w:basedOn w:val="Bold"/>
    <w:uiPriority w:val="99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1283</Words>
  <Characters>6444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Wenkin (FOD Economie - SPF Economie)</dc:creator>
  <cp:keywords/>
  <dc:description/>
  <cp:lastModifiedBy>Diana STOICA</cp:lastModifiedBy>
  <cp:revision>4</cp:revision>
  <dcterms:created xsi:type="dcterms:W3CDTF">2020-09-04T09:56:00Z</dcterms:created>
  <dcterms:modified xsi:type="dcterms:W3CDTF">2020-09-11T11:47:00Z</dcterms:modified>
</cp:coreProperties>
</file>